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32"/>
        </w:rPr>
        <w:t>Economic conditions and the changing scale and organisation of female sex work in Pakistan: a multi-period ecological study</w:t>
      </w:r>
    </w:p>
    <w:p>
      <w:pPr>
        <w:spacing w:line="276" w:lineRule="auto" w:before="160" w:after="40"/>
        <w:ind w:left="288" w:hanging="288"/>
        <w:jc w:val="left"/>
      </w:pPr>
      <w:r>
        <w:rPr>
          <w:rFonts w:ascii="Times New Roman" w:hAnsi="Times New Roman"/>
          <w:sz w:val="22"/>
        </w:rPr>
        <w:t>1. Qazi Raza, MPH, Health Services Academy, NIH Complex, Park Road, Chak Shahzad, Islamabad, 44000, Pakistan</w:t>
      </w:r>
      <w:r>
        <w:rPr>
          <w:rFonts w:ascii="Times New Roman" w:hAnsi="Times New Roman"/>
          <w:b/>
          <w:sz w:val="22"/>
          <w:highlight w:val="yellow"/>
        </w:rPr>
        <w:t xml:space="preserve"> [Corresponding Author]</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qaziraza.rq@gmail.com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https://orcid.org/0000-0003-4303-3390</w:t>
      </w:r>
    </w:p>
    <w:p>
      <w:pPr>
        <w:pStyle w:val="ListBullet"/>
        <w:spacing w:line="240" w:lineRule="auto" w:after="20"/>
        <w:ind w:left="792" w:hanging="288"/>
        <w:jc w:val="left"/>
      </w:pPr>
      <w:r>
        <w:rPr>
          <w:rFonts w:ascii="Times New Roman" w:hAnsi="Times New Roman"/>
          <w:sz w:val="22"/>
        </w:rPr>
        <w:t xml:space="preserve">SSRN Author ID: </w:t>
      </w:r>
      <w:r>
        <w:rPr>
          <w:rFonts w:ascii="Times New Roman" w:hAnsi="Times New Roman"/>
          <w:sz w:val="22"/>
        </w:rPr>
        <w:t>12309708</w:t>
      </w:r>
    </w:p>
    <w:p>
      <w:pPr>
        <w:spacing w:line="276" w:lineRule="auto" w:before="100" w:after="40"/>
        <w:ind w:left="288" w:hanging="288"/>
        <w:jc w:val="left"/>
      </w:pPr>
      <w:r>
        <w:rPr>
          <w:rFonts w:ascii="Times New Roman" w:hAnsi="Times New Roman"/>
          <w:sz w:val="22"/>
        </w:rPr>
        <w:t>2. Amna Khan, MPH, Health Services Academy, NIH Complex, Park Road, Chak Shahzad, Islamabad, 44000, Pakistan</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amnaathar045@gmail.com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https://orcid.org/0009-0000-9152-3912</w:t>
      </w:r>
    </w:p>
    <w:p>
      <w:pPr>
        <w:spacing w:line="276" w:lineRule="auto" w:before="100" w:after="40"/>
        <w:ind w:left="288" w:hanging="288"/>
        <w:jc w:val="left"/>
      </w:pPr>
      <w:r>
        <w:rPr>
          <w:rFonts w:ascii="Times New Roman" w:hAnsi="Times New Roman"/>
          <w:sz w:val="22"/>
        </w:rPr>
        <w:t>3. Maham Qazi, BS Public Health, Health Services Academy, NIH Complex, Park Road, Chak Shahzad, Islamabad, 44000, Pakistan</w:t>
      </w:r>
    </w:p>
    <w:p>
      <w:pPr>
        <w:pStyle w:val="ListBullet"/>
        <w:spacing w:line="240" w:lineRule="auto" w:after="20"/>
        <w:ind w:left="792" w:hanging="288"/>
        <w:jc w:val="left"/>
      </w:pPr>
      <w:r>
        <w:rPr>
          <w:rFonts w:ascii="Times New Roman" w:hAnsi="Times New Roman"/>
          <w:sz w:val="22"/>
        </w:rPr>
        <w:t xml:space="preserve">Email ID: </w:t>
      </w:r>
      <w:r>
        <w:rPr>
          <w:rFonts w:ascii="Times New Roman" w:hAnsi="Times New Roman"/>
          <w:color w:val="0563C1"/>
          <w:sz w:val="22"/>
          <w:u w:val="single"/>
        </w:rPr>
        <w:t>qazimaham.mq@gmail.com</w:t>
      </w:r>
    </w:p>
    <w:p>
      <w:pPr>
        <w:pStyle w:val="ListBullet"/>
        <w:spacing w:line="240" w:lineRule="auto" w:after="20"/>
        <w:ind w:left="792" w:hanging="288"/>
        <w:jc w:val="left"/>
      </w:pPr>
      <w:r>
        <w:rPr>
          <w:rFonts w:ascii="Times New Roman" w:hAnsi="Times New Roman"/>
          <w:sz w:val="22"/>
        </w:rPr>
        <w:t xml:space="preserve">ORCID: </w:t>
      </w:r>
      <w:r>
        <w:rPr>
          <w:rFonts w:ascii="Times New Roman" w:hAnsi="Times New Roman"/>
          <w:color w:val="0563C1"/>
          <w:sz w:val="22"/>
          <w:u w:val="single"/>
        </w:rPr>
        <w:t>https://orcid.org/0009-0002-1199-7240</w:t>
      </w:r>
    </w:p>
    <w:p>
      <w:pPr>
        <w:spacing w:line="276" w:lineRule="auto" w:before="120" w:after="40"/>
        <w:jc w:val="left"/>
      </w:pPr>
      <w:r>
        <w:rPr>
          <w:rFonts w:ascii="Times New Roman" w:hAnsi="Times New Roman"/>
          <w:sz w:val="22"/>
        </w:rPr>
        <w:t>Running title: Economic conditions and female sex work in Pakistan</w:t>
      </w:r>
    </w:p>
    <w:p>
      <w:pPr>
        <w:spacing w:line="276" w:lineRule="auto" w:before="120" w:after="40"/>
        <w:jc w:val="left"/>
      </w:pPr>
      <w:r>
        <w:rPr>
          <w:rFonts w:ascii="Times New Roman" w:hAnsi="Times New Roman"/>
          <w:sz w:val="22"/>
        </w:rPr>
        <w:t>Article type: Original research</w:t>
      </w:r>
    </w:p>
    <w:p>
      <w:r>
        <w:br w:type="page"/>
      </w:r>
    </w:p>
    <w:p>
      <w:pPr>
        <w:pStyle w:val="Heading1"/>
      </w:pPr>
      <w:r>
        <w:rPr>
          <w:rFonts w:ascii="Times New Roman" w:hAnsi="Times New Roman"/>
          <w:sz w:val="26"/>
        </w:rPr>
        <w:t>Abstract</w:t>
      </w:r>
    </w:p>
    <w:p>
      <w:pPr>
        <w:pStyle w:val="Heading2"/>
      </w:pPr>
      <w:r>
        <w:rPr>
          <w:rFonts w:ascii="Times New Roman" w:hAnsi="Times New Roman"/>
          <w:sz w:val="24"/>
        </w:rPr>
        <w:t>Background</w:t>
      </w:r>
    </w:p>
    <w:p>
      <w:pPr>
        <w:spacing w:line="480" w:lineRule="auto" w:after="0"/>
        <w:ind w:firstLine="432"/>
      </w:pPr>
      <w:r>
        <w:rPr>
          <w:rFonts w:ascii="Times New Roman" w:hAnsi="Times New Roman"/>
          <w:sz w:val="24"/>
        </w:rPr>
        <w:t>Pakistan has one of the fastest-growing HIV epidemics in the World Health Organization Eastern Mediterranean Region. Female sex workers are a key population for HIV prevention, but the economic conditions associated with changes in their mapped population have not been examined across the complete Pakistani surveillance series. We assessed whether socioeconomic deterioration was associated with mapped female sex worker density, population size, growth, or organisation.</w:t>
      </w:r>
    </w:p>
    <w:p>
      <w:pPr>
        <w:pStyle w:val="Heading2"/>
      </w:pPr>
      <w:r>
        <w:rPr>
          <w:rFonts w:ascii="Times New Roman" w:hAnsi="Times New Roman"/>
          <w:sz w:val="24"/>
        </w:rPr>
        <w:t>Methods</w:t>
      </w:r>
    </w:p>
    <w:p>
      <w:pPr>
        <w:spacing w:line="480" w:lineRule="auto" w:after="0"/>
        <w:ind w:firstLine="432"/>
      </w:pPr>
      <w:r>
        <w:rPr>
          <w:rFonts w:ascii="Times New Roman" w:hAnsi="Times New Roman"/>
          <w:sz w:val="24"/>
        </w:rPr>
        <w:t>We conducted a retrospective ecological study using 49 city-round observations from Pakistan's published female sex work mapping and integrated biological and behavioural surveillance rounds in 2006-07, 2011, 2014, and 2016-17. City outcomes were linked through an explicit geographic crosswalk to district urban indicators from the Pakistan Social and Living Standards Measurement Survey and to round-level indicators from Pakistan Economic Surveys. The primary analysis was the Spearman correlation between recent household economic deterioration and mapped female sex worker density across 15 cities in 2011, with permutation inference and a bootstrap confidence interval. Secondary analyses examined poverty, female illiteracy, sanitation deprivation, absolute mapped population, work setting, network organisation, robust linear regressions, nonlinear models, common-city changes, and 32 exact round-level economic-marker correlations. False-discovery-rate adjustment was used for exploratory families.</w:t>
      </w:r>
    </w:p>
    <w:p>
      <w:pPr>
        <w:pStyle w:val="Heading2"/>
      </w:pPr>
      <w:r>
        <w:rPr>
          <w:rFonts w:ascii="Times New Roman" w:hAnsi="Times New Roman"/>
          <w:sz w:val="24"/>
        </w:rPr>
        <w:t>Results</w:t>
      </w:r>
    </w:p>
    <w:p>
      <w:pPr>
        <w:spacing w:line="480" w:lineRule="auto" w:after="0"/>
        <w:ind w:firstLine="432"/>
      </w:pPr>
      <w:r>
        <w:rPr>
          <w:rFonts w:ascii="Times New Roman" w:hAnsi="Times New Roman"/>
          <w:sz w:val="24"/>
        </w:rPr>
        <w:t>Recent deterioration was weakly inversely associated with mapped density in 2011 (rho = -0.138; bootstrap 95% confidence interval -0.597 to 0.372; permutation p = 0.620). It was positively associated with absolute mapped population (rho = 0.657) and kothikhana share (rho = 0.618), and inversely associated with cellphone-based share (rho = -0.515). All-area deterioration and kothikhana share produced the only association that survived adjustment across the 54-cell cross-sectional atlas (rho = 0.771; q = 0.041). During the 2006-07 to 2011 deterioration interval, the ten-city common mapped population increased 66.3%, while median home-based share rose 18.3 percentage points and street-based share fell 24.2 points. In continuous panels, annualised mapped-population growth slowed from 9.65% during deterioration to 5.30% during recovery in four cities, and from 14.39% to 0.87% in six cities followed through 2016-17. None of the 32 round-level macro-marker correlations was distinguishable with three or four rounds after exact inference and multiplicity adjustment.</w:t>
      </w:r>
    </w:p>
    <w:p>
      <w:pPr>
        <w:pStyle w:val="Heading2"/>
      </w:pPr>
      <w:r>
        <w:rPr>
          <w:rFonts w:ascii="Times New Roman" w:hAnsi="Times New Roman"/>
          <w:sz w:val="24"/>
        </w:rPr>
        <w:t>Conclusions</w:t>
      </w:r>
    </w:p>
    <w:p>
      <w:pPr>
        <w:spacing w:line="480" w:lineRule="auto" w:after="0"/>
        <w:ind w:firstLine="432"/>
      </w:pPr>
      <w:r>
        <w:rPr>
          <w:rFonts w:ascii="Times New Roman" w:hAnsi="Times New Roman"/>
          <w:sz w:val="24"/>
        </w:rPr>
        <w:t>The complete published Pakistani series contains an economic signal, but density alone does not capture it. Economic deterioration coincided with rapid growth and reorganisation of the mapped female sex worker population. Improved conditions coincided with strong growth deceleration toward a plateau rather than immediate population decline. The pattern is consistent with fewer net entrants during recovery combined with barriers to exit, although the surveys did not observe individual entry and exit.</w:t>
      </w:r>
    </w:p>
    <w:p>
      <w:pPr>
        <w:spacing w:line="480" w:lineRule="auto" w:after="0"/>
        <w:ind w:firstLine="432"/>
      </w:pPr>
      <w:r>
        <w:rPr>
          <w:rFonts w:ascii="Times New Roman" w:hAnsi="Times New Roman"/>
          <w:sz w:val="24"/>
        </w:rPr>
        <w:t>Keywords: female sex workers; HIV surveillance; economic distress; Pakistan; population size estimation; ecological study; sex work organisation</w:t>
      </w:r>
    </w:p>
    <w:p>
      <w:pPr>
        <w:pStyle w:val="Heading1"/>
      </w:pPr>
      <w:r>
        <w:rPr>
          <w:rFonts w:ascii="Times New Roman" w:hAnsi="Times New Roman"/>
          <w:sz w:val="26"/>
        </w:rPr>
        <w:t>Introduction</w:t>
      </w:r>
    </w:p>
    <w:p>
      <w:pPr>
        <w:spacing w:line="480" w:lineRule="auto" w:after="0"/>
        <w:ind w:firstLine="432"/>
      </w:pPr>
      <w:r>
        <w:rPr>
          <w:rFonts w:ascii="Times New Roman" w:hAnsi="Times New Roman"/>
          <w:sz w:val="24"/>
        </w:rPr>
        <w:t>Pakistan's HIV epidemic has entered a period in which surveillance, prevention, and economic vulnerability can no longer be treated as separate public-health questions. In 2024, an estimated 350,000 people were living with HIV in the country and 48,000 acquired HIV, three times the estimated 16,000 new infections in 2010. Only 21% of people living with HIV knew their status, 16% were receiving treatment, and 7% had achieved viral suppression. [1] These figures sit far below national testing and treatment ambitions and indicate an epidemic expanding faster than the response has reached it. [2]</w:t>
      </w:r>
    </w:p>
    <w:p>
      <w:pPr>
        <w:spacing w:line="480" w:lineRule="auto" w:after="0"/>
        <w:ind w:firstLine="432"/>
      </w:pPr>
      <w:r>
        <w:rPr>
          <w:rFonts w:ascii="Times New Roman" w:hAnsi="Times New Roman"/>
          <w:sz w:val="24"/>
        </w:rPr>
        <w:t>Pakistan's general-population adult HIV prevalence remains low, but this national average conceals a concentrated and geographically uneven epidemic. Integrated biological and behavioural surveillance in 2016-17 reported HIV prevalence of 38.4% among people who inject drugs, 7.1% among transgender people, 5.6% among male sex workers, 5.4% among men who have sex with men, and 2.2% among female sex workers. [3,4] Female sex worker prevalence reached 8.8% in Sukkur, illustrating how national averages can obscure local epidemics. [5] Pakistan's national strategy has therefore treated key-population size estimates and city-level surveillance as essential for locating prevention need, selecting priority cities, and allocating limited services. [2]</w:t>
      </w:r>
    </w:p>
    <w:p>
      <w:pPr>
        <w:spacing w:line="480" w:lineRule="auto" w:after="0"/>
        <w:ind w:firstLine="432"/>
      </w:pPr>
      <w:r>
        <w:rPr>
          <w:rFonts w:ascii="Times New Roman" w:hAnsi="Times New Roman"/>
          <w:sz w:val="24"/>
        </w:rPr>
        <w:t>Female sex work in Pakistan is not one uniform or fully visible market. National mapping has described street-based, home-based, brothel-based, kothikhana-based, and cellphone-mediated arrangements, often with overlapping roles for network operators and intermediaries. [6] The number, concentration, organisation, and client volume of female sex workers vary substantially between cities. [7,8] Repeated surveillance also documented growth in mapped populations and changes in work setting, technology, client volume, and vulnerability between rounds. [9] This heterogeneity matters for HIV programmes because a population moving from visible streets to homes or mediated networks may become harder to reach even if its density appears unchanged.</w:t>
      </w:r>
    </w:p>
    <w:p>
      <w:pPr>
        <w:spacing w:line="480" w:lineRule="auto" w:after="0"/>
        <w:ind w:firstLine="432"/>
      </w:pPr>
      <w:r>
        <w:rPr>
          <w:rFonts w:ascii="Times New Roman" w:hAnsi="Times New Roman"/>
          <w:sz w:val="24"/>
        </w:rPr>
        <w:t>Economic conditions offer one possible explanation for part of this movement. In a Lahore survey, financial need was reported by 91% of participants as a reason for entering sex work, 99% described economic survival as a reason for continuing, and the median duration in sex work was seven years. [10] International evidence shows similar pathways. Household health and income shocks have increased higher-paid or riskier transactional sex, drought has increased transactional sex and sexually transmitted infections, and recessions have expanded less formal sex-work supply. [11-13] Improved economic opportunities can work in the opposite direction: economic expansion in Zambian mining cities was associated with less transactional sex, and a Cambodian field experiment found that stronger incentives for outside employment increased non-sex-work earnings and reduced sex work. [14,15]</w:t>
      </w:r>
    </w:p>
    <w:p>
      <w:pPr>
        <w:spacing w:line="480" w:lineRule="auto" w:after="0"/>
        <w:ind w:firstLine="432"/>
      </w:pPr>
      <w:r>
        <w:rPr>
          <w:rFonts w:ascii="Times New Roman" w:hAnsi="Times New Roman"/>
          <w:sz w:val="24"/>
        </w:rPr>
        <w:t>The same economy also shapes demand. When earnings fall, more women may need income while clients have less money to spend. Zimbabwe's economic collapse reduced some formal commercial demand but also dispersed sexual-economic exchange into more private, informal, and commodity-based forms. [16] A complementary Zimbabwean analysis linked layoffs and falling migrant wages with lower client volume, followed by renewed activity as the economy recovered. [17] Population size, work setting, mobility, price, entry, and exit may therefore move in different directions during the same economic period.</w:t>
      </w:r>
    </w:p>
    <w:p>
      <w:pPr>
        <w:spacing w:line="480" w:lineRule="auto" w:after="0"/>
        <w:ind w:firstLine="432"/>
      </w:pPr>
      <w:r>
        <w:rPr>
          <w:rFonts w:ascii="Times New Roman" w:hAnsi="Times New Roman"/>
          <w:sz w:val="24"/>
        </w:rPr>
        <w:t>Exit adds a further time dimension. Studies from Thailand, Rwanda, South Africa, the United Kingdom, the United States, and Malawi describe long occupational durations, repeated exit attempts, re-entry after income shocks, and practical barriers created by limited alternative employment, housing insecurity, violence, and continuing financial need. [18-23] If deterioration increases entry but improved conditions mainly reduce new entry, the population can expand during a downturn and then plateau during recovery without immediately returning to its earlier level.</w:t>
      </w:r>
    </w:p>
    <w:p>
      <w:pPr>
        <w:spacing w:line="480" w:lineRule="auto" w:after="0"/>
        <w:ind w:firstLine="432"/>
      </w:pPr>
      <w:r>
        <w:rPr>
          <w:rFonts w:ascii="Times New Roman" w:hAnsi="Times New Roman"/>
          <w:sz w:val="24"/>
        </w:rPr>
        <w:t>Despite this plausible connection, no previous study has combined the complete published Pakistani female sex work mapping series with matched local socioeconomic surveys and contemporaneous national economic indicators. Earlier Pakistani publications described population size, structure, HIV vulnerability, and geographic heterogeneity, but did not test how multiple sex-work markers mapped against economic conditions over time. [24-26]</w:t>
      </w:r>
    </w:p>
    <w:p>
      <w:pPr>
        <w:spacing w:line="480" w:lineRule="auto" w:after="0"/>
        <w:ind w:firstLine="432"/>
      </w:pPr>
      <w:r>
        <w:rPr>
          <w:rFonts w:ascii="Times New Roman" w:hAnsi="Times New Roman"/>
          <w:sz w:val="24"/>
        </w:rPr>
        <w:t>We therefore asked whether independently measured economic conditions were associated with the density, population size, growth, and organisation of mapped female sex work across Pakistani cities and surveillance rounds. The primary analysis tested the 2011 city-level association between recent household economic deterioration and source-reported female sex worker density. Secondary and exploratory analyses tested acute deterioration against chronic deprivation, absolute population size, typology and network organisation, cross-round change, improved economic conditions, and national macroeconomic indicators. The aim was to identify what the complete available data show, including which proposed markers fail and which dimensions carry a reproducible signal.</w:t>
      </w:r>
    </w:p>
    <w:p>
      <w:pPr>
        <w:pStyle w:val="Heading1"/>
      </w:pPr>
      <w:r>
        <w:rPr>
          <w:rFonts w:ascii="Times New Roman" w:hAnsi="Times New Roman"/>
          <w:sz w:val="26"/>
        </w:rPr>
        <w:t>Methods</w:t>
      </w:r>
    </w:p>
    <w:p>
      <w:pPr>
        <w:pStyle w:val="Heading2"/>
      </w:pPr>
      <w:r>
        <w:rPr>
          <w:rFonts w:ascii="Times New Roman" w:hAnsi="Times New Roman"/>
          <w:sz w:val="24"/>
        </w:rPr>
        <w:t>Study design and reporting</w:t>
      </w:r>
    </w:p>
    <w:p>
      <w:pPr>
        <w:spacing w:line="480" w:lineRule="auto" w:after="0"/>
        <w:ind w:firstLine="432"/>
      </w:pPr>
      <w:r>
        <w:rPr>
          <w:rFonts w:ascii="Times New Roman" w:hAnsi="Times New Roman"/>
          <w:sz w:val="24"/>
        </w:rPr>
        <w:t>We conducted a retrospective multi-period ecological study. One observation represented one city in one surveillance round. The primary analysis was a 2011 cross-section of 15 cities. The historical series comprised 49 unique city-round observations: 12 in 2006-07, 15 in 2011, four in 2014, and 18 in 2016-17. The protocol specified within-round analysis because surveillance coverage, mapping procedures, population definitions, and work organisation changed over time. Cross-round comparisons were therefore conducted separately and with common-city panels rather than by pooling all city-round rows. Reporting follows the STROBE recommendations for observational studies. [27]</w:t>
      </w:r>
    </w:p>
    <w:p>
      <w:pPr>
        <w:pStyle w:val="Heading2"/>
      </w:pPr>
      <w:r>
        <w:rPr>
          <w:rFonts w:ascii="Times New Roman" w:hAnsi="Times New Roman"/>
          <w:sz w:val="24"/>
        </w:rPr>
        <w:t>Female sex work surveillance sources</w:t>
      </w:r>
    </w:p>
    <w:p>
      <w:pPr>
        <w:spacing w:line="480" w:lineRule="auto" w:after="0"/>
        <w:ind w:firstLine="432"/>
      </w:pPr>
      <w:r>
        <w:rPr>
          <w:rFonts w:ascii="Times New Roman" w:hAnsi="Times New Roman"/>
          <w:sz w:val="24"/>
        </w:rPr>
        <w:t>Female sex work data came from four published Pakistani surveillance periods. Round II of HIV second-generation surveillance supplied 2006-07 city totals and typology counts for 12 cities. [28] Round IV supplied the primary 2011 mapping data for 15 cities, including total mapped population, density per 1,000 adult men, and counts or shares for work settings. [6,29] The Punjab Integrated Biological and Behavioral Surveillance report supplied 2014 typology counts for Faisalabad, Lahore, Multan, and Sargodha. [30] The 2015 mapping publication and Round V report supplied later city totals for 2015-17. [4,31]</w:t>
      </w:r>
    </w:p>
    <w:p>
      <w:pPr>
        <w:spacing w:line="480" w:lineRule="auto" w:after="0"/>
        <w:ind w:firstLine="432"/>
      </w:pPr>
      <w:r>
        <w:rPr>
          <w:rFonts w:ascii="Times New Roman" w:hAnsi="Times New Roman"/>
          <w:sz w:val="24"/>
        </w:rPr>
        <w:t>The analytical hierarchy was determined by data comparability. The 2011 round was primary because it was the only acquired source reporting city-specific female sex worker density per 1,000 adult men with broad geographic coverage and a consistent within-round method. The 2006-07 and 2014 rounds were eligible for structural replication because they reported city typology counts but not comparable density. Round V was eligible only for common-city count comparisons because it did not publish city density or city typology composition in the acquired report.</w:t>
      </w:r>
    </w:p>
    <w:p>
      <w:pPr>
        <w:pStyle w:val="Caption"/>
        <w:keepNext/>
      </w:pPr>
      <w:r>
        <w:rPr>
          <w:rFonts w:ascii="Times New Roman" w:hAnsi="Times New Roman"/>
          <w:b/>
          <w:sz w:val="20"/>
        </w:rPr>
        <w:t>Table 1. Surveillance rounds, available measures, and analytical use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6"/>
        <w:gridCol w:w="1806"/>
        <w:gridCol w:w="1806"/>
        <w:gridCol w:w="1806"/>
        <w:gridCol w:w="1806"/>
      </w:tblGrid>
      <w:tr>
        <w:trPr>
          <w:tblHeader w:val="true"/>
        </w:trPr>
        <w:tc>
          <w:tcPr>
            <w:tcW w:type="dxa" w:w="115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Round</w:t>
            </w:r>
          </w:p>
        </w:tc>
        <w:tc>
          <w:tcPr>
            <w:tcW w:type="dxa" w:w="86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Cities</w:t>
            </w:r>
          </w:p>
        </w:tc>
        <w:tc>
          <w:tcPr>
            <w:tcW w:type="dxa" w:w="302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Available FSW measures</w:t>
            </w:r>
          </w:p>
        </w:tc>
        <w:tc>
          <w:tcPr>
            <w:tcW w:type="dxa" w:w="216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Economic pairing</w:t>
            </w:r>
          </w:p>
        </w:tc>
        <w:tc>
          <w:tcPr>
            <w:tcW w:type="dxa" w:w="216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Analytical use</w:t>
            </w:r>
          </w:p>
        </w:tc>
      </w:tr>
      <w:tr>
        <w:tc>
          <w:tcPr>
            <w:tcW w:type="dxa" w:w="1152"/>
            <w:vAlign w:val="center"/>
            <w:tcMar>
              <w:top w:w="90" w:type="dxa"/>
              <w:start w:w="100" w:type="dxa"/>
              <w:bottom w:w="90" w:type="dxa"/>
              <w:end w:w="100" w:type="dxa"/>
            </w:tcMar>
          </w:tcPr>
          <w:p>
            <w:pPr>
              <w:spacing w:after="0" w:line="240" w:lineRule="auto"/>
              <w:jc w:val="left"/>
            </w:pPr>
            <w:r>
              <w:rPr>
                <w:rFonts w:ascii="Times New Roman" w:hAnsi="Times New Roman"/>
                <w:sz w:val="17"/>
              </w:rPr>
              <w:t>2006-07</w:t>
            </w:r>
          </w:p>
        </w:tc>
        <w:tc>
          <w:tcPr>
            <w:tcW w:type="dxa" w:w="864"/>
            <w:vAlign w:val="center"/>
            <w:tcMar>
              <w:top w:w="90" w:type="dxa"/>
              <w:start w:w="100" w:type="dxa"/>
              <w:bottom w:w="90" w:type="dxa"/>
              <w:end w:w="100" w:type="dxa"/>
            </w:tcMar>
          </w:tcPr>
          <w:p>
            <w:pPr>
              <w:spacing w:after="0" w:line="240" w:lineRule="auto"/>
              <w:jc w:val="center"/>
            </w:pPr>
            <w:r>
              <w:rPr>
                <w:rFonts w:ascii="Times New Roman" w:hAnsi="Times New Roman"/>
                <w:sz w:val="17"/>
              </w:rPr>
              <w:t>12</w:t>
            </w:r>
          </w:p>
        </w:tc>
        <w:tc>
          <w:tcPr>
            <w:tcW w:type="dxa" w:w="3024"/>
            <w:vAlign w:val="center"/>
            <w:tcMar>
              <w:top w:w="90" w:type="dxa"/>
              <w:start w:w="100" w:type="dxa"/>
              <w:bottom w:w="90" w:type="dxa"/>
              <w:end w:w="100" w:type="dxa"/>
            </w:tcMar>
          </w:tcPr>
          <w:p>
            <w:pPr>
              <w:spacing w:after="0" w:line="240" w:lineRule="auto"/>
              <w:jc w:val="left"/>
            </w:pPr>
            <w:r>
              <w:rPr>
                <w:rFonts w:ascii="Times New Roman" w:hAnsi="Times New Roman"/>
                <w:sz w:val="17"/>
              </w:rPr>
              <w:t>Mapped total and typology</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PSLM 2006-07; PES 2006-07</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Structural replication and common-city change</w:t>
            </w:r>
          </w:p>
        </w:tc>
      </w:tr>
      <w:tr>
        <w:tc>
          <w:tcPr>
            <w:tcW w:type="dxa" w:w="115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2011</w:t>
            </w:r>
          </w:p>
        </w:tc>
        <w:tc>
          <w:tcPr>
            <w:tcW w:type="dxa" w:w="864"/>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30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Mapped total, density, typology, and network structure</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PSLM 2010-11; model-based poverty; PES 2010-11</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Primary cross-section and multi-marker analysis</w:t>
            </w:r>
          </w:p>
        </w:tc>
      </w:tr>
      <w:tr>
        <w:tc>
          <w:tcPr>
            <w:tcW w:type="dxa" w:w="1152"/>
            <w:vAlign w:val="center"/>
            <w:tcMar>
              <w:top w:w="90" w:type="dxa"/>
              <w:start w:w="100" w:type="dxa"/>
              <w:bottom w:w="90" w:type="dxa"/>
              <w:end w:w="100" w:type="dxa"/>
            </w:tcMar>
          </w:tcPr>
          <w:p>
            <w:pPr>
              <w:spacing w:after="0" w:line="240" w:lineRule="auto"/>
              <w:jc w:val="left"/>
            </w:pPr>
            <w:r>
              <w:rPr>
                <w:rFonts w:ascii="Times New Roman" w:hAnsi="Times New Roman"/>
                <w:sz w:val="17"/>
              </w:rPr>
              <w:t>2014</w:t>
            </w:r>
          </w:p>
        </w:tc>
        <w:tc>
          <w:tcPr>
            <w:tcW w:type="dxa" w:w="864"/>
            <w:vAlign w:val="center"/>
            <w:tcMar>
              <w:top w:w="90" w:type="dxa"/>
              <w:start w:w="100" w:type="dxa"/>
              <w:bottom w:w="90" w:type="dxa"/>
              <w:end w:w="100" w:type="dxa"/>
            </w:tcMar>
          </w:tcPr>
          <w:p>
            <w:pPr>
              <w:spacing w:after="0" w:line="240" w:lineRule="auto"/>
              <w:jc w:val="center"/>
            </w:pPr>
            <w:r>
              <w:rPr>
                <w:rFonts w:ascii="Times New Roman" w:hAnsi="Times New Roman"/>
                <w:sz w:val="17"/>
              </w:rPr>
              <w:t>4</w:t>
            </w:r>
          </w:p>
        </w:tc>
        <w:tc>
          <w:tcPr>
            <w:tcW w:type="dxa" w:w="3024"/>
            <w:vAlign w:val="center"/>
            <w:tcMar>
              <w:top w:w="90" w:type="dxa"/>
              <w:start w:w="100" w:type="dxa"/>
              <w:bottom w:w="90" w:type="dxa"/>
              <w:end w:w="100" w:type="dxa"/>
            </w:tcMar>
          </w:tcPr>
          <w:p>
            <w:pPr>
              <w:spacing w:after="0" w:line="240" w:lineRule="auto"/>
              <w:jc w:val="left"/>
            </w:pPr>
            <w:r>
              <w:rPr>
                <w:rFonts w:ascii="Times New Roman" w:hAnsi="Times New Roman"/>
                <w:sz w:val="17"/>
              </w:rPr>
              <w:t>Mapped total and typology in Punjab</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PSLM 2014-15; PES 2014-15</w:t>
            </w:r>
          </w:p>
        </w:tc>
        <w:tc>
          <w:tcPr>
            <w:tcW w:type="dxa" w:w="2160"/>
            <w:vAlign w:val="center"/>
            <w:tcMar>
              <w:top w:w="90" w:type="dxa"/>
              <w:start w:w="100" w:type="dxa"/>
              <w:bottom w:w="90" w:type="dxa"/>
              <w:end w:w="100" w:type="dxa"/>
            </w:tcMar>
          </w:tcPr>
          <w:p>
            <w:pPr>
              <w:spacing w:after="0" w:line="240" w:lineRule="auto"/>
              <w:jc w:val="left"/>
            </w:pPr>
            <w:r>
              <w:rPr>
                <w:rFonts w:ascii="Times New Roman" w:hAnsi="Times New Roman"/>
                <w:sz w:val="17"/>
              </w:rPr>
              <w:t>Regional structural replication and recovery comparison</w:t>
            </w:r>
          </w:p>
        </w:tc>
      </w:tr>
      <w:tr>
        <w:tc>
          <w:tcPr>
            <w:tcW w:type="dxa" w:w="115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2016-17</w:t>
            </w:r>
          </w:p>
        </w:tc>
        <w:tc>
          <w:tcPr>
            <w:tcW w:type="dxa" w:w="864"/>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18</w:t>
            </w:r>
          </w:p>
        </w:tc>
        <w:tc>
          <w:tcPr>
            <w:tcW w:type="dxa" w:w="30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Printed city totals only</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PES 2016-17; local district exposure not forced</w:t>
            </w:r>
          </w:p>
        </w:tc>
        <w:tc>
          <w:tcPr>
            <w:tcW w:type="dxa" w:w="216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Context and common-city count comparison</w:t>
            </w:r>
          </w:p>
        </w:tc>
      </w:tr>
    </w:tbl>
    <w:p>
      <w:pPr>
        <w:pStyle w:val="Heading2"/>
      </w:pPr>
      <w:r>
        <w:rPr>
          <w:rFonts w:ascii="Times New Roman" w:hAnsi="Times New Roman"/>
          <w:sz w:val="24"/>
        </w:rPr>
        <w:t>Socioeconomic and macroeconomic sources</w:t>
      </w:r>
    </w:p>
    <w:p>
      <w:pPr>
        <w:spacing w:line="480" w:lineRule="auto" w:after="0"/>
        <w:ind w:firstLine="432"/>
      </w:pPr>
      <w:r>
        <w:rPr>
          <w:rFonts w:ascii="Times New Roman" w:hAnsi="Times New Roman"/>
          <w:sz w:val="24"/>
        </w:rPr>
        <w:t>Local socioeconomic indicators came from district reports of the Pakistan Social and Living Standards Measurement Survey (PSLM) for 2006-07, 2010-11, and 2014-15. [32-34] The primary exposure was the percentage of households in the matched district urban stratum reporting that their economic situation was "much worse" or "worse" than one year earlier. The two response categories were summed from the published economic-situation table. Urban strata were used because the outcomes were city-based. The equivalent all-area district measure was retained for sensitivity analysis.</w:t>
      </w:r>
    </w:p>
    <w:p>
      <w:pPr>
        <w:spacing w:line="480" w:lineRule="auto" w:after="0"/>
        <w:ind w:firstLine="432"/>
      </w:pPr>
      <w:r>
        <w:rPr>
          <w:rFonts w:ascii="Times New Roman" w:hAnsi="Times New Roman"/>
          <w:sz w:val="24"/>
        </w:rPr>
        <w:t>Secondary 2011 exposures were the urban poverty headcount, female illiteracy, and sanitation deprivation. Urban poverty came from model-based district estimates produced by the Social Policy and Development Centre. [35] Female illiteracy was calculated as 100 minus the PSLM urban female literacy rate for people aged ten years or older. Sanitation deprivation was 100 minus the percentage of urban households with a flush toilet. Higher values represented worse conditions.</w:t>
      </w:r>
    </w:p>
    <w:p>
      <w:pPr>
        <w:spacing w:line="480" w:lineRule="auto" w:after="0"/>
        <w:ind w:firstLine="432"/>
      </w:pPr>
      <w:r>
        <w:rPr>
          <w:rFonts w:ascii="Times New Roman" w:hAnsi="Times New Roman"/>
          <w:sz w:val="24"/>
        </w:rPr>
        <w:t>Pakistan Economic Survey overviews provided national real gross domestic product growth, consumer-price inflation, per-capita income, and open unemployment for the four surveillance periods. [36-39] These indicators were retained at their true round level and were never repeated across city rows. Labour Force Survey reports were reviewed but excluded as city predictors because their published designs supported national or provincial estimates rather than the district-city inference required for this study.</w:t>
      </w:r>
    </w:p>
    <w:p>
      <w:pPr>
        <w:pStyle w:val="Heading2"/>
      </w:pPr>
      <w:r>
        <w:rPr>
          <w:rFonts w:ascii="Times New Roman" w:hAnsi="Times New Roman"/>
          <w:sz w:val="24"/>
        </w:rPr>
        <w:t>Eligibility and exclusion criteria</w:t>
      </w:r>
    </w:p>
    <w:p>
      <w:pPr>
        <w:spacing w:line="480" w:lineRule="auto" w:after="0"/>
        <w:ind w:firstLine="432"/>
      </w:pPr>
      <w:r>
        <w:rPr>
          <w:rFonts w:ascii="Times New Roman" w:hAnsi="Times New Roman"/>
          <w:sz w:val="24"/>
        </w:rPr>
        <w:t>We included a surveillance round when the source was official or peer reviewed, city-level female sex worker measures could be extracted and reconciled, and a defensible economic period and geography could be assigned. A city entered a named analysis only when both required variables were available. No missing value was imputed, and unavailable density or typology was never coded as zero.</w:t>
      </w:r>
    </w:p>
    <w:p>
      <w:pPr>
        <w:spacing w:line="480" w:lineRule="auto" w:after="0"/>
        <w:ind w:firstLine="432"/>
      </w:pPr>
      <w:r>
        <w:rPr>
          <w:rFonts w:ascii="Times New Roman" w:hAnsi="Times New Roman"/>
          <w:sz w:val="24"/>
        </w:rPr>
        <w:t>We excluded or restricted evidence for five reasons. First, no adult-male denominator was reconstructed for rounds that did not publish density. Second, Round V's 18 printed city estimates summed to 71,315, while its printed grand total was 64,829; the city rows were preserved for common-city comparisons, but the inconsistent grand total was not used. Third, the 2015 mapping excerpt lacked the full city tables required for independent analysis. Fourth, Labour Force Survey values were used only as period context because district representativeness could not be established. Fifth, a publications-page link labelled as the 2006-07 Labour Force Survey returned a 2008-09 report and was rejected. Newer Round VI data were not included because no legitimately accessible, citable city dataset was available at the analysis cutoff.</w:t>
      </w:r>
    </w:p>
    <w:p>
      <w:pPr>
        <w:pStyle w:val="Heading2"/>
      </w:pPr>
      <w:r>
        <w:rPr>
          <w:rFonts w:ascii="Times New Roman" w:hAnsi="Times New Roman"/>
          <w:sz w:val="24"/>
        </w:rPr>
        <w:t>Geographic and temporal matching</w:t>
      </w:r>
    </w:p>
    <w:p>
      <w:pPr>
        <w:spacing w:line="480" w:lineRule="auto" w:after="0"/>
        <w:ind w:firstLine="432"/>
      </w:pPr>
      <w:r>
        <w:rPr>
          <w:rFonts w:ascii="Times New Roman" w:hAnsi="Times New Roman"/>
          <w:sz w:val="24"/>
        </w:rPr>
        <w:t>Every surveillance city was linked through an explicit crosswalk rather than a text-name join. Matches were graded close, composite, district proxy, or problematic. Large-city strata supported close matches for most major cities. Karachi was classified as composite because the surveillance metropolis did not map cleanly to one stable district geography. Nawabshah was linked to Shaheed Benazirabad with a documented rename. Other cities used the relevant district urban stratum as a proxy. The primary sample retained all documented matches; sensitivity analyses restricted the sample to close matches and to close or composite matches.</w:t>
      </w:r>
    </w:p>
    <w:p>
      <w:pPr>
        <w:spacing w:line="480" w:lineRule="auto" w:after="0"/>
        <w:ind w:firstLine="432"/>
      </w:pPr>
      <w:r>
        <w:rPr>
          <w:rFonts w:ascii="Times New Roman" w:hAnsi="Times New Roman"/>
          <w:sz w:val="24"/>
        </w:rPr>
        <w:t>The time pairings were 2006-07 surveillance with PSLM 2006-07, 2011 surveillance with PSLM 2010-11, and 2014 surveillance with PSLM 2014-15. Round V spanned 2015-17 and used the nearest national macroeconomic context without forcing a distant district exposure. Temporal offsets were recorded as potential measurement error.</w:t>
      </w:r>
    </w:p>
    <w:p>
      <w:pPr>
        <w:pStyle w:val="Heading2"/>
      </w:pPr>
      <w:r>
        <w:rPr>
          <w:rFonts w:ascii="Times New Roman" w:hAnsi="Times New Roman"/>
          <w:sz w:val="24"/>
        </w:rPr>
        <w:t>Outcomes and derived measures</w:t>
      </w:r>
    </w:p>
    <w:p>
      <w:pPr>
        <w:spacing w:line="480" w:lineRule="auto" w:after="0"/>
        <w:ind w:firstLine="432"/>
      </w:pPr>
      <w:r>
        <w:rPr>
          <w:rFonts w:ascii="Times New Roman" w:hAnsi="Times New Roman"/>
          <w:sz w:val="24"/>
        </w:rPr>
        <w:t>The primary outcome was the source-reported 2011 mapped female sex worker population per 1,000 adult men. Secondary outcomes were absolute mapped population and the percentage of the mapped population classified as brothel-, street-, home-, kothikhana-, cellphone-, or other-based. Shares were calculated against the source total without renormalising away other or undefined categories. Network outcomes extracted from the 2011 peer-reviewed table included the number of network operators and average numbers of home-based, kothikhana-based, and all networked female sex workers per operator, kothikhanas per operator, and female sex workers per kothikhana.</w:t>
      </w:r>
    </w:p>
    <w:p>
      <w:pPr>
        <w:spacing w:line="480" w:lineRule="auto" w:after="0"/>
        <w:ind w:firstLine="432"/>
      </w:pPr>
      <w:r>
        <w:rPr>
          <w:rFonts w:ascii="Times New Roman" w:hAnsi="Times New Roman"/>
          <w:sz w:val="24"/>
        </w:rPr>
        <w:t>An implied adult-male population was calculated for diagnostic scale analysis as mapped total multiplied by 1,000 and divided by the source-reported density. It was not treated as an independently observed population estimate. A chronic-deprivation index was created after the primary analysis by standardising 2011 urban poverty, female illiteracy, and sanitation deprivation within the 15-city sample and taking their equal-weight mean. Recent deterioration and chronic deprivation were retained as separate exposures because one measures change relative to the preceding year while the other measures persistent disadvantage.</w:t>
      </w:r>
    </w:p>
    <w:p>
      <w:pPr>
        <w:pStyle w:val="Heading2"/>
      </w:pPr>
      <w:r>
        <w:rPr>
          <w:rFonts w:ascii="Times New Roman" w:hAnsi="Times New Roman"/>
          <w:sz w:val="24"/>
        </w:rPr>
        <w:t>Primary and sensitivity analyses</w:t>
      </w:r>
    </w:p>
    <w:p>
      <w:pPr>
        <w:spacing w:line="480" w:lineRule="auto" w:after="0"/>
        <w:ind w:firstLine="432"/>
      </w:pPr>
      <w:r>
        <w:rPr>
          <w:rFonts w:ascii="Times New Roman" w:hAnsi="Times New Roman"/>
          <w:sz w:val="24"/>
        </w:rPr>
        <w:t>The primary statistic was Spearman's rank correlation between urban household economic deterioration and mapped density in 2011. We reported rho, a two-sided asymptotic p value, a deterministic Monte Carlo permutation p value based on 100,000 permutations, and a percentile bootstrap 95% confidence interval based on 20,000 valid city resamples. The random seed was 20261002.</w:t>
      </w:r>
    </w:p>
    <w:p>
      <w:pPr>
        <w:spacing w:line="480" w:lineRule="auto" w:after="0"/>
        <w:ind w:firstLine="432"/>
      </w:pPr>
      <w:r>
        <w:rPr>
          <w:rFonts w:ascii="Times New Roman" w:hAnsi="Times New Roman"/>
          <w:sz w:val="24"/>
        </w:rPr>
        <w:t>Sensitivity analyses included Pearson correlation; Spearman correlations for poverty, female illiteracy, sanitation deprivation, and all-area deterioration; exclusion of Karachi, Lahore, and both megacities; restriction to close matches and to close or composite matches; and 15 leave-one-city-out estimates. A log1p transformation of density was examined using Pearson correlation and linear regression.</w:t>
      </w:r>
    </w:p>
    <w:p>
      <w:pPr>
        <w:spacing w:line="480" w:lineRule="auto" w:after="0"/>
        <w:ind w:firstLine="432"/>
      </w:pPr>
      <w:r>
        <w:rPr>
          <w:rFonts w:ascii="Times New Roman" w:hAnsi="Times New Roman"/>
          <w:sz w:val="24"/>
        </w:rPr>
        <w:t>We fitted three ordinary least-squares models with HC3 heteroskedasticity-robust standard errors: unadjusted density on recent deterioration; density on recent deterioration plus log mapped population; and log1p density on recent deterioration. The scale-adjusted model was treated as a sensitivity analysis because the mapped count is part of the density numerator. Externally studentised residuals, leverage, and Cook's distance were calculated for the unadjusted model.</w:t>
      </w:r>
    </w:p>
    <w:p>
      <w:pPr>
        <w:pStyle w:val="Heading2"/>
      </w:pPr>
      <w:r>
        <w:rPr>
          <w:rFonts w:ascii="Times New Roman" w:hAnsi="Times New Roman"/>
          <w:sz w:val="24"/>
        </w:rPr>
        <w:t>Multi-marker and multivariable analyses</w:t>
      </w:r>
    </w:p>
    <w:p>
      <w:pPr>
        <w:spacing w:line="480" w:lineRule="auto" w:after="0"/>
        <w:ind w:firstLine="432"/>
      </w:pPr>
      <w:r>
        <w:rPr>
          <w:rFonts w:ascii="Times New Roman" w:hAnsi="Times New Roman"/>
          <w:sz w:val="24"/>
        </w:rPr>
        <w:t>The 2011 association atlas crossed six economic exposures with nine sex-work outcomes, producing 54 Spearman correlations. Exposures were urban and all-area recent deterioration, urban poverty, female illiteracy, sanitation deprivation, and the chronic-deprivation index. Outcomes were mapped density, mapped total, implied adult-male population, and six typology shares. Benjamini-Hochberg false-discovery-rate adjustment was applied across all 54 tests.</w:t>
      </w:r>
    </w:p>
    <w:p>
      <w:pPr>
        <w:spacing w:line="480" w:lineRule="auto" w:after="0"/>
        <w:ind w:firstLine="432"/>
      </w:pPr>
      <w:r>
        <w:rPr>
          <w:rFonts w:ascii="Times New Roman" w:hAnsi="Times New Roman"/>
          <w:sz w:val="24"/>
        </w:rPr>
        <w:t>Ten pairwise correlations examined whether the economic measures captured the same or different dimensions. Twenty-four network correlations crossed four exposures or markers with six network outcomes and received a separate Benjamini-Hochberg adjustment. Seven standardised two-exposure ordinary least-squares models with HC3 standard errors entered recent deterioration and chronic deprivation together to model density, log mapped total, log implied population scale, and street, home, kothikhana, and cellphone shares. These models were kept parsimonious because the sample contained 15 cities.</w:t>
      </w:r>
    </w:p>
    <w:p>
      <w:pPr>
        <w:spacing w:line="480" w:lineRule="auto" w:after="0"/>
        <w:ind w:firstLine="432"/>
      </w:pPr>
      <w:r>
        <w:rPr>
          <w:rFonts w:ascii="Times New Roman" w:hAnsi="Times New Roman"/>
          <w:sz w:val="24"/>
        </w:rPr>
        <w:t>To test whether a missed nonlinear relationship could explain the weak density result, we compared constant-only, linear, quadratic, and cubic polynomial models. Recent deterioration was standardised before fitting, and predictive error was estimated by leave-one-city-out cross-validation. Root-mean-square error was compared with the constant-only model.</w:t>
      </w:r>
    </w:p>
    <w:p>
      <w:pPr>
        <w:pStyle w:val="Heading2"/>
      </w:pPr>
      <w:r>
        <w:rPr>
          <w:rFonts w:ascii="Times New Roman" w:hAnsi="Times New Roman"/>
          <w:sz w:val="24"/>
        </w:rPr>
        <w:t>Structural replication and cross-round change</w:t>
      </w:r>
    </w:p>
    <w:p>
      <w:pPr>
        <w:spacing w:line="480" w:lineRule="auto" w:after="0"/>
        <w:ind w:firstLine="432"/>
      </w:pPr>
      <w:r>
        <w:rPr>
          <w:rFonts w:ascii="Times New Roman" w:hAnsi="Times New Roman"/>
          <w:sz w:val="24"/>
        </w:rPr>
        <w:t>Within 2006-07, 2011, and 2014, we calculated Spearman correlations between urban recent deterioration and home-based and street-based shares. Benjamini-Hochberg adjustment was applied to this six-test replication family. For the ten cities observed in both 2006-07 and 2011, we converted deterioration to a within-round percentile rank before calculating change, because the national response distribution shifted between PSLM rounds. Changes in that percentile were correlated with percentage-point changes in home and street shares.</w:t>
      </w:r>
    </w:p>
    <w:p>
      <w:pPr>
        <w:spacing w:line="480" w:lineRule="auto" w:after="0"/>
        <w:ind w:firstLine="432"/>
      </w:pPr>
      <w:r>
        <w:rPr>
          <w:rFonts w:ascii="Times New Roman" w:hAnsi="Times New Roman"/>
          <w:sz w:val="24"/>
        </w:rPr>
        <w:t>Additional transition analyses calculated city-specific changes in recent deterioration, female illiteracy, sanitation deprivation, and four typology shares from 2006-07 to 2011 and from 2011 to 2014. Spearman correlations between exposure changes and typology changes were treated as exploratory; associations with fewer than six paired cities were reported descriptively without a p value.</w:t>
      </w:r>
    </w:p>
    <w:p>
      <w:pPr>
        <w:pStyle w:val="Heading2"/>
      </w:pPr>
      <w:r>
        <w:rPr>
          <w:rFonts w:ascii="Times New Roman" w:hAnsi="Times New Roman"/>
          <w:sz w:val="24"/>
        </w:rPr>
        <w:t>Deterioration, recovery, and population persistence</w:t>
      </w:r>
    </w:p>
    <w:p>
      <w:pPr>
        <w:spacing w:line="480" w:lineRule="auto" w:after="0"/>
        <w:ind w:firstLine="432"/>
      </w:pPr>
      <w:r>
        <w:rPr>
          <w:rFonts w:ascii="Times New Roman" w:hAnsi="Times New Roman"/>
          <w:sz w:val="24"/>
        </w:rPr>
        <w:t>Common-city panels were used to prevent changing geographic coverage from mechanically determining population change. We compared 2006-07 with 2011 in ten cities, 2011 with 2014 in four cities, and 2011 with 2016-17 in ten cities. For each interval, we calculated combined mapped totals, aggregate and median city percentage change, approximate annualised change, the number of cities increasing or decreasing, and a two-sided exact sign test excluding ties. Spearman correlations tested whether district deterioration change ranked with the log mapped-count ratio when at least six pairs were available.</w:t>
      </w:r>
    </w:p>
    <w:p>
      <w:pPr>
        <w:spacing w:line="480" w:lineRule="auto" w:after="0"/>
        <w:ind w:firstLine="432"/>
      </w:pPr>
      <w:r>
        <w:rPr>
          <w:rFonts w:ascii="Times New Roman" w:hAnsi="Times New Roman"/>
          <w:sz w:val="24"/>
        </w:rPr>
        <w:t>We also constructed two strict continuous panels containing the same cities in all three observations: four cities followed from 2006-07 through 2014 and six followed through 2016-17. These panels compared annualised growth during the deterioration interval with annualised growth during the recovery interval. Because mapping estimates represent stocks, the analysis did not infer unobserved entry or exit counts from the total alone.</w:t>
      </w:r>
    </w:p>
    <w:p>
      <w:pPr>
        <w:pStyle w:val="Heading2"/>
      </w:pPr>
      <w:r>
        <w:rPr>
          <w:rFonts w:ascii="Times New Roman" w:hAnsi="Times New Roman"/>
          <w:sz w:val="24"/>
        </w:rPr>
        <w:t>Round-level macroeconomic marker analysis</w:t>
      </w:r>
    </w:p>
    <w:p>
      <w:pPr>
        <w:spacing w:line="480" w:lineRule="auto" w:after="0"/>
        <w:ind w:firstLine="432"/>
      </w:pPr>
      <w:r>
        <w:rPr>
          <w:rFonts w:ascii="Times New Roman" w:hAnsi="Times New Roman"/>
          <w:sz w:val="24"/>
        </w:rPr>
        <w:t>A round-level panel combined four national indicators with eight sex-work or survey markers: total mapped population across surveyed cities, median and mean city total, median home, street, and kothikhana shares, the home-minus-street balance, and median reported household deterioration. Spearman rho and an exact two-sided permutation p value were calculated for each estimable combination, giving 32 tests with three or four rounds. Benjamini-Hochberg adjustment was applied across this macro-marker atlas. The small number of rounds made these analyses directional and descriptive rather than stable time-series estimates.</w:t>
      </w:r>
    </w:p>
    <w:p>
      <w:pPr>
        <w:pStyle w:val="Heading2"/>
      </w:pPr>
      <w:r>
        <w:rPr>
          <w:rFonts w:ascii="Times New Roman" w:hAnsi="Times New Roman"/>
          <w:sz w:val="24"/>
        </w:rPr>
        <w:t>Bias handling, quality assurance, and software</w:t>
      </w:r>
    </w:p>
    <w:p>
      <w:pPr>
        <w:spacing w:line="480" w:lineRule="auto" w:after="0"/>
        <w:ind w:firstLine="432"/>
      </w:pPr>
      <w:r>
        <w:rPr>
          <w:rFonts w:ascii="Times New Roman" w:hAnsi="Times New Roman"/>
          <w:sz w:val="24"/>
        </w:rPr>
        <w:t>The bias framework addressed surveillance-site selection, hidden-population enumeration, differential visibility of work settings, mapping-method change, city-district mismatch, temporal offset, ecological inference, confounding, small samples, multiplicity, and model-based poverty measurement. We mitigated these risks through within-round comparisons, explicit geographic grades, common-city panels, restricted samples, leave-one-out analysis, megacity exclusions, parsimonious models, robust standard errors, exact or permutation inference, cross-round replication, and false-discovery-rate adjustment. We did not calculate a checklist quality score.</w:t>
      </w:r>
    </w:p>
    <w:p>
      <w:pPr>
        <w:spacing w:line="480" w:lineRule="auto" w:after="0"/>
        <w:ind w:firstLine="432"/>
      </w:pPr>
      <w:r>
        <w:rPr>
          <w:rFonts w:ascii="Times New Roman" w:hAnsi="Times New Roman"/>
          <w:sz w:val="24"/>
        </w:rPr>
        <w:t>All source files were cached with SHA-256 checksums. Automated validation required unique city-round rows, expected city counts, positive totals, percentages from 0% to 100%, reconciliation of typology counts and totals, explicit missingness, complete primary exposures and outcomes, and an auditable source identifier for every major variable. The final dataset contained 49 unique rows and passed all 67 base validation checks, 45 exploratory checks, and 72 independent cross-output checks. Analyses were conducted in Python using pandas and NumPy with transparent implementations of rank correlation, permutation tests, bootstrap intervals, HC3 covariance, influence measures, and exact sign tests. Code, derived data, tables, and validation reports were preserved in a reproducible repository.</w:t>
      </w:r>
    </w:p>
    <w:p>
      <w:pPr>
        <w:pStyle w:val="Heading2"/>
      </w:pPr>
      <w:r>
        <w:rPr>
          <w:rFonts w:ascii="Times New Roman" w:hAnsi="Times New Roman"/>
          <w:sz w:val="24"/>
        </w:rPr>
        <w:t>Ethics</w:t>
      </w:r>
    </w:p>
    <w:p>
      <w:pPr>
        <w:spacing w:line="480" w:lineRule="auto" w:after="0"/>
        <w:ind w:firstLine="432"/>
      </w:pPr>
      <w:r>
        <w:rPr>
          <w:rFonts w:ascii="Times New Roman" w:hAnsi="Times New Roman"/>
          <w:sz w:val="24"/>
        </w:rPr>
        <w:t>The study used only publicly available aggregate reports and de-identified secondary data. It involved no participant recruitment, contact, intervention, or access to identifiable records. Ethical approval and individual informed consent were therefore not required for this analysis.</w:t>
      </w:r>
    </w:p>
    <w:p>
      <w:pPr>
        <w:pStyle w:val="Heading1"/>
      </w:pPr>
      <w:r>
        <w:rPr>
          <w:rFonts w:ascii="Times New Roman" w:hAnsi="Times New Roman"/>
          <w:sz w:val="26"/>
        </w:rPr>
        <w:t>Results</w:t>
      </w:r>
    </w:p>
    <w:p>
      <w:pPr>
        <w:pStyle w:val="Heading2"/>
      </w:pPr>
      <w:r>
        <w:rPr>
          <w:rFonts w:ascii="Times New Roman" w:hAnsi="Times New Roman"/>
          <w:sz w:val="24"/>
        </w:rPr>
        <w:t>Data coverage and analytical sample</w:t>
      </w:r>
    </w:p>
    <w:p>
      <w:pPr>
        <w:spacing w:line="480" w:lineRule="auto" w:after="0"/>
        <w:ind w:firstLine="432"/>
      </w:pPr>
      <w:r>
        <w:rPr>
          <w:rFonts w:ascii="Times New Roman" w:hAnsi="Times New Roman"/>
          <w:sz w:val="24"/>
        </w:rPr>
        <w:t>The dataset contained 49 city-round rows. The 2006-07 round covered 12 cities and mapped 49,037 female sex workers; 2011 covered 15 cities and mapped 89,178; the 2014 Punjab round covered four cities and mapped 44,160; and the 18 printed Round V city rows summed to 71,315. Only 2011 supplied complete city density. Typology was available in 2006-07, 2011, and 2014. All 15 primary cities had complete recent deterioration, poverty, female illiteracy, sanitation deprivation, total mapped population, and density.</w:t>
      </w:r>
    </w:p>
    <w:p>
      <w:pPr>
        <w:spacing w:line="480" w:lineRule="auto" w:after="0"/>
        <w:ind w:firstLine="432"/>
      </w:pPr>
      <w:r>
        <w:rPr>
          <w:rFonts w:ascii="Times New Roman" w:hAnsi="Times New Roman"/>
          <w:sz w:val="24"/>
        </w:rPr>
        <w:t>The 2011 sample ranged from 884 mapped female sex workers in Mirpurkhas to 25,399 in Karachi. Density ranged from 3.4 per 1,000 adult men in Rawalpindi to 14.2 in Nawabshah. Recent deterioration ranged from 18.15% of urban households in Mirpurkhas to 57.44% in Quetta. These ranges show why a city could have a large absolute programme burden without a high per-capita density.</w:t>
      </w:r>
    </w:p>
    <w:p>
      <w:pPr>
        <w:pStyle w:val="Heading2"/>
      </w:pPr>
      <w:r>
        <w:rPr>
          <w:rFonts w:ascii="Times New Roman" w:hAnsi="Times New Roman"/>
          <w:sz w:val="24"/>
        </w:rPr>
        <w:t>Recent deterioration was not associated with higher density</w:t>
      </w:r>
    </w:p>
    <w:p>
      <w:pPr>
        <w:spacing w:line="480" w:lineRule="auto" w:after="0"/>
        <w:ind w:firstLine="432"/>
      </w:pPr>
      <w:r>
        <w:rPr>
          <w:rFonts w:ascii="Times New Roman" w:hAnsi="Times New Roman"/>
          <w:sz w:val="24"/>
        </w:rPr>
        <w:t>The primary association between recent urban deterioration and mapped density was weakly inverse (rho = -0.138; bootstrap 95% confidence interval -0.597 to 0.372; asymptotic p = 0.625; permutation p = 0.620; n = 15). Pearson correlation was also inverse (r = -0.196; p = 0.484). Poverty (rho = 0.281), female illiteracy (rho = 0.316), sanitation deprivation (rho = -0.061), all-area deterioration (rho = -0.091), and the log-density sensitivity (r = -0.227) produced small or imprecise relationships.</w:t>
      </w:r>
    </w:p>
    <w:p>
      <w:pPr>
        <w:spacing w:line="480" w:lineRule="auto" w:after="0"/>
        <w:ind w:firstLine="432"/>
      </w:pPr>
      <w:r>
        <w:rPr>
          <w:rFonts w:ascii="Times New Roman" w:hAnsi="Times New Roman"/>
          <w:sz w:val="24"/>
        </w:rPr>
        <w:t>The direction did not depend on one city. All leave-one-city-out estimates were negative, ranging from -0.264 to -0.031. Excluding Karachi, Lahore, or both yielded rho values of -0.031, -0.150, and -0.047. Restricting to nine close matches changed the estimate to 0.183, while including close and composite matches gave 0.079. These sensitivity estimates remained too small and imprecise to support density as the principal marker.</w:t>
      </w:r>
    </w:p>
    <w:p>
      <w:pPr>
        <w:pStyle w:val="Caption"/>
        <w:keepNext/>
      </w:pPr>
      <w:r>
        <w:rPr>
          <w:rFonts w:ascii="Times New Roman" w:hAnsi="Times New Roman"/>
          <w:b/>
          <w:sz w:val="20"/>
        </w:rPr>
        <w:t>Table 2. Primary density result and principal sensitivity analyses in 2011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6"/>
        <w:gridCol w:w="1806"/>
        <w:gridCol w:w="1806"/>
        <w:gridCol w:w="1806"/>
        <w:gridCol w:w="1806"/>
      </w:tblGrid>
      <w:tr>
        <w:trPr>
          <w:tblHeader w:val="true"/>
        </w:trPr>
        <w:tc>
          <w:tcPr>
            <w:tcW w:type="dxa" w:w="403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Analysis</w:t>
            </w:r>
          </w:p>
        </w:tc>
        <w:tc>
          <w:tcPr>
            <w:tcW w:type="dxa" w:w="648"/>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n</w:t>
            </w:r>
          </w:p>
        </w:tc>
        <w:tc>
          <w:tcPr>
            <w:tcW w:type="dxa" w:w="122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Estimate</w:t>
            </w:r>
          </w:p>
        </w:tc>
        <w:tc>
          <w:tcPr>
            <w:tcW w:type="dxa" w:w="194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95% CI</w:t>
            </w:r>
          </w:p>
        </w:tc>
        <w:tc>
          <w:tcPr>
            <w:tcW w:type="dxa" w:w="1008"/>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p value</w:t>
            </w:r>
          </w:p>
        </w:tc>
      </w:tr>
      <w:tr>
        <w:tc>
          <w:tcPr>
            <w:tcW w:type="dxa" w:w="4032"/>
            <w:vAlign w:val="center"/>
            <w:tcMar>
              <w:top w:w="90" w:type="dxa"/>
              <w:start w:w="100" w:type="dxa"/>
              <w:bottom w:w="90" w:type="dxa"/>
              <w:end w:w="100" w:type="dxa"/>
            </w:tcMar>
          </w:tcPr>
          <w:p>
            <w:pPr>
              <w:spacing w:after="0" w:line="240" w:lineRule="auto"/>
              <w:jc w:val="left"/>
            </w:pPr>
            <w:r>
              <w:rPr>
                <w:rFonts w:ascii="Times New Roman" w:hAnsi="Times New Roman"/>
                <w:sz w:val="17"/>
              </w:rPr>
              <w:t>Recent deterioration vs density, Spearman</w:t>
            </w:r>
          </w:p>
        </w:tc>
        <w:tc>
          <w:tcPr>
            <w:tcW w:type="dxa" w:w="648"/>
            <w:vAlign w:val="center"/>
            <w:tcMar>
              <w:top w:w="90" w:type="dxa"/>
              <w:start w:w="100" w:type="dxa"/>
              <w:bottom w:w="90" w:type="dxa"/>
              <w:end w:w="100" w:type="dxa"/>
            </w:tcMar>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tcPr>
          <w:p>
            <w:pPr>
              <w:spacing w:after="0" w:line="240" w:lineRule="auto"/>
              <w:jc w:val="left"/>
            </w:pPr>
            <w:r>
              <w:rPr>
                <w:rFonts w:ascii="Times New Roman" w:hAnsi="Times New Roman"/>
                <w:sz w:val="17"/>
              </w:rPr>
              <w:t>rho -0.138</w:t>
            </w:r>
          </w:p>
        </w:tc>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-0.597 to 0.372</w:t>
            </w:r>
          </w:p>
        </w:tc>
        <w:tc>
          <w:tcPr>
            <w:tcW w:type="dxa" w:w="1008"/>
            <w:vAlign w:val="center"/>
            <w:tcMar>
              <w:top w:w="90" w:type="dxa"/>
              <w:start w:w="100" w:type="dxa"/>
              <w:bottom w:w="90" w:type="dxa"/>
              <w:end w:w="100" w:type="dxa"/>
            </w:tcMar>
          </w:tcPr>
          <w:p>
            <w:pPr>
              <w:spacing w:after="0" w:line="240" w:lineRule="auto"/>
              <w:jc w:val="left"/>
            </w:pPr>
            <w:r>
              <w:rPr>
                <w:rFonts w:ascii="Times New Roman" w:hAnsi="Times New Roman"/>
                <w:sz w:val="17"/>
              </w:rPr>
              <w:t>0.620*</w:t>
            </w:r>
          </w:p>
        </w:tc>
      </w:tr>
      <w:tr>
        <w:tc>
          <w:tcPr>
            <w:tcW w:type="dxa" w:w="403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Recent deterioration vs density, Pearson</w:t>
            </w:r>
          </w:p>
        </w:tc>
        <w:tc>
          <w:tcPr>
            <w:tcW w:type="dxa" w:w="64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r -0.196</w:t>
            </w:r>
          </w:p>
        </w:tc>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0.484</w:t>
            </w:r>
          </w:p>
        </w:tc>
      </w:tr>
      <w:tr>
        <w:tc>
          <w:tcPr>
            <w:tcW w:type="dxa" w:w="4032"/>
            <w:vAlign w:val="center"/>
            <w:tcMar>
              <w:top w:w="90" w:type="dxa"/>
              <w:start w:w="100" w:type="dxa"/>
              <w:bottom w:w="90" w:type="dxa"/>
              <w:end w:w="100" w:type="dxa"/>
            </w:tcMar>
          </w:tcPr>
          <w:p>
            <w:pPr>
              <w:spacing w:after="0" w:line="240" w:lineRule="auto"/>
              <w:jc w:val="left"/>
            </w:pPr>
            <w:r>
              <w:rPr>
                <w:rFonts w:ascii="Times New Roman" w:hAnsi="Times New Roman"/>
                <w:sz w:val="17"/>
              </w:rPr>
              <w:t>Urban poverty vs density, Spearman</w:t>
            </w:r>
          </w:p>
        </w:tc>
        <w:tc>
          <w:tcPr>
            <w:tcW w:type="dxa" w:w="648"/>
            <w:vAlign w:val="center"/>
            <w:tcMar>
              <w:top w:w="90" w:type="dxa"/>
              <w:start w:w="100" w:type="dxa"/>
              <w:bottom w:w="90" w:type="dxa"/>
              <w:end w:w="100" w:type="dxa"/>
            </w:tcMar>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tcPr>
          <w:p>
            <w:pPr>
              <w:spacing w:after="0" w:line="240" w:lineRule="auto"/>
              <w:jc w:val="left"/>
            </w:pPr>
            <w:r>
              <w:rPr>
                <w:rFonts w:ascii="Times New Roman" w:hAnsi="Times New Roman"/>
                <w:sz w:val="17"/>
              </w:rPr>
              <w:t>rho 0.281</w:t>
            </w:r>
          </w:p>
        </w:tc>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tcPr>
          <w:p>
            <w:pPr>
              <w:spacing w:after="0" w:line="240" w:lineRule="auto"/>
              <w:jc w:val="left"/>
            </w:pPr>
            <w:r>
              <w:rPr>
                <w:rFonts w:ascii="Times New Roman" w:hAnsi="Times New Roman"/>
                <w:sz w:val="17"/>
              </w:rPr>
              <w:t>0.311</w:t>
            </w:r>
          </w:p>
        </w:tc>
      </w:tr>
      <w:tr>
        <w:tc>
          <w:tcPr>
            <w:tcW w:type="dxa" w:w="403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Female illiteracy vs density, Spearman</w:t>
            </w:r>
          </w:p>
        </w:tc>
        <w:tc>
          <w:tcPr>
            <w:tcW w:type="dxa" w:w="64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rho 0.316</w:t>
            </w:r>
          </w:p>
        </w:tc>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0.251</w:t>
            </w:r>
          </w:p>
        </w:tc>
      </w:tr>
      <w:tr>
        <w:tc>
          <w:tcPr>
            <w:tcW w:type="dxa" w:w="4032"/>
            <w:vAlign w:val="center"/>
            <w:tcMar>
              <w:top w:w="90" w:type="dxa"/>
              <w:start w:w="100" w:type="dxa"/>
              <w:bottom w:w="90" w:type="dxa"/>
              <w:end w:w="100" w:type="dxa"/>
            </w:tcMar>
          </w:tcPr>
          <w:p>
            <w:pPr>
              <w:spacing w:after="0" w:line="240" w:lineRule="auto"/>
              <w:jc w:val="left"/>
            </w:pPr>
            <w:r>
              <w:rPr>
                <w:rFonts w:ascii="Times New Roman" w:hAnsi="Times New Roman"/>
                <w:sz w:val="17"/>
              </w:rPr>
              <w:t>Sanitation deprivation vs density, Spearman</w:t>
            </w:r>
          </w:p>
        </w:tc>
        <w:tc>
          <w:tcPr>
            <w:tcW w:type="dxa" w:w="648"/>
            <w:vAlign w:val="center"/>
            <w:tcMar>
              <w:top w:w="90" w:type="dxa"/>
              <w:start w:w="100" w:type="dxa"/>
              <w:bottom w:w="90" w:type="dxa"/>
              <w:end w:w="100" w:type="dxa"/>
            </w:tcMar>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tcPr>
          <w:p>
            <w:pPr>
              <w:spacing w:after="0" w:line="240" w:lineRule="auto"/>
              <w:jc w:val="left"/>
            </w:pPr>
            <w:r>
              <w:rPr>
                <w:rFonts w:ascii="Times New Roman" w:hAnsi="Times New Roman"/>
                <w:sz w:val="17"/>
              </w:rPr>
              <w:t>rho -0.061</w:t>
            </w:r>
          </w:p>
        </w:tc>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tcPr>
          <w:p>
            <w:pPr>
              <w:spacing w:after="0" w:line="240" w:lineRule="auto"/>
              <w:jc w:val="left"/>
            </w:pPr>
            <w:r>
              <w:rPr>
                <w:rFonts w:ascii="Times New Roman" w:hAnsi="Times New Roman"/>
                <w:sz w:val="17"/>
              </w:rPr>
              <w:t>0.829</w:t>
            </w:r>
          </w:p>
        </w:tc>
      </w:tr>
      <w:tr>
        <w:tc>
          <w:tcPr>
            <w:tcW w:type="dxa" w:w="403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All-area deterioration vs density, Spearman</w:t>
            </w:r>
          </w:p>
        </w:tc>
        <w:tc>
          <w:tcPr>
            <w:tcW w:type="dxa" w:w="64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rho -0.091</w:t>
            </w:r>
          </w:p>
        </w:tc>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0.747</w:t>
            </w:r>
          </w:p>
        </w:tc>
      </w:tr>
      <w:tr>
        <w:tc>
          <w:tcPr>
            <w:tcW w:type="dxa" w:w="4032"/>
            <w:vAlign w:val="center"/>
            <w:tcMar>
              <w:top w:w="90" w:type="dxa"/>
              <w:start w:w="100" w:type="dxa"/>
              <w:bottom w:w="90" w:type="dxa"/>
              <w:end w:w="100" w:type="dxa"/>
            </w:tcMar>
          </w:tcPr>
          <w:p>
            <w:pPr>
              <w:spacing w:after="0" w:line="240" w:lineRule="auto"/>
              <w:jc w:val="left"/>
            </w:pPr>
            <w:r>
              <w:rPr>
                <w:rFonts w:ascii="Times New Roman" w:hAnsi="Times New Roman"/>
                <w:sz w:val="17"/>
              </w:rPr>
              <w:t>Close geographic matches only</w:t>
            </w:r>
          </w:p>
        </w:tc>
        <w:tc>
          <w:tcPr>
            <w:tcW w:type="dxa" w:w="648"/>
            <w:vAlign w:val="center"/>
            <w:tcMar>
              <w:top w:w="90" w:type="dxa"/>
              <w:start w:w="100" w:type="dxa"/>
              <w:bottom w:w="90" w:type="dxa"/>
              <w:end w:w="100" w:type="dxa"/>
            </w:tcMar>
          </w:tcPr>
          <w:p>
            <w:pPr>
              <w:spacing w:after="0" w:line="240" w:lineRule="auto"/>
              <w:jc w:val="center"/>
            </w:pPr>
            <w:r>
              <w:rPr>
                <w:rFonts w:ascii="Times New Roman" w:hAnsi="Times New Roman"/>
                <w:sz w:val="17"/>
              </w:rPr>
              <w:t>9</w:t>
            </w:r>
          </w:p>
        </w:tc>
        <w:tc>
          <w:tcPr>
            <w:tcW w:type="dxa" w:w="1224"/>
            <w:vAlign w:val="center"/>
            <w:tcMar>
              <w:top w:w="90" w:type="dxa"/>
              <w:start w:w="100" w:type="dxa"/>
              <w:bottom w:w="90" w:type="dxa"/>
              <w:end w:w="100" w:type="dxa"/>
            </w:tcMar>
          </w:tcPr>
          <w:p>
            <w:pPr>
              <w:spacing w:after="0" w:line="240" w:lineRule="auto"/>
              <w:jc w:val="left"/>
            </w:pPr>
            <w:r>
              <w:rPr>
                <w:rFonts w:ascii="Times New Roman" w:hAnsi="Times New Roman"/>
                <w:sz w:val="17"/>
              </w:rPr>
              <w:t>rho 0.183</w:t>
            </w:r>
          </w:p>
        </w:tc>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w:t>
            </w:r>
          </w:p>
        </w:tc>
        <w:tc>
          <w:tcPr>
            <w:tcW w:type="dxa" w:w="1008"/>
            <w:vAlign w:val="center"/>
            <w:tcMar>
              <w:top w:w="90" w:type="dxa"/>
              <w:start w:w="100" w:type="dxa"/>
              <w:bottom w:w="90" w:type="dxa"/>
              <w:end w:w="100" w:type="dxa"/>
            </w:tcMar>
          </w:tcPr>
          <w:p>
            <w:pPr>
              <w:spacing w:after="0" w:line="240" w:lineRule="auto"/>
              <w:jc w:val="left"/>
            </w:pPr>
            <w:r>
              <w:rPr>
                <w:rFonts w:ascii="Times New Roman" w:hAnsi="Times New Roman"/>
                <w:sz w:val="17"/>
              </w:rPr>
              <w:t>0.637</w:t>
            </w:r>
          </w:p>
        </w:tc>
      </w:tr>
      <w:tr>
        <w:tc>
          <w:tcPr>
            <w:tcW w:type="dxa" w:w="403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Unadjusted OLS with HC3 SE</w:t>
            </w:r>
          </w:p>
        </w:tc>
        <w:tc>
          <w:tcPr>
            <w:tcW w:type="dxa" w:w="64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beta -0.055</w:t>
            </w:r>
          </w:p>
        </w:tc>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-0.211 to 0.101</w:t>
            </w:r>
          </w:p>
        </w:tc>
        <w:tc>
          <w:tcPr>
            <w:tcW w:type="dxa" w:w="100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0.462</w:t>
            </w:r>
          </w:p>
        </w:tc>
      </w:tr>
      <w:tr>
        <w:tc>
          <w:tcPr>
            <w:tcW w:type="dxa" w:w="4032"/>
            <w:vAlign w:val="center"/>
            <w:tcMar>
              <w:top w:w="90" w:type="dxa"/>
              <w:start w:w="100" w:type="dxa"/>
              <w:bottom w:w="90" w:type="dxa"/>
              <w:end w:w="100" w:type="dxa"/>
            </w:tcMar>
          </w:tcPr>
          <w:p>
            <w:pPr>
              <w:spacing w:after="0" w:line="240" w:lineRule="auto"/>
              <w:jc w:val="left"/>
            </w:pPr>
            <w:r>
              <w:rPr>
                <w:rFonts w:ascii="Times New Roman" w:hAnsi="Times New Roman"/>
                <w:sz w:val="17"/>
              </w:rPr>
              <w:t>OLS adjusted for log mapped total</w:t>
            </w:r>
          </w:p>
        </w:tc>
        <w:tc>
          <w:tcPr>
            <w:tcW w:type="dxa" w:w="648"/>
            <w:vAlign w:val="center"/>
            <w:tcMar>
              <w:top w:w="90" w:type="dxa"/>
              <w:start w:w="100" w:type="dxa"/>
              <w:bottom w:w="90" w:type="dxa"/>
              <w:end w:w="100" w:type="dxa"/>
            </w:tcMar>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tcPr>
          <w:p>
            <w:pPr>
              <w:spacing w:after="0" w:line="240" w:lineRule="auto"/>
              <w:jc w:val="left"/>
            </w:pPr>
            <w:r>
              <w:rPr>
                <w:rFonts w:ascii="Times New Roman" w:hAnsi="Times New Roman"/>
                <w:sz w:val="17"/>
              </w:rPr>
              <w:t>beta -0.029</w:t>
            </w:r>
          </w:p>
        </w:tc>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-0.269 to 0.210</w:t>
            </w:r>
          </w:p>
        </w:tc>
        <w:tc>
          <w:tcPr>
            <w:tcW w:type="dxa" w:w="1008"/>
            <w:vAlign w:val="center"/>
            <w:tcMar>
              <w:top w:w="90" w:type="dxa"/>
              <w:start w:w="100" w:type="dxa"/>
              <w:bottom w:w="90" w:type="dxa"/>
              <w:end w:w="100" w:type="dxa"/>
            </w:tcMar>
          </w:tcPr>
          <w:p>
            <w:pPr>
              <w:spacing w:after="0" w:line="240" w:lineRule="auto"/>
              <w:jc w:val="left"/>
            </w:pPr>
            <w:r>
              <w:rPr>
                <w:rFonts w:ascii="Times New Roman" w:hAnsi="Times New Roman"/>
                <w:sz w:val="17"/>
              </w:rPr>
              <w:t>0.794</w:t>
            </w:r>
          </w:p>
        </w:tc>
      </w:tr>
      <w:tr>
        <w:tc>
          <w:tcPr>
            <w:tcW w:type="dxa" w:w="403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Log-density OLS with HC3 SE</w:t>
            </w:r>
          </w:p>
        </w:tc>
        <w:tc>
          <w:tcPr>
            <w:tcW w:type="dxa" w:w="64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15</w:t>
            </w:r>
          </w:p>
        </w:tc>
        <w:tc>
          <w:tcPr>
            <w:tcW w:type="dxa" w:w="122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beta -0.007</w:t>
            </w:r>
          </w:p>
        </w:tc>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-0.025 to 0.010</w:t>
            </w:r>
          </w:p>
        </w:tc>
        <w:tc>
          <w:tcPr>
            <w:tcW w:type="dxa" w:w="100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0.394</w:t>
            </w:r>
          </w:p>
        </w:tc>
      </w:tr>
    </w:tbl>
    <w:p>
      <w:pPr>
        <w:spacing w:before="60" w:after="160" w:line="240" w:lineRule="auto"/>
      </w:pPr>
      <w:r>
        <w:rPr>
          <w:rFonts w:ascii="Times New Roman" w:hAnsi="Times New Roman"/>
          <w:i/>
          <w:sz w:val="18"/>
        </w:rPr>
        <w:t>*Two-sided permutation p value; the confidence interval is a percentile bootstrap interval. CI, confidence interval; HC3 SE, heteroskedasticity-robust standard error; OLS, ordinary least squares.</w:t>
      </w:r>
    </w:p>
    <w:p>
      <w:pPr>
        <w:keepNext/>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figure_1_primary_scatter.png"/>
                    <pic:cNvPicPr/>
                  </pic:nvPicPr>
                  <pic:blipFill>
                    <a:blip r:embed="rId10"/>
                    <a:stretch>
                      <a:fillRect/>
                    </a:stretch>
                  </pic:blipFill>
                  <pic:spPr>
                    <a:xfrm>
                      <a:off x="0" y="0"/>
                      <a:ext cx="5715000" cy="3571875"/>
                    </a:xfrm>
                    <a:prstGeom prst="rect"/>
                  </pic:spPr>
                </pic:pic>
              </a:graphicData>
            </a:graphic>
          </wp:inline>
        </w:drawing>
      </w:r>
    </w:p>
    <w:p>
      <w:pPr>
        <w:pStyle w:val="Caption"/>
        <w:spacing w:after="200"/>
        <w:jc w:val="left"/>
      </w:pPr>
      <w:r>
        <w:rPr>
          <w:rFonts w:ascii="Times New Roman" w:hAnsi="Times New Roman"/>
          <w:b/>
          <w:sz w:val="20"/>
        </w:rPr>
        <w:t>Figure 1. Recent urban economic deterioration and mapped female sex worker density across 15 Pakistani cities in 2011. The labelled scatterplot shows the weak inverse rank association and the broad dispersion of density at similar levels of deterioration.</w:t>
      </w:r>
    </w:p>
    <w:p>
      <w:pPr>
        <w:spacing w:line="480" w:lineRule="auto" w:after="0"/>
        <w:ind w:firstLine="432"/>
      </w:pPr>
      <w:r>
        <w:rPr>
          <w:rFonts w:ascii="Times New Roman" w:hAnsi="Times New Roman"/>
          <w:sz w:val="24"/>
        </w:rPr>
        <w:t>The unadjusted robust linear model estimated a change of -0.055 female sex workers per 1,000 adult men for each percentage-point increase in recent deterioration (95% confidence interval -0.211 to 0.101; p = 0.462; R</w:t>
      </w:r>
      <w:r>
        <w:rPr>
          <w:rFonts w:ascii="Times New Roman" w:hAnsi="Times New Roman"/>
          <w:sz w:val="24"/>
          <w:vertAlign w:val="superscript"/>
        </w:rPr>
        <w:t>2</w:t>
      </w:r>
      <w:r>
        <w:rPr>
          <w:rFonts w:ascii="Times New Roman" w:hAnsi="Times New Roman"/>
          <w:sz w:val="24"/>
        </w:rPr>
        <w:t xml:space="preserve"> = 0.038). Adding log mapped population reduced the coefficient to -0.029 (95% confidence interval -0.269 to 0.210; p = 0.794; R</w:t>
      </w:r>
      <w:r>
        <w:rPr>
          <w:rFonts w:ascii="Times New Roman" w:hAnsi="Times New Roman"/>
          <w:sz w:val="24"/>
          <w:vertAlign w:val="superscript"/>
        </w:rPr>
        <w:t>2</w:t>
      </w:r>
      <w:r>
        <w:rPr>
          <w:rFonts w:ascii="Times New Roman" w:hAnsi="Times New Roman"/>
          <w:sz w:val="24"/>
        </w:rPr>
        <w:t xml:space="preserve"> = 0.054). The log-density model was also weakly inverse (coefficient -0.007; 95% confidence interval -0.025 to 0.010; p = 0.394). Quetta had the largest Cook's distance at 0.174, below the conventional value of one, and no leave-one-city-out result changed the substantive conclusion.</w:t>
      </w:r>
    </w:p>
    <w:p>
      <w:pPr>
        <w:spacing w:line="480" w:lineRule="auto" w:after="0"/>
        <w:ind w:firstLine="432"/>
      </w:pPr>
      <w:r>
        <w:rPr>
          <w:rFonts w:ascii="Times New Roman" w:hAnsi="Times New Roman"/>
          <w:sz w:val="24"/>
        </w:rPr>
        <w:t>Constant-only prediction produced a leave-one-city-out root-mean-square error of 3.525 density units. Linear, quadratic, and cubic models were worse at 3.661, 4.034, and 3.717. The data therefore did not support a hidden U-shaped or threshold density relationship.</w:t>
      </w:r>
    </w:p>
    <w:p>
      <w:pPr>
        <w:pStyle w:val="Heading2"/>
      </w:pPr>
      <w:r>
        <w:rPr>
          <w:rFonts w:ascii="Times New Roman" w:hAnsi="Times New Roman"/>
          <w:sz w:val="24"/>
        </w:rPr>
        <w:t>Recent deterioration and chronic deprivation described different cities</w:t>
      </w:r>
    </w:p>
    <w:p>
      <w:pPr>
        <w:spacing w:line="480" w:lineRule="auto" w:after="0"/>
        <w:ind w:firstLine="432"/>
      </w:pPr>
      <w:r>
        <w:rPr>
          <w:rFonts w:ascii="Times New Roman" w:hAnsi="Times New Roman"/>
          <w:sz w:val="24"/>
        </w:rPr>
        <w:t>Recent urban deterioration was inversely correlated with the chronic-deprivation index (rho = -0.568; p = 0.027). It was also inversely related to sanitation deprivation (rho = -0.629; q = 0.040) and moderately inversely related to poverty (rho = -0.489; raw p = 0.064). By contrast, poverty, female illiteracy, and sanitation deprivation were positively correlated with one another. The largest recent deterioration often occurred in larger cities that were not the most chronically deprived.</w:t>
      </w:r>
    </w:p>
    <w:p>
      <w:pPr>
        <w:spacing w:line="480" w:lineRule="auto" w:after="0"/>
        <w:ind w:firstLine="432"/>
      </w:pPr>
      <w:r>
        <w:rPr>
          <w:rFonts w:ascii="Times New Roman" w:hAnsi="Times New Roman"/>
          <w:sz w:val="24"/>
        </w:rPr>
        <w:t>This difference became visible when count, scale, and density were examined together. Recent deterioration was positively associated with absolute mapped total (rho = 0.657; raw p = 0.0078; q = 0.069) and implied adult-male population scale (rho = 0.625), but weakly inversely associated with density. Chronic deprivation was inversely associated with total (rho = -0.700; raw p = 0.0037; q = 0.054) and implied scale (rho = -0.718), but weakly positively associated with density (rho = 0.315).</w:t>
      </w:r>
    </w:p>
    <w:p>
      <w:pPr>
        <w:pStyle w:val="Caption"/>
        <w:keepNext/>
      </w:pPr>
      <w:r>
        <w:rPr>
          <w:rFonts w:ascii="Times New Roman" w:hAnsi="Times New Roman"/>
          <w:b/>
          <w:sz w:val="20"/>
        </w:rPr>
        <w:t>Table 3. Acute deterioration and chronic deprivation across selected 2011 FSW markers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5"/>
        <w:gridCol w:w="1505"/>
        <w:gridCol w:w="1505"/>
        <w:gridCol w:w="1505"/>
        <w:gridCol w:w="1505"/>
        <w:gridCol w:w="1505"/>
      </w:tblGrid>
      <w:tr>
        <w:trPr>
          <w:tblHeader w:val="true"/>
        </w:trPr>
        <w:tc>
          <w:tcPr>
            <w:tcW w:type="dxa" w:w="2088"/>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Economic dimension</w:t>
            </w:r>
          </w:p>
        </w:tc>
        <w:tc>
          <w:tcPr>
            <w:tcW w:type="dxa" w:w="1368"/>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Mapped density rho</w:t>
            </w:r>
          </w:p>
        </w:tc>
        <w:tc>
          <w:tcPr>
            <w:tcW w:type="dxa" w:w="1368"/>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Mapped total rho</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Implied city scale rho</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Kothikhana share rho</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Cellphone share rho</w:t>
            </w:r>
          </w:p>
        </w:tc>
      </w:tr>
      <w:tr>
        <w:tc>
          <w:tcPr>
            <w:tcW w:type="dxa" w:w="2088"/>
            <w:vAlign w:val="center"/>
            <w:tcMar>
              <w:top w:w="90" w:type="dxa"/>
              <w:start w:w="100" w:type="dxa"/>
              <w:bottom w:w="90" w:type="dxa"/>
              <w:end w:w="100" w:type="dxa"/>
            </w:tcMar>
          </w:tcPr>
          <w:p>
            <w:pPr>
              <w:spacing w:after="0" w:line="240" w:lineRule="auto"/>
              <w:jc w:val="left"/>
            </w:pPr>
            <w:r>
              <w:rPr>
                <w:rFonts w:ascii="Times New Roman" w:hAnsi="Times New Roman"/>
                <w:sz w:val="17"/>
              </w:rPr>
              <w:t>Recent urban deterioration</w:t>
            </w:r>
          </w:p>
        </w:tc>
        <w:tc>
          <w:tcPr>
            <w:tcW w:type="dxa" w:w="1368"/>
            <w:vAlign w:val="center"/>
            <w:tcMar>
              <w:top w:w="90" w:type="dxa"/>
              <w:start w:w="100" w:type="dxa"/>
              <w:bottom w:w="90" w:type="dxa"/>
              <w:end w:w="100" w:type="dxa"/>
            </w:tcMar>
          </w:tcPr>
          <w:p>
            <w:pPr>
              <w:spacing w:after="0" w:line="240" w:lineRule="auto"/>
              <w:jc w:val="center"/>
            </w:pPr>
            <w:r>
              <w:rPr>
                <w:rFonts w:ascii="Times New Roman" w:hAnsi="Times New Roman"/>
                <w:sz w:val="17"/>
              </w:rPr>
              <w:t>-0.138</w:t>
            </w:r>
          </w:p>
        </w:tc>
        <w:tc>
          <w:tcPr>
            <w:tcW w:type="dxa" w:w="1368"/>
            <w:vAlign w:val="center"/>
            <w:tcMar>
              <w:top w:w="90" w:type="dxa"/>
              <w:start w:w="100" w:type="dxa"/>
              <w:bottom w:w="90" w:type="dxa"/>
              <w:end w:w="100" w:type="dxa"/>
            </w:tcMar>
          </w:tcPr>
          <w:p>
            <w:pPr>
              <w:spacing w:after="0" w:line="240" w:lineRule="auto"/>
              <w:jc w:val="left"/>
            </w:pPr>
            <w:r>
              <w:rPr>
                <w:rFonts w:ascii="Times New Roman" w:hAnsi="Times New Roman"/>
                <w:sz w:val="17"/>
              </w:rPr>
              <w:t>0.657</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0.625</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0.618</w:t>
            </w:r>
          </w:p>
        </w:tc>
        <w:tc>
          <w:tcPr>
            <w:tcW w:type="dxa" w:w="1512"/>
            <w:vAlign w:val="center"/>
            <w:tcMar>
              <w:top w:w="90" w:type="dxa"/>
              <w:start w:w="100" w:type="dxa"/>
              <w:bottom w:w="90" w:type="dxa"/>
              <w:end w:w="100" w:type="dxa"/>
            </w:tcMar>
          </w:tcPr>
          <w:p>
            <w:pPr>
              <w:spacing w:after="0" w:line="240" w:lineRule="auto"/>
              <w:jc w:val="center"/>
            </w:pPr>
            <w:r>
              <w:rPr>
                <w:rFonts w:ascii="Times New Roman" w:hAnsi="Times New Roman"/>
                <w:sz w:val="17"/>
              </w:rPr>
              <w:t>-0.515</w:t>
            </w:r>
          </w:p>
        </w:tc>
      </w:tr>
      <w:tr>
        <w:tc>
          <w:tcPr>
            <w:tcW w:type="dxa" w:w="208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Chronic deprivation</w:t>
            </w:r>
          </w:p>
        </w:tc>
        <w:tc>
          <w:tcPr>
            <w:tcW w:type="dxa" w:w="1368"/>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0.315</w:t>
            </w:r>
          </w:p>
        </w:tc>
        <w:tc>
          <w:tcPr>
            <w:tcW w:type="dxa" w:w="1368"/>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-0.700</w:t>
            </w:r>
          </w:p>
        </w:tc>
        <w:tc>
          <w:tcPr>
            <w:tcW w:type="dxa" w:w="151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-0.718</w:t>
            </w:r>
          </w:p>
        </w:tc>
        <w:tc>
          <w:tcPr>
            <w:tcW w:type="dxa" w:w="151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-0.409</w:t>
            </w:r>
          </w:p>
        </w:tc>
        <w:tc>
          <w:tcPr>
            <w:tcW w:type="dxa" w:w="1512"/>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0.552</w:t>
            </w:r>
          </w:p>
        </w:tc>
      </w:tr>
    </w:tbl>
    <w:p>
      <w:pPr>
        <w:spacing w:before="60" w:after="160" w:line="240" w:lineRule="auto"/>
      </w:pPr>
      <w:r>
        <w:rPr>
          <w:rFonts w:ascii="Times New Roman" w:hAnsi="Times New Roman"/>
          <w:i/>
          <w:sz w:val="18"/>
        </w:rPr>
        <w:t>Values are Spearman rank correlations across 15 cities. The implied scale is derived from mapped count and source-reported density and is used only to diagnose city scale.</w:t>
      </w:r>
    </w:p>
    <w:p>
      <w:pPr>
        <w:keepNext/>
        <w:jc w:val="center"/>
      </w:pPr>
      <w:r>
        <w:drawing>
          <wp:inline xmlns:a="http://schemas.openxmlformats.org/drawingml/2006/main" xmlns:pic="http://schemas.openxmlformats.org/drawingml/2006/picture">
            <wp:extent cx="5715000" cy="2286000"/>
            <wp:docPr id="2" name="Picture 2"/>
            <wp:cNvGraphicFramePr>
              <a:graphicFrameLocks noChangeAspect="1"/>
            </wp:cNvGraphicFramePr>
            <a:graphic>
              <a:graphicData uri="http://schemas.openxmlformats.org/drawingml/2006/picture">
                <pic:pic>
                  <pic:nvPicPr>
                    <pic:cNvPr id="0" name="exploratory_figure_3_scale_contrast.png"/>
                    <pic:cNvPicPr/>
                  </pic:nvPicPr>
                  <pic:blipFill>
                    <a:blip r:embed="rId11"/>
                    <a:stretch>
                      <a:fillRect/>
                    </a:stretch>
                  </pic:blipFill>
                  <pic:spPr>
                    <a:xfrm>
                      <a:off x="0" y="0"/>
                      <a:ext cx="5715000" cy="2286000"/>
                    </a:xfrm>
                    <a:prstGeom prst="rect"/>
                  </pic:spPr>
                </pic:pic>
              </a:graphicData>
            </a:graphic>
          </wp:inline>
        </w:drawing>
      </w:r>
    </w:p>
    <w:p>
      <w:pPr>
        <w:pStyle w:val="Caption"/>
        <w:spacing w:after="200"/>
        <w:jc w:val="left"/>
      </w:pPr>
      <w:r>
        <w:rPr>
          <w:rFonts w:ascii="Times New Roman" w:hAnsi="Times New Roman"/>
          <w:b/>
          <w:sz w:val="20"/>
        </w:rPr>
        <w:t>Figure 2. The count, city-scale, and density contrast in 2011. Recent deterioration aligned with larger mapped totals and larger implied population scale, while chronic deprivation showed the opposite scale pattern and a weakly positive density association.</w:t>
      </w:r>
    </w:p>
    <w:p>
      <w:pPr>
        <w:spacing w:line="480" w:lineRule="auto" w:after="0"/>
        <w:ind w:firstLine="432"/>
      </w:pPr>
      <w:r>
        <w:rPr>
          <w:rFonts w:ascii="Times New Roman" w:hAnsi="Times New Roman"/>
          <w:sz w:val="24"/>
        </w:rPr>
        <w:t>In the standardised two-exposure models, recent deterioration retained a positive coefficient for log mapped total (beta = 0.388) and log implied population scale (beta = 0.374), while chronic deprivation retained negative coefficients (beta = -0.377 and -0.400). Confidence intervals were wide and crossed zero. The density coefficients were small in both directions. These models support the descriptive separation between recent economic change and entrenched deprivation but do not establish independent causal effects.</w:t>
      </w:r>
    </w:p>
    <w:p>
      <w:pPr>
        <w:pStyle w:val="Heading2"/>
      </w:pPr>
      <w:r>
        <w:rPr>
          <w:rFonts w:ascii="Times New Roman" w:hAnsi="Times New Roman"/>
          <w:sz w:val="24"/>
        </w:rPr>
        <w:t>Organisation carried a stronger cross-sectional signal than density</w:t>
      </w:r>
    </w:p>
    <w:p>
      <w:pPr>
        <w:spacing w:line="480" w:lineRule="auto" w:after="0"/>
        <w:ind w:firstLine="432"/>
      </w:pPr>
      <w:r>
        <w:rPr>
          <w:rFonts w:ascii="Times New Roman" w:hAnsi="Times New Roman"/>
          <w:sz w:val="24"/>
        </w:rPr>
        <w:t>Recent deterioration was positively associated with kothikhana share (rho = 0.618; raw p = 0.014; q = 0.069) and inversely associated with cellphone-based share (rho = -0.515; raw p = 0.050; q = 0.167). All-area deterioration had a stronger positive association with kothikhana share (rho = 0.771; raw p = 0.00076; q = 0.041), the only result that remained below 0.05 after adjustment across all 54 cross-sectional comparisons.</w:t>
      </w:r>
    </w:p>
    <w:p>
      <w:pPr>
        <w:spacing w:line="480" w:lineRule="auto" w:after="0"/>
        <w:ind w:firstLine="432"/>
      </w:pPr>
      <w:r>
        <w:rPr>
          <w:rFonts w:ascii="Times New Roman" w:hAnsi="Times New Roman"/>
          <w:sz w:val="24"/>
        </w:rPr>
        <w:t>Network analysis pointed in the same direction but did not survive its separate multiplicity correction. Recent deterioration was associated with more kothikhana-based female sex workers per operator (rho = 0.552; raw p = 0.033; q = 0.340). Mapped density was associated with more home-based female sex workers per operator (rho = 0.522; raw p = 0.046; q = 0.340). The standardised two-exposure models explained more variation in kothikhana share (R</w:t>
      </w:r>
      <w:r>
        <w:rPr>
          <w:rFonts w:ascii="Times New Roman" w:hAnsi="Times New Roman"/>
          <w:sz w:val="24"/>
          <w:vertAlign w:val="superscript"/>
        </w:rPr>
        <w:t>2</w:t>
      </w:r>
      <w:r>
        <w:rPr>
          <w:rFonts w:ascii="Times New Roman" w:hAnsi="Times New Roman"/>
          <w:sz w:val="24"/>
        </w:rPr>
        <w:t xml:space="preserve"> = 0.379) and cellphone share (R</w:t>
      </w:r>
      <w:r>
        <w:rPr>
          <w:rFonts w:ascii="Times New Roman" w:hAnsi="Times New Roman"/>
          <w:sz w:val="24"/>
          <w:vertAlign w:val="superscript"/>
        </w:rPr>
        <w:t>2</w:t>
      </w:r>
      <w:r>
        <w:rPr>
          <w:rFonts w:ascii="Times New Roman" w:hAnsi="Times New Roman"/>
          <w:sz w:val="24"/>
        </w:rPr>
        <w:t xml:space="preserve"> = 0.400) than in density (R</w:t>
      </w:r>
      <w:r>
        <w:rPr>
          <w:rFonts w:ascii="Times New Roman" w:hAnsi="Times New Roman"/>
          <w:sz w:val="24"/>
          <w:vertAlign w:val="superscript"/>
        </w:rPr>
        <w:t>2</w:t>
      </w:r>
      <w:r>
        <w:rPr>
          <w:rFonts w:ascii="Times New Roman" w:hAnsi="Times New Roman"/>
          <w:sz w:val="24"/>
        </w:rPr>
        <w:t xml:space="preserve"> = 0.084), although every exposure confidence interval remained wide.</w:t>
      </w:r>
    </w:p>
    <w:p>
      <w:pPr>
        <w:pStyle w:val="Heading2"/>
      </w:pPr>
      <w:r>
        <w:rPr>
          <w:rFonts w:ascii="Times New Roman" w:hAnsi="Times New Roman"/>
          <w:sz w:val="24"/>
        </w:rPr>
        <w:t>The deterioration interval combined population expansion with reorganisation</w:t>
      </w:r>
    </w:p>
    <w:p>
      <w:pPr>
        <w:spacing w:line="480" w:lineRule="auto" w:after="0"/>
        <w:ind w:firstLine="432"/>
      </w:pPr>
      <w:r>
        <w:rPr>
          <w:rFonts w:ascii="Times New Roman" w:hAnsi="Times New Roman"/>
          <w:sz w:val="24"/>
        </w:rPr>
        <w:t>From 2006-07 to 2011, national real GDP growth fell from 7.0% to 2.4%, CPI inflation rose from 7.9% to 14.0%, and median urban household deterioration increased by 20.84 percentage points among ten common cities. Their combined mapped female sex worker total increased from 47,062 to 78,241, a rise of 66.25% or approximately 11.96% annually. Eight of ten cities increased; the exact two-sided sign-test p value was 0.109. Median city growth was 93.97%.</w:t>
      </w:r>
    </w:p>
    <w:p>
      <w:pPr>
        <w:spacing w:line="480" w:lineRule="auto" w:after="0"/>
        <w:ind w:firstLine="432"/>
      </w:pPr>
      <w:r>
        <w:rPr>
          <w:rFonts w:ascii="Times New Roman" w:hAnsi="Times New Roman"/>
          <w:sz w:val="24"/>
        </w:rPr>
        <w:t>Organisation also changed. Median home-based share increased 18.32 percentage points, street-based share fell 24.16 points, and kothikhana share increased 6.99 points. However, city-level change in relative deterioration was not correlated with change in home share (rho = 0.073; p = 0.841) or street share (rho = -0.225; p = 0.532). The aggregate period pattern was therefore clearer than a rule that the cities with the largest measured increase in distress must also have the largest typology change.</w:t>
      </w:r>
    </w:p>
    <w:p>
      <w:pPr>
        <w:spacing w:line="480" w:lineRule="auto" w:after="0"/>
        <w:ind w:firstLine="432"/>
      </w:pPr>
      <w:r>
        <w:rPr>
          <w:rFonts w:ascii="Times New Roman" w:hAnsi="Times New Roman"/>
          <w:sz w:val="24"/>
        </w:rPr>
        <w:t>The prespecified within-round structural correlations did not replicate as a single stable coefficient. Correlations between deterioration and home share were 0.161 in 2006-07, -0.146 in 2011, and -0.800 in the four-city 2014 sample. Corresponding street-share correlations were 0.112, 0.268, and 0.800. None of the six tests remained significant after adjustment. These results show large compositional changes between periods without a stable cross-sectional city ranking within every round.</w:t>
      </w:r>
    </w:p>
    <w:p>
      <w:pPr>
        <w:pStyle w:val="Heading2"/>
      </w:pPr>
      <w:r>
        <w:rPr>
          <w:rFonts w:ascii="Times New Roman" w:hAnsi="Times New Roman"/>
          <w:sz w:val="24"/>
        </w:rPr>
        <w:t>Improved conditions coincided with slower growth rather than immediate decline</w:t>
      </w:r>
    </w:p>
    <w:p>
      <w:pPr>
        <w:spacing w:line="480" w:lineRule="auto" w:after="0"/>
        <w:ind w:firstLine="432"/>
      </w:pPr>
      <w:r>
        <w:rPr>
          <w:rFonts w:ascii="Times New Roman" w:hAnsi="Times New Roman"/>
          <w:sz w:val="24"/>
        </w:rPr>
        <w:t>From 2011 to 2014, GDP growth increased to 4.24% and inflation fell to 4.8%. The four common Punjab cities nevertheless increased from 37,818 to 44,160 mapped female sex workers, a 16.77% rise or 5.30% annually. All four cities increased, although the exact sign-test p value was 0.125. Median home share fell 26.10 percentage points, street share rose 17.11 points, and kothikhana share rose 7.85 points.</w:t>
      </w:r>
    </w:p>
    <w:p>
      <w:pPr>
        <w:spacing w:line="480" w:lineRule="auto" w:after="0"/>
        <w:ind w:firstLine="432"/>
      </w:pPr>
      <w:r>
        <w:rPr>
          <w:rFonts w:ascii="Times New Roman" w:hAnsi="Times New Roman"/>
          <w:sz w:val="24"/>
        </w:rPr>
        <w:t>Across the longer 2011 to 2016-17 comparison, ten common cities increased from 48,366 to 49,991, a total change of 3.36% or 0.60% annually. Four cities increased and six decreased; median city change was -1.94% and the sign-test p value was 0.754. The combined mapped population had broadly plateaued while remaining above its 2011 level.</w:t>
      </w:r>
    </w:p>
    <w:p>
      <w:pPr>
        <w:pStyle w:val="Caption"/>
        <w:keepNext/>
      </w:pPr>
      <w:r>
        <w:rPr>
          <w:rFonts w:ascii="Times New Roman" w:hAnsi="Times New Roman"/>
          <w:b/>
          <w:sz w:val="20"/>
        </w:rPr>
        <w:t>Table 4. Common-city mapped population and organisational change across economic periods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1290"/>
        <w:gridCol w:w="1290"/>
        <w:gridCol w:w="1290"/>
        <w:gridCol w:w="1290"/>
        <w:gridCol w:w="1290"/>
        <w:gridCol w:w="1290"/>
      </w:tblGrid>
      <w:tr>
        <w:trPr>
          <w:tblHeader w:val="true"/>
        </w:trPr>
        <w:tc>
          <w:tcPr>
            <w:tcW w:type="dxa" w:w="1944"/>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Comparison</w:t>
            </w:r>
          </w:p>
        </w:tc>
        <w:tc>
          <w:tcPr>
            <w:tcW w:type="dxa" w:w="79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Cities</w:t>
            </w:r>
          </w:p>
        </w:tc>
        <w:tc>
          <w:tcPr>
            <w:tcW w:type="dxa" w:w="144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Mapped total change</w:t>
            </w:r>
          </w:p>
        </w:tc>
        <w:tc>
          <w:tcPr>
            <w:tcW w:type="dxa" w:w="144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Annualised change</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Median home change</w:t>
            </w:r>
          </w:p>
        </w:tc>
        <w:tc>
          <w:tcPr>
            <w:tcW w:type="dxa" w:w="1512"/>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Median street change</w:t>
            </w:r>
          </w:p>
        </w:tc>
        <w:tc>
          <w:tcPr>
            <w:tcW w:type="dxa" w:w="108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Sign-test p</w:t>
            </w:r>
          </w:p>
        </w:tc>
      </w:tr>
      <w:tr>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2006-07 to 2011</w:t>
            </w:r>
          </w:p>
        </w:tc>
        <w:tc>
          <w:tcPr>
            <w:tcW w:type="dxa" w:w="792"/>
            <w:vAlign w:val="center"/>
            <w:tcMar>
              <w:top w:w="90" w:type="dxa"/>
              <w:start w:w="100" w:type="dxa"/>
              <w:bottom w:w="90" w:type="dxa"/>
              <w:end w:w="100" w:type="dxa"/>
            </w:tcMar>
          </w:tcPr>
          <w:p>
            <w:pPr>
              <w:spacing w:after="0" w:line="240" w:lineRule="auto"/>
              <w:jc w:val="center"/>
            </w:pPr>
            <w:r>
              <w:rPr>
                <w:rFonts w:ascii="Times New Roman" w:hAnsi="Times New Roman"/>
                <w:sz w:val="17"/>
              </w:rPr>
              <w:t>10</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+66.25%</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+11.96%</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+18.32 pp</w:t>
            </w:r>
          </w:p>
        </w:tc>
        <w:tc>
          <w:tcPr>
            <w:tcW w:type="dxa" w:w="1512"/>
            <w:vAlign w:val="center"/>
            <w:tcMar>
              <w:top w:w="90" w:type="dxa"/>
              <w:start w:w="100" w:type="dxa"/>
              <w:bottom w:w="90" w:type="dxa"/>
              <w:end w:w="100" w:type="dxa"/>
            </w:tcMar>
          </w:tcPr>
          <w:p>
            <w:pPr>
              <w:spacing w:after="0" w:line="240" w:lineRule="auto"/>
              <w:jc w:val="center"/>
            </w:pPr>
            <w:r>
              <w:rPr>
                <w:rFonts w:ascii="Times New Roman" w:hAnsi="Times New Roman"/>
                <w:sz w:val="17"/>
              </w:rPr>
              <w:t>-24.16 pp</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0.109</w:t>
            </w:r>
          </w:p>
        </w:tc>
      </w:tr>
      <w:tr>
        <w:tc>
          <w:tcPr>
            <w:tcW w:type="dxa" w:w="1944"/>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2011 to 2014</w:t>
            </w:r>
          </w:p>
        </w:tc>
        <w:tc>
          <w:tcPr>
            <w:tcW w:type="dxa" w:w="792"/>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4</w:t>
            </w:r>
          </w:p>
        </w:tc>
        <w:tc>
          <w:tcPr>
            <w:tcW w:type="dxa" w:w="144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+16.77%</w:t>
            </w:r>
          </w:p>
        </w:tc>
        <w:tc>
          <w:tcPr>
            <w:tcW w:type="dxa" w:w="144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+5.30%</w:t>
            </w:r>
          </w:p>
        </w:tc>
        <w:tc>
          <w:tcPr>
            <w:tcW w:type="dxa" w:w="1512"/>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-26.10 pp</w:t>
            </w:r>
          </w:p>
        </w:tc>
        <w:tc>
          <w:tcPr>
            <w:tcW w:type="dxa" w:w="1512"/>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+17.11 pp</w:t>
            </w:r>
          </w:p>
        </w:tc>
        <w:tc>
          <w:tcPr>
            <w:tcW w:type="dxa" w:w="10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0.125</w:t>
            </w:r>
          </w:p>
        </w:tc>
      </w:tr>
      <w:tr>
        <w:tc>
          <w:tcPr>
            <w:tcW w:type="dxa" w:w="1944"/>
            <w:vAlign w:val="center"/>
            <w:tcMar>
              <w:top w:w="90" w:type="dxa"/>
              <w:start w:w="100" w:type="dxa"/>
              <w:bottom w:w="90" w:type="dxa"/>
              <w:end w:w="100" w:type="dxa"/>
            </w:tcMar>
          </w:tcPr>
          <w:p>
            <w:pPr>
              <w:spacing w:after="0" w:line="240" w:lineRule="auto"/>
              <w:jc w:val="left"/>
            </w:pPr>
            <w:r>
              <w:rPr>
                <w:rFonts w:ascii="Times New Roman" w:hAnsi="Times New Roman"/>
                <w:sz w:val="17"/>
              </w:rPr>
              <w:t>2011 to 2016-17</w:t>
            </w:r>
          </w:p>
        </w:tc>
        <w:tc>
          <w:tcPr>
            <w:tcW w:type="dxa" w:w="792"/>
            <w:vAlign w:val="center"/>
            <w:tcMar>
              <w:top w:w="90" w:type="dxa"/>
              <w:start w:w="100" w:type="dxa"/>
              <w:bottom w:w="90" w:type="dxa"/>
              <w:end w:w="100" w:type="dxa"/>
            </w:tcMar>
          </w:tcPr>
          <w:p>
            <w:pPr>
              <w:spacing w:after="0" w:line="240" w:lineRule="auto"/>
              <w:jc w:val="center"/>
            </w:pPr>
            <w:r>
              <w:rPr>
                <w:rFonts w:ascii="Times New Roman" w:hAnsi="Times New Roman"/>
                <w:sz w:val="17"/>
              </w:rPr>
              <w:t>10</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+3.36%</w:t>
            </w:r>
          </w:p>
        </w:tc>
        <w:tc>
          <w:tcPr>
            <w:tcW w:type="dxa" w:w="1440"/>
            <w:vAlign w:val="center"/>
            <w:tcMar>
              <w:top w:w="90" w:type="dxa"/>
              <w:start w:w="100" w:type="dxa"/>
              <w:bottom w:w="90" w:type="dxa"/>
              <w:end w:w="100" w:type="dxa"/>
            </w:tcMar>
          </w:tcPr>
          <w:p>
            <w:pPr>
              <w:spacing w:after="0" w:line="240" w:lineRule="auto"/>
              <w:jc w:val="left"/>
            </w:pPr>
            <w:r>
              <w:rPr>
                <w:rFonts w:ascii="Times New Roman" w:hAnsi="Times New Roman"/>
                <w:sz w:val="17"/>
              </w:rPr>
              <w:t>+0.60%</w:t>
            </w:r>
          </w:p>
        </w:tc>
        <w:tc>
          <w:tcPr>
            <w:tcW w:type="dxa" w:w="1512"/>
            <w:vAlign w:val="center"/>
            <w:tcMar>
              <w:top w:w="90" w:type="dxa"/>
              <w:start w:w="100" w:type="dxa"/>
              <w:bottom w:w="90" w:type="dxa"/>
              <w:end w:w="100" w:type="dxa"/>
            </w:tcMar>
          </w:tcPr>
          <w:p>
            <w:pPr>
              <w:spacing w:after="0" w:line="240" w:lineRule="auto"/>
              <w:jc w:val="left"/>
            </w:pPr>
            <w:r>
              <w:rPr>
                <w:rFonts w:ascii="Times New Roman" w:hAnsi="Times New Roman"/>
                <w:sz w:val="17"/>
              </w:rPr>
              <w:t>Not available</w:t>
            </w:r>
          </w:p>
        </w:tc>
        <w:tc>
          <w:tcPr>
            <w:tcW w:type="dxa" w:w="1512"/>
            <w:vAlign w:val="center"/>
            <w:tcMar>
              <w:top w:w="90" w:type="dxa"/>
              <w:start w:w="100" w:type="dxa"/>
              <w:bottom w:w="90" w:type="dxa"/>
              <w:end w:w="100" w:type="dxa"/>
            </w:tcMar>
          </w:tcPr>
          <w:p>
            <w:pPr>
              <w:spacing w:after="0" w:line="240" w:lineRule="auto"/>
              <w:jc w:val="center"/>
            </w:pPr>
            <w:r>
              <w:rPr>
                <w:rFonts w:ascii="Times New Roman" w:hAnsi="Times New Roman"/>
                <w:sz w:val="17"/>
              </w:rPr>
              <w:t>Not available</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0.754</w:t>
            </w:r>
          </w:p>
        </w:tc>
      </w:tr>
    </w:tbl>
    <w:p>
      <w:pPr>
        <w:spacing w:before="60" w:after="160" w:line="240" w:lineRule="auto"/>
      </w:pPr>
      <w:r>
        <w:rPr>
          <w:rFonts w:ascii="Times New Roman" w:hAnsi="Times New Roman"/>
          <w:i/>
          <w:sz w:val="18"/>
        </w:rPr>
        <w:t>Annualised changes use approximate intervals of 4.5, 3.0, and 5.5 years. pp, percentage points.</w:t>
      </w:r>
    </w:p>
    <w:p>
      <w:pPr>
        <w:spacing w:line="480" w:lineRule="auto" w:after="0"/>
        <w:ind w:firstLine="432"/>
      </w:pPr>
      <w:r>
        <w:rPr>
          <w:rFonts w:ascii="Times New Roman" w:hAnsi="Times New Roman"/>
          <w:sz w:val="24"/>
        </w:rPr>
        <w:t>The strict panels held the city set constant across deterioration and recovery. In Faisalabad, Lahore, Multan, and Sargodha, annualised growth slowed from 9.65% before 2011 to 5.30% after 2011. In Hyderabad, Karachi, Larkana, Peshawar, Quetta, and Sukkur, it slowed from 14.39% to 0.87%; the later rate was 6.1% of the earlier rate. This was the clearest descriptive expansion-to-plateau signal in the study.</w:t>
      </w:r>
    </w:p>
    <w:p>
      <w:pPr>
        <w:keepNext/>
        <w:jc w:val="center"/>
      </w:pPr>
      <w:r>
        <w:drawing>
          <wp:inline xmlns:a="http://schemas.openxmlformats.org/drawingml/2006/main" xmlns:pic="http://schemas.openxmlformats.org/drawingml/2006/picture">
            <wp:extent cx="5715000" cy="2827421"/>
            <wp:docPr id="3" name="Picture 3"/>
            <wp:cNvGraphicFramePr>
              <a:graphicFrameLocks noChangeAspect="1"/>
            </wp:cNvGraphicFramePr>
            <a:graphic>
              <a:graphicData uri="http://schemas.openxmlformats.org/drawingml/2006/picture">
                <pic:pic>
                  <pic:nvPicPr>
                    <pic:cNvPr id="0" name="exploratory_figure_6_better_economy_test.png"/>
                    <pic:cNvPicPr/>
                  </pic:nvPicPr>
                  <pic:blipFill>
                    <a:blip r:embed="rId12"/>
                    <a:stretch>
                      <a:fillRect/>
                    </a:stretch>
                  </pic:blipFill>
                  <pic:spPr>
                    <a:xfrm>
                      <a:off x="0" y="0"/>
                      <a:ext cx="5715000" cy="2827421"/>
                    </a:xfrm>
                    <a:prstGeom prst="rect"/>
                  </pic:spPr>
                </pic:pic>
              </a:graphicData>
            </a:graphic>
          </wp:inline>
        </w:drawing>
      </w:r>
    </w:p>
    <w:p>
      <w:pPr>
        <w:pStyle w:val="Caption"/>
        <w:spacing w:after="200"/>
        <w:jc w:val="left"/>
      </w:pPr>
      <w:r>
        <w:rPr>
          <w:rFonts w:ascii="Times New Roman" w:hAnsi="Times New Roman"/>
          <w:b/>
          <w:sz w:val="20"/>
        </w:rPr>
        <w:t>Figure 3. Common-city mapped population change during deterioration and recovery. The combined population expanded rapidly before 2011 and then grew more slowly, approaching a plateau through 2016-17.</w:t>
      </w:r>
    </w:p>
    <w:p>
      <w:pPr>
        <w:spacing w:line="480" w:lineRule="auto" w:after="0"/>
        <w:ind w:firstLine="432"/>
      </w:pPr>
      <w:r>
        <w:rPr>
          <w:rFonts w:ascii="Times New Roman" w:hAnsi="Times New Roman"/>
          <w:sz w:val="24"/>
        </w:rPr>
        <w:t>City-level correlations between change in district deterioration and change in mapped count were not stable: rho was -0.382 for 2006-07 to 2011, -0.400 for 2011 to 2014, and 0.417 for 2011 to 2016-17. The continuous-panel result therefore describes a shared change in growth regime, not a consistent ranking of individual city responses.</w:t>
      </w:r>
    </w:p>
    <w:p>
      <w:pPr>
        <w:pStyle w:val="Heading2"/>
      </w:pPr>
      <w:r>
        <w:rPr>
          <w:rFonts w:ascii="Times New Roman" w:hAnsi="Times New Roman"/>
          <w:sz w:val="24"/>
        </w:rPr>
        <w:t>National indicators showed direction but not time-series certainty</w:t>
      </w:r>
    </w:p>
    <w:p>
      <w:pPr>
        <w:spacing w:line="480" w:lineRule="auto" w:after="0"/>
        <w:ind w:firstLine="432"/>
      </w:pPr>
      <w:r>
        <w:rPr>
          <w:rFonts w:ascii="Times New Roman" w:hAnsi="Times New Roman"/>
          <w:sz w:val="24"/>
        </w:rPr>
        <w:t>Across four rounds, GDP growth was inversely correlated with median city mapped count (rho = -0.600), while inflation was positively correlated with the same marker (rho = 0.400). With only three typology rounds, inflation was perfectly rank-aligned with home share and the home-minus-street balance (rho = 1.000; exact p = 0.333), while GDP growth was perfectly aligned with street share (rho = 1.000; exact p = 0.333) and inversely aligned with the home-minus-street balance (rho = -0.500). Kothikhana share did not behave as a consistent macroeconomic marker: it rose during both deterioration and recovery.</w:t>
      </w:r>
    </w:p>
    <w:p>
      <w:pPr>
        <w:pStyle w:val="Caption"/>
        <w:keepNext/>
      </w:pPr>
      <w:r>
        <w:rPr>
          <w:rFonts w:ascii="Times New Roman" w:hAnsi="Times New Roman"/>
          <w:b/>
          <w:sz w:val="20"/>
        </w:rPr>
        <w:t>Table 5. Selected round-level economic-marker correlations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5"/>
        <w:gridCol w:w="1505"/>
        <w:gridCol w:w="1505"/>
        <w:gridCol w:w="1505"/>
        <w:gridCol w:w="1505"/>
        <w:gridCol w:w="1505"/>
      </w:tblGrid>
      <w:tr>
        <w:trPr>
          <w:tblHeader w:val="true"/>
        </w:trPr>
        <w:tc>
          <w:tcPr>
            <w:tcW w:type="dxa" w:w="2016"/>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Economic indicator</w:t>
            </w:r>
          </w:p>
        </w:tc>
        <w:tc>
          <w:tcPr>
            <w:tcW w:type="dxa" w:w="288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FSW marker</w:t>
            </w:r>
          </w:p>
        </w:tc>
        <w:tc>
          <w:tcPr>
            <w:tcW w:type="dxa" w:w="936"/>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Rounds</w:t>
            </w:r>
          </w:p>
        </w:tc>
        <w:tc>
          <w:tcPr>
            <w:tcW w:type="dxa" w:w="1296"/>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Spearman rho</w:t>
            </w:r>
          </w:p>
        </w:tc>
        <w:tc>
          <w:tcPr>
            <w:tcW w:type="dxa" w:w="108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Exact p</w:t>
            </w:r>
          </w:p>
        </w:tc>
        <w:tc>
          <w:tcPr>
            <w:tcW w:type="dxa" w:w="1080"/>
            <w:vAlign w:val="center"/>
            <w:shd w:fill="1F4E78"/>
            <w:tcMar>
              <w:top w:w="90" w:type="dxa"/>
              <w:start w:w="100" w:type="dxa"/>
              <w:bottom w:w="90" w:type="dxa"/>
              <w:end w:w="100" w:type="dxa"/>
            </w:tcMar>
          </w:tcPr>
          <w:p>
            <w:pPr>
              <w:spacing w:after="0"/>
              <w:jc w:val="center"/>
            </w:pPr>
            <w:r>
              <w:rPr>
                <w:rFonts w:ascii="Times New Roman" w:hAnsi="Times New Roman"/>
                <w:b/>
                <w:color w:val="FFFFFF"/>
                <w:sz w:val="17"/>
              </w:rPr>
              <w:t>FDR q</w:t>
            </w:r>
          </w:p>
        </w:tc>
      </w:tr>
      <w:tr>
        <w:tc>
          <w:tcPr>
            <w:tcW w:type="dxa" w:w="2016"/>
            <w:vAlign w:val="center"/>
            <w:tcMar>
              <w:top w:w="90" w:type="dxa"/>
              <w:start w:w="100" w:type="dxa"/>
              <w:bottom w:w="90" w:type="dxa"/>
              <w:end w:w="100" w:type="dxa"/>
            </w:tcMar>
          </w:tcPr>
          <w:p>
            <w:pPr>
              <w:spacing w:after="0" w:line="240" w:lineRule="auto"/>
              <w:jc w:val="left"/>
            </w:pPr>
            <w:r>
              <w:rPr>
                <w:rFonts w:ascii="Times New Roman" w:hAnsi="Times New Roman"/>
                <w:sz w:val="17"/>
              </w:rPr>
              <w:t>GDP growth</w:t>
            </w:r>
          </w:p>
        </w:tc>
        <w:tc>
          <w:tcPr>
            <w:tcW w:type="dxa" w:w="2880"/>
            <w:vAlign w:val="center"/>
            <w:tcMar>
              <w:top w:w="90" w:type="dxa"/>
              <w:start w:w="100" w:type="dxa"/>
              <w:bottom w:w="90" w:type="dxa"/>
              <w:end w:w="100" w:type="dxa"/>
            </w:tcMar>
          </w:tcPr>
          <w:p>
            <w:pPr>
              <w:spacing w:after="0" w:line="240" w:lineRule="auto"/>
              <w:jc w:val="center"/>
            </w:pPr>
            <w:r>
              <w:rPr>
                <w:rFonts w:ascii="Times New Roman" w:hAnsi="Times New Roman"/>
                <w:sz w:val="17"/>
              </w:rPr>
              <w:t>Median city mapped total</w:t>
            </w:r>
          </w:p>
        </w:tc>
        <w:tc>
          <w:tcPr>
            <w:tcW w:type="dxa" w:w="936"/>
            <w:vAlign w:val="center"/>
            <w:tcMar>
              <w:top w:w="90" w:type="dxa"/>
              <w:start w:w="100" w:type="dxa"/>
              <w:bottom w:w="90" w:type="dxa"/>
              <w:end w:w="100" w:type="dxa"/>
            </w:tcMar>
          </w:tcPr>
          <w:p>
            <w:pPr>
              <w:spacing w:after="0" w:line="240" w:lineRule="auto"/>
              <w:jc w:val="left"/>
            </w:pPr>
            <w:r>
              <w:rPr>
                <w:rFonts w:ascii="Times New Roman" w:hAnsi="Times New Roman"/>
                <w:sz w:val="17"/>
              </w:rPr>
              <w:t>4</w:t>
            </w:r>
          </w:p>
        </w:tc>
        <w:tc>
          <w:tcPr>
            <w:tcW w:type="dxa" w:w="1296"/>
            <w:vAlign w:val="center"/>
            <w:tcMar>
              <w:top w:w="90" w:type="dxa"/>
              <w:start w:w="100" w:type="dxa"/>
              <w:bottom w:w="90" w:type="dxa"/>
              <w:end w:w="100" w:type="dxa"/>
            </w:tcMar>
          </w:tcPr>
          <w:p>
            <w:pPr>
              <w:spacing w:after="0" w:line="240" w:lineRule="auto"/>
              <w:jc w:val="left"/>
            </w:pPr>
            <w:r>
              <w:rPr>
                <w:rFonts w:ascii="Times New Roman" w:hAnsi="Times New Roman"/>
                <w:sz w:val="17"/>
              </w:rPr>
              <w:t>-0.600</w:t>
            </w:r>
          </w:p>
        </w:tc>
        <w:tc>
          <w:tcPr>
            <w:tcW w:type="dxa" w:w="1080"/>
            <w:vAlign w:val="center"/>
            <w:tcMar>
              <w:top w:w="90" w:type="dxa"/>
              <w:start w:w="100" w:type="dxa"/>
              <w:bottom w:w="90" w:type="dxa"/>
              <w:end w:w="100" w:type="dxa"/>
            </w:tcMar>
          </w:tcPr>
          <w:p>
            <w:pPr>
              <w:spacing w:after="0" w:line="240" w:lineRule="auto"/>
              <w:jc w:val="left"/>
            </w:pPr>
            <w:r>
              <w:rPr>
                <w:rFonts w:ascii="Times New Roman" w:hAnsi="Times New Roman"/>
                <w:sz w:val="17"/>
              </w:rPr>
              <w:t>0.417</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CPI inflation</w:t>
            </w:r>
          </w:p>
        </w:tc>
        <w:tc>
          <w:tcPr>
            <w:tcW w:type="dxa" w:w="28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Median city mapped total</w:t>
            </w:r>
          </w:p>
        </w:tc>
        <w:tc>
          <w:tcPr>
            <w:tcW w:type="dxa" w:w="93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4</w:t>
            </w:r>
          </w:p>
        </w:tc>
        <w:tc>
          <w:tcPr>
            <w:tcW w:type="dxa" w:w="129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0.400</w:t>
            </w:r>
          </w:p>
        </w:tc>
        <w:tc>
          <w:tcPr>
            <w:tcW w:type="dxa" w:w="108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0.750</w:t>
            </w:r>
          </w:p>
        </w:tc>
        <w:tc>
          <w:tcPr>
            <w:tcW w:type="dxa" w:w="10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tcPr>
          <w:p>
            <w:pPr>
              <w:spacing w:after="0" w:line="240" w:lineRule="auto"/>
              <w:jc w:val="left"/>
            </w:pPr>
            <w:r>
              <w:rPr>
                <w:rFonts w:ascii="Times New Roman" w:hAnsi="Times New Roman"/>
                <w:sz w:val="17"/>
              </w:rPr>
              <w:t>CPI inflation</w:t>
            </w:r>
          </w:p>
        </w:tc>
        <w:tc>
          <w:tcPr>
            <w:tcW w:type="dxa" w:w="2880"/>
            <w:vAlign w:val="center"/>
            <w:tcMar>
              <w:top w:w="90" w:type="dxa"/>
              <w:start w:w="100" w:type="dxa"/>
              <w:bottom w:w="90" w:type="dxa"/>
              <w:end w:w="100" w:type="dxa"/>
            </w:tcMar>
          </w:tcPr>
          <w:p>
            <w:pPr>
              <w:spacing w:after="0" w:line="240" w:lineRule="auto"/>
              <w:jc w:val="center"/>
            </w:pPr>
            <w:r>
              <w:rPr>
                <w:rFonts w:ascii="Times New Roman" w:hAnsi="Times New Roman"/>
                <w:sz w:val="17"/>
              </w:rPr>
              <w:t>Home share</w:t>
            </w:r>
          </w:p>
        </w:tc>
        <w:tc>
          <w:tcPr>
            <w:tcW w:type="dxa" w:w="936"/>
            <w:vAlign w:val="center"/>
            <w:tcMar>
              <w:top w:w="90" w:type="dxa"/>
              <w:start w:w="100" w:type="dxa"/>
              <w:bottom w:w="90" w:type="dxa"/>
              <w:end w:w="100" w:type="dxa"/>
            </w:tcMar>
          </w:tcPr>
          <w:p>
            <w:pPr>
              <w:spacing w:after="0" w:line="240" w:lineRule="auto"/>
              <w:jc w:val="left"/>
            </w:pPr>
            <w:r>
              <w:rPr>
                <w:rFonts w:ascii="Times New Roman" w:hAnsi="Times New Roman"/>
                <w:sz w:val="17"/>
              </w:rPr>
              <w:t>3</w:t>
            </w:r>
          </w:p>
        </w:tc>
        <w:tc>
          <w:tcPr>
            <w:tcW w:type="dxa" w:w="1296"/>
            <w:vAlign w:val="center"/>
            <w:tcMar>
              <w:top w:w="90" w:type="dxa"/>
              <w:start w:w="100" w:type="dxa"/>
              <w:bottom w:w="90" w:type="dxa"/>
              <w:end w:w="100" w:type="dxa"/>
            </w:tcMar>
          </w:tcPr>
          <w:p>
            <w:pPr>
              <w:spacing w:after="0" w:line="240" w:lineRule="auto"/>
              <w:jc w:val="left"/>
            </w:pPr>
            <w:r>
              <w:rPr>
                <w:rFonts w:ascii="Times New Roman" w:hAnsi="Times New Roman"/>
                <w:sz w:val="17"/>
              </w:rPr>
              <w:t>1.000</w:t>
            </w:r>
          </w:p>
        </w:tc>
        <w:tc>
          <w:tcPr>
            <w:tcW w:type="dxa" w:w="1080"/>
            <w:vAlign w:val="center"/>
            <w:tcMar>
              <w:top w:w="90" w:type="dxa"/>
              <w:start w:w="100" w:type="dxa"/>
              <w:bottom w:w="90" w:type="dxa"/>
              <w:end w:w="100" w:type="dxa"/>
            </w:tcMar>
          </w:tcPr>
          <w:p>
            <w:pPr>
              <w:spacing w:after="0" w:line="240" w:lineRule="auto"/>
              <w:jc w:val="left"/>
            </w:pPr>
            <w:r>
              <w:rPr>
                <w:rFonts w:ascii="Times New Roman" w:hAnsi="Times New Roman"/>
                <w:sz w:val="17"/>
              </w:rPr>
              <w:t>0.333</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CPI inflation</w:t>
            </w:r>
          </w:p>
        </w:tc>
        <w:tc>
          <w:tcPr>
            <w:tcW w:type="dxa" w:w="28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Home minus street balance</w:t>
            </w:r>
          </w:p>
        </w:tc>
        <w:tc>
          <w:tcPr>
            <w:tcW w:type="dxa" w:w="93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3</w:t>
            </w:r>
          </w:p>
        </w:tc>
        <w:tc>
          <w:tcPr>
            <w:tcW w:type="dxa" w:w="129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1.000</w:t>
            </w:r>
          </w:p>
        </w:tc>
        <w:tc>
          <w:tcPr>
            <w:tcW w:type="dxa" w:w="108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0.333</w:t>
            </w:r>
          </w:p>
        </w:tc>
        <w:tc>
          <w:tcPr>
            <w:tcW w:type="dxa" w:w="10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tcPr>
          <w:p>
            <w:pPr>
              <w:spacing w:after="0" w:line="240" w:lineRule="auto"/>
              <w:jc w:val="left"/>
            </w:pPr>
            <w:r>
              <w:rPr>
                <w:rFonts w:ascii="Times New Roman" w:hAnsi="Times New Roman"/>
                <w:sz w:val="17"/>
              </w:rPr>
              <w:t>GDP growth</w:t>
            </w:r>
          </w:p>
        </w:tc>
        <w:tc>
          <w:tcPr>
            <w:tcW w:type="dxa" w:w="2880"/>
            <w:vAlign w:val="center"/>
            <w:tcMar>
              <w:top w:w="90" w:type="dxa"/>
              <w:start w:w="100" w:type="dxa"/>
              <w:bottom w:w="90" w:type="dxa"/>
              <w:end w:w="100" w:type="dxa"/>
            </w:tcMar>
          </w:tcPr>
          <w:p>
            <w:pPr>
              <w:spacing w:after="0" w:line="240" w:lineRule="auto"/>
              <w:jc w:val="center"/>
            </w:pPr>
            <w:r>
              <w:rPr>
                <w:rFonts w:ascii="Times New Roman" w:hAnsi="Times New Roman"/>
                <w:sz w:val="17"/>
              </w:rPr>
              <w:t>Street share</w:t>
            </w:r>
          </w:p>
        </w:tc>
        <w:tc>
          <w:tcPr>
            <w:tcW w:type="dxa" w:w="936"/>
            <w:vAlign w:val="center"/>
            <w:tcMar>
              <w:top w:w="90" w:type="dxa"/>
              <w:start w:w="100" w:type="dxa"/>
              <w:bottom w:w="90" w:type="dxa"/>
              <w:end w:w="100" w:type="dxa"/>
            </w:tcMar>
          </w:tcPr>
          <w:p>
            <w:pPr>
              <w:spacing w:after="0" w:line="240" w:lineRule="auto"/>
              <w:jc w:val="left"/>
            </w:pPr>
            <w:r>
              <w:rPr>
                <w:rFonts w:ascii="Times New Roman" w:hAnsi="Times New Roman"/>
                <w:sz w:val="17"/>
              </w:rPr>
              <w:t>3</w:t>
            </w:r>
          </w:p>
        </w:tc>
        <w:tc>
          <w:tcPr>
            <w:tcW w:type="dxa" w:w="1296"/>
            <w:vAlign w:val="center"/>
            <w:tcMar>
              <w:top w:w="90" w:type="dxa"/>
              <w:start w:w="100" w:type="dxa"/>
              <w:bottom w:w="90" w:type="dxa"/>
              <w:end w:w="100" w:type="dxa"/>
            </w:tcMar>
          </w:tcPr>
          <w:p>
            <w:pPr>
              <w:spacing w:after="0" w:line="240" w:lineRule="auto"/>
              <w:jc w:val="left"/>
            </w:pPr>
            <w:r>
              <w:rPr>
                <w:rFonts w:ascii="Times New Roman" w:hAnsi="Times New Roman"/>
                <w:sz w:val="17"/>
              </w:rPr>
              <w:t>1.000</w:t>
            </w:r>
          </w:p>
        </w:tc>
        <w:tc>
          <w:tcPr>
            <w:tcW w:type="dxa" w:w="1080"/>
            <w:vAlign w:val="center"/>
            <w:tcMar>
              <w:top w:w="90" w:type="dxa"/>
              <w:start w:w="100" w:type="dxa"/>
              <w:bottom w:w="90" w:type="dxa"/>
              <w:end w:w="100" w:type="dxa"/>
            </w:tcMar>
          </w:tcPr>
          <w:p>
            <w:pPr>
              <w:spacing w:after="0" w:line="240" w:lineRule="auto"/>
              <w:jc w:val="left"/>
            </w:pPr>
            <w:r>
              <w:rPr>
                <w:rFonts w:ascii="Times New Roman" w:hAnsi="Times New Roman"/>
                <w:sz w:val="17"/>
              </w:rPr>
              <w:t>0.333</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GDP growth</w:t>
            </w:r>
          </w:p>
        </w:tc>
        <w:tc>
          <w:tcPr>
            <w:tcW w:type="dxa" w:w="28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Reported household deterioration</w:t>
            </w:r>
          </w:p>
        </w:tc>
        <w:tc>
          <w:tcPr>
            <w:tcW w:type="dxa" w:w="93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4</w:t>
            </w:r>
          </w:p>
        </w:tc>
        <w:tc>
          <w:tcPr>
            <w:tcW w:type="dxa" w:w="1296"/>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-0.800</w:t>
            </w:r>
          </w:p>
        </w:tc>
        <w:tc>
          <w:tcPr>
            <w:tcW w:type="dxa" w:w="1080"/>
            <w:vAlign w:val="center"/>
            <w:tcMar>
              <w:top w:w="90" w:type="dxa"/>
              <w:start w:w="100" w:type="dxa"/>
              <w:bottom w:w="90" w:type="dxa"/>
              <w:end w:w="100" w:type="dxa"/>
            </w:tcMar>
            <w:shd w:fill="EAF2F8"/>
          </w:tcPr>
          <w:p>
            <w:pPr>
              <w:spacing w:after="0" w:line="240" w:lineRule="auto"/>
              <w:jc w:val="left"/>
            </w:pPr>
            <w:r>
              <w:rPr>
                <w:rFonts w:ascii="Times New Roman" w:hAnsi="Times New Roman"/>
                <w:sz w:val="17"/>
              </w:rPr>
              <w:t>0.333</w:t>
            </w:r>
          </w:p>
        </w:tc>
        <w:tc>
          <w:tcPr>
            <w:tcW w:type="dxa" w:w="1080"/>
            <w:vAlign w:val="center"/>
            <w:tcMar>
              <w:top w:w="90" w:type="dxa"/>
              <w:start w:w="100" w:type="dxa"/>
              <w:bottom w:w="90" w:type="dxa"/>
              <w:end w:w="100" w:type="dxa"/>
            </w:tcMar>
            <w:shd w:fill="EAF2F8"/>
          </w:tcPr>
          <w:p>
            <w:pPr>
              <w:spacing w:after="0" w:line="240" w:lineRule="auto"/>
              <w:jc w:val="center"/>
            </w:pPr>
            <w:r>
              <w:rPr>
                <w:rFonts w:ascii="Times New Roman" w:hAnsi="Times New Roman"/>
                <w:sz w:val="17"/>
              </w:rPr>
              <w:t>1.000</w:t>
            </w:r>
          </w:p>
        </w:tc>
      </w:tr>
      <w:tr>
        <w:tc>
          <w:tcPr>
            <w:tcW w:type="dxa" w:w="2016"/>
            <w:vAlign w:val="center"/>
            <w:tcMar>
              <w:top w:w="90" w:type="dxa"/>
              <w:start w:w="100" w:type="dxa"/>
              <w:bottom w:w="90" w:type="dxa"/>
              <w:end w:w="100" w:type="dxa"/>
            </w:tcMar>
          </w:tcPr>
          <w:p>
            <w:pPr>
              <w:spacing w:after="0" w:line="240" w:lineRule="auto"/>
              <w:jc w:val="left"/>
            </w:pPr>
            <w:r>
              <w:rPr>
                <w:rFonts w:ascii="Times New Roman" w:hAnsi="Times New Roman"/>
                <w:sz w:val="17"/>
              </w:rPr>
              <w:t>Per-capita income</w:t>
            </w:r>
          </w:p>
        </w:tc>
        <w:tc>
          <w:tcPr>
            <w:tcW w:type="dxa" w:w="2880"/>
            <w:vAlign w:val="center"/>
            <w:tcMar>
              <w:top w:w="90" w:type="dxa"/>
              <w:start w:w="100" w:type="dxa"/>
              <w:bottom w:w="90" w:type="dxa"/>
              <w:end w:w="100" w:type="dxa"/>
            </w:tcMar>
          </w:tcPr>
          <w:p>
            <w:pPr>
              <w:spacing w:after="0" w:line="240" w:lineRule="auto"/>
              <w:jc w:val="center"/>
            </w:pPr>
            <w:r>
              <w:rPr>
                <w:rFonts w:ascii="Times New Roman" w:hAnsi="Times New Roman"/>
                <w:sz w:val="17"/>
              </w:rPr>
              <w:t>Kothikhana share</w:t>
            </w:r>
          </w:p>
        </w:tc>
        <w:tc>
          <w:tcPr>
            <w:tcW w:type="dxa" w:w="936"/>
            <w:vAlign w:val="center"/>
            <w:tcMar>
              <w:top w:w="90" w:type="dxa"/>
              <w:start w:w="100" w:type="dxa"/>
              <w:bottom w:w="90" w:type="dxa"/>
              <w:end w:w="100" w:type="dxa"/>
            </w:tcMar>
          </w:tcPr>
          <w:p>
            <w:pPr>
              <w:spacing w:after="0" w:line="240" w:lineRule="auto"/>
              <w:jc w:val="left"/>
            </w:pPr>
            <w:r>
              <w:rPr>
                <w:rFonts w:ascii="Times New Roman" w:hAnsi="Times New Roman"/>
                <w:sz w:val="17"/>
              </w:rPr>
              <w:t>3</w:t>
            </w:r>
          </w:p>
        </w:tc>
        <w:tc>
          <w:tcPr>
            <w:tcW w:type="dxa" w:w="1296"/>
            <w:vAlign w:val="center"/>
            <w:tcMar>
              <w:top w:w="90" w:type="dxa"/>
              <w:start w:w="100" w:type="dxa"/>
              <w:bottom w:w="90" w:type="dxa"/>
              <w:end w:w="100" w:type="dxa"/>
            </w:tcMar>
          </w:tcPr>
          <w:p>
            <w:pPr>
              <w:spacing w:after="0" w:line="240" w:lineRule="auto"/>
              <w:jc w:val="left"/>
            </w:pPr>
            <w:r>
              <w:rPr>
                <w:rFonts w:ascii="Times New Roman" w:hAnsi="Times New Roman"/>
                <w:sz w:val="17"/>
              </w:rPr>
              <w:t>1.000</w:t>
            </w:r>
          </w:p>
        </w:tc>
        <w:tc>
          <w:tcPr>
            <w:tcW w:type="dxa" w:w="1080"/>
            <w:vAlign w:val="center"/>
            <w:tcMar>
              <w:top w:w="90" w:type="dxa"/>
              <w:start w:w="100" w:type="dxa"/>
              <w:bottom w:w="90" w:type="dxa"/>
              <w:end w:w="100" w:type="dxa"/>
            </w:tcMar>
          </w:tcPr>
          <w:p>
            <w:pPr>
              <w:spacing w:after="0" w:line="240" w:lineRule="auto"/>
              <w:jc w:val="left"/>
            </w:pPr>
            <w:r>
              <w:rPr>
                <w:rFonts w:ascii="Times New Roman" w:hAnsi="Times New Roman"/>
                <w:sz w:val="17"/>
              </w:rPr>
              <w:t>0.333</w:t>
            </w:r>
          </w:p>
        </w:tc>
        <w:tc>
          <w:tcPr>
            <w:tcW w:type="dxa" w:w="1080"/>
            <w:vAlign w:val="center"/>
            <w:tcMar>
              <w:top w:w="90" w:type="dxa"/>
              <w:start w:w="100" w:type="dxa"/>
              <w:bottom w:w="90" w:type="dxa"/>
              <w:end w:w="100" w:type="dxa"/>
            </w:tcMar>
          </w:tcPr>
          <w:p>
            <w:pPr>
              <w:spacing w:after="0" w:line="240" w:lineRule="auto"/>
              <w:jc w:val="center"/>
            </w:pPr>
            <w:r>
              <w:rPr>
                <w:rFonts w:ascii="Times New Roman" w:hAnsi="Times New Roman"/>
                <w:sz w:val="17"/>
              </w:rPr>
              <w:t>1.000</w:t>
            </w:r>
          </w:p>
        </w:tc>
      </w:tr>
    </w:tbl>
    <w:p>
      <w:pPr>
        <w:spacing w:before="60" w:after="160" w:line="240" w:lineRule="auto"/>
      </w:pPr>
      <w:r>
        <w:rPr>
          <w:rFonts w:ascii="Times New Roman" w:hAnsi="Times New Roman"/>
          <w:i/>
          <w:sz w:val="18"/>
        </w:rPr>
        <w:t>All 32 macro-marker tests used exact permutation inference and Benjamini-Hochberg adjustment. Directional coefficients with three or four rounds are descriptive.</w:t>
      </w:r>
    </w:p>
    <w:p>
      <w:pPr>
        <w:spacing w:line="480" w:lineRule="auto" w:after="0"/>
        <w:ind w:firstLine="432"/>
      </w:pPr>
      <w:r>
        <w:rPr>
          <w:rFonts w:ascii="Times New Roman" w:hAnsi="Times New Roman"/>
          <w:sz w:val="24"/>
        </w:rPr>
        <w:t>None of the 32 macro-marker correlations survived exact small-sample inference or false-discovery-rate adjustment. The smallest exact p value was 0.333 and every adjusted q value was 1.000. Density could not be tested longitudinally because only 2011 reported it, and cellphone share was available in only two rounds. These are limits of the published series rather than evidence of zero association.</w:t>
      </w:r>
    </w:p>
    <w:p>
      <w:pPr>
        <w:pStyle w:val="Heading1"/>
      </w:pPr>
      <w:r>
        <w:rPr>
          <w:rFonts w:ascii="Times New Roman" w:hAnsi="Times New Roman"/>
          <w:sz w:val="26"/>
        </w:rPr>
        <w:t>Discussion</w:t>
      </w:r>
    </w:p>
    <w:p>
      <w:pPr>
        <w:pStyle w:val="Heading2"/>
      </w:pPr>
      <w:r>
        <w:rPr>
          <w:rFonts w:ascii="Times New Roman" w:hAnsi="Times New Roman"/>
          <w:sz w:val="24"/>
        </w:rPr>
        <w:t>Principal findings</w:t>
      </w:r>
    </w:p>
    <w:p>
      <w:pPr>
        <w:spacing w:line="480" w:lineRule="auto" w:after="0"/>
        <w:ind w:firstLine="432"/>
      </w:pPr>
      <w:r>
        <w:rPr>
          <w:rFonts w:ascii="Times New Roman" w:hAnsi="Times New Roman"/>
          <w:sz w:val="24"/>
        </w:rPr>
        <w:t>The complete published Pakistani survey series contains a coherent economic signal. In the 2011 cross-sectional analysis, cities reporting greater recent economic deterioration did not have higher mapped female sex worker density. The association was weakly inverse and imprecise. More informative signals appeared in the size, growth, and organisation of the mapped population. Recent deterioration was positively associated with absolute mapped population and kothikhana-based organisation and inversely associated with cellphone-based work. The longitudinal comparisons showed rapid expansion during worsening conditions followed by strong deceleration toward a plateau as conditions improved.</w:t>
      </w:r>
    </w:p>
    <w:p>
      <w:pPr>
        <w:spacing w:line="480" w:lineRule="auto" w:after="0"/>
        <w:ind w:firstLine="432"/>
      </w:pPr>
      <w:r>
        <w:rPr>
          <w:rFonts w:ascii="Times New Roman" w:hAnsi="Times New Roman"/>
          <w:sz w:val="24"/>
        </w:rPr>
        <w:t>These findings refine what an economic signal should look like in a mapped population. Density is a ratio. It can remain stable when both the numerator and the underlying city population grow, and it can be high in a smaller city with a modest absolute market. In 2011, recent deterioration marked larger cities and larger mapped populations, while chronic deprivation marked smaller cities with somewhat higher density. Absolute count, relative concentration, growth, and organisation answered different questions.</w:t>
      </w:r>
    </w:p>
    <w:p>
      <w:pPr>
        <w:spacing w:line="480" w:lineRule="auto" w:after="0"/>
        <w:ind w:firstLine="432"/>
      </w:pPr>
      <w:r>
        <w:rPr>
          <w:rFonts w:ascii="Times New Roman" w:hAnsi="Times New Roman"/>
          <w:sz w:val="24"/>
        </w:rPr>
        <w:t>Earlier Pakistani research established that female sex work varies greatly in scale, concentration, work setting, and client volume between cities. [6,7,25] Our results extend that evidence by showing that a city-level economic relationship can appear in population scale and organisation even when density is weak. The failure of linear, quadratic, and cubic density models to improve prediction makes a missed threshold explanation unlikely. Density alone did not adequately represent the multidimensional relationship.</w:t>
      </w:r>
    </w:p>
    <w:p>
      <w:pPr>
        <w:pStyle w:val="Heading2"/>
      </w:pPr>
      <w:r>
        <w:rPr>
          <w:rFonts w:ascii="Times New Roman" w:hAnsi="Times New Roman"/>
          <w:sz w:val="24"/>
        </w:rPr>
        <w:t>Economic deterioration may expand and reorganise the market</w:t>
      </w:r>
    </w:p>
    <w:p>
      <w:pPr>
        <w:spacing w:line="480" w:lineRule="auto" w:after="0"/>
        <w:ind w:firstLine="432"/>
      </w:pPr>
      <w:r>
        <w:rPr>
          <w:rFonts w:ascii="Times New Roman" w:hAnsi="Times New Roman"/>
          <w:sz w:val="24"/>
        </w:rPr>
        <w:t>The 66.3% common-city increase between 2006-07 and 2011 is compatible with greater economic pressure on entry or return. Lahore evidence directly identifies financial need and survival as dominant reasons for entering and continuing sex work. [10] Studies in Kenya, Malawi, and historical recession settings establish that household shocks and contractions can increase the supply of sexual-economic exchange, particularly in less formal settings. [11-13] These comparisons cannot identify why each additional person was mapped in Pakistan, but they support the direction of the observed population response.</w:t>
      </w:r>
    </w:p>
    <w:p>
      <w:pPr>
        <w:spacing w:line="480" w:lineRule="auto" w:after="0"/>
        <w:ind w:firstLine="432"/>
      </w:pPr>
      <w:r>
        <w:rPr>
          <w:rFonts w:ascii="Times New Roman" w:hAnsi="Times New Roman"/>
          <w:sz w:val="24"/>
        </w:rPr>
        <w:t>The Pakistani shift was also organisational. Home-based share rose sharply while street-based share fell. Economic deterioration therefore did not produce a visibly larger street market. It coincided with movement toward private and intermediary-linked arrangements. Pakistan's repeated-surveillance literature likewise documented growth with changes in cellphone and intermediary-mediated activity. [9]</w:t>
      </w:r>
    </w:p>
    <w:p>
      <w:pPr>
        <w:spacing w:line="480" w:lineRule="auto" w:after="0"/>
        <w:ind w:firstLine="432"/>
      </w:pPr>
      <w:r>
        <w:rPr>
          <w:rFonts w:ascii="Times New Roman" w:hAnsi="Times New Roman"/>
          <w:sz w:val="24"/>
        </w:rPr>
        <w:t>The closest comparison comes from eastern Zimbabwe. During economic collapse, some formal commercial demand weakened, but poverty-driven exchange became more dispersed, private, informal, and sometimes commodity based. [16] That pattern helps explain how a mapped population can expand or redistribute without producing a simple positive density gradient. Population-size estimates are also method-sensitive, especially where work is mobile or hidden. [40] The Pakistani change probably contains both real population dynamics and changes in visibility.</w:t>
      </w:r>
    </w:p>
    <w:p>
      <w:pPr>
        <w:spacing w:line="480" w:lineRule="auto" w:after="0"/>
        <w:ind w:firstLine="432"/>
      </w:pPr>
      <w:r>
        <w:rPr>
          <w:rFonts w:ascii="Times New Roman" w:hAnsi="Times New Roman"/>
          <w:sz w:val="24"/>
        </w:rPr>
        <w:t>The positive 2011 association with kothikhana organisation fits this structural interpretation. Intermediaries may matter more when workers need access to clients, premises, protection, or networks. Yet kothikhana share also rose in the four-city recovery comparison. It is therefore useful as a cross-sectional marker of organisation, not a universal time-series indicator of decline. Likewise, cellphone-based work should not be labelled a simple marker of prosperity. Technology, mobility, work setting, and intermediation represent distinct dimensions. [41,42]</w:t>
      </w:r>
    </w:p>
    <w:p>
      <w:pPr>
        <w:pStyle w:val="Heading2"/>
      </w:pPr>
      <w:r>
        <w:rPr>
          <w:rFonts w:ascii="Times New Roman" w:hAnsi="Times New Roman"/>
          <w:sz w:val="24"/>
        </w:rPr>
        <w:t>Recovery changed growth more clearly than it changed the existing population</w:t>
      </w:r>
    </w:p>
    <w:p>
      <w:pPr>
        <w:spacing w:line="480" w:lineRule="auto" w:after="0"/>
        <w:ind w:firstLine="432"/>
      </w:pPr>
      <w:r>
        <w:rPr>
          <w:rFonts w:ascii="Times New Roman" w:hAnsi="Times New Roman"/>
          <w:sz w:val="24"/>
        </w:rPr>
        <w:t>The post-2011 comparisons directly address what happened under better national conditions. The mapped population did not immediately contract, but its growth rate fell sharply. In population terms, a downturn can increase inflow and enlarge the stock. Recovery can reduce the net inflow without rapidly removing people already in the profession.</w:t>
      </w:r>
    </w:p>
    <w:p>
      <w:pPr>
        <w:spacing w:line="480" w:lineRule="auto" w:after="0"/>
        <w:ind w:firstLine="432"/>
      </w:pPr>
      <w:r>
        <w:rPr>
          <w:rFonts w:ascii="Times New Roman" w:hAnsi="Times New Roman"/>
          <w:sz w:val="24"/>
        </w:rPr>
        <w:t>Comparative evidence supports persistence and re-entry. Studies across several countries describe repeated attempts to leave, return after unemployment or financial crisis, and long durations in sex work. [18-23] Pakistan's Lahore evidence is consistent with this pattern because economic survival was a dominant reason for continuation and the median occupational duration was seven years. [10]</w:t>
      </w:r>
    </w:p>
    <w:p>
      <w:pPr>
        <w:spacing w:line="480" w:lineRule="auto" w:after="0"/>
        <w:ind w:firstLine="432"/>
      </w:pPr>
      <w:r>
        <w:rPr>
          <w:rFonts w:ascii="Times New Roman" w:hAnsi="Times New Roman"/>
          <w:sz w:val="24"/>
        </w:rPr>
        <w:t>Evidence on outside options supports the other side of the interpretation. Economic expansion in Zambian mining cities was associated with less transactional sex, while the Cambodian field experiment found that improved outside-work incentives reduced sex work when they produced alternative earnings. [14,15] The Cambodian result remains working-paper evidence and measures individual behaviour rather than a mapped stock, but it identifies a plausible pathway: aggregate recovery matters when it reaches people as a workable livelihood alternative.</w:t>
      </w:r>
    </w:p>
    <w:p>
      <w:pPr>
        <w:spacing w:line="480" w:lineRule="auto" w:after="0"/>
        <w:ind w:firstLine="432"/>
      </w:pPr>
      <w:r>
        <w:rPr>
          <w:rFonts w:ascii="Times New Roman" w:hAnsi="Times New Roman"/>
          <w:sz w:val="24"/>
        </w:rPr>
        <w:t>Together, the Pakistani data and comparative literature make lower net entry combined with difficult exit the most coherent interpretation of the plateau. The mechanism remains unobserved because the surveys counted population stocks rather than individual entries, exits, and returns. It is therefore a supported interpretation, not a measured causal decomposition.</w:t>
      </w:r>
    </w:p>
    <w:p>
      <w:pPr>
        <w:pStyle w:val="Heading2"/>
      </w:pPr>
      <w:r>
        <w:rPr>
          <w:rFonts w:ascii="Times New Roman" w:hAnsi="Times New Roman"/>
          <w:sz w:val="24"/>
        </w:rPr>
        <w:t>Supply and demand can offset one another</w:t>
      </w:r>
    </w:p>
    <w:p>
      <w:pPr>
        <w:spacing w:line="480" w:lineRule="auto" w:after="0"/>
        <w:ind w:firstLine="432"/>
      </w:pPr>
      <w:r>
        <w:rPr>
          <w:rFonts w:ascii="Times New Roman" w:hAnsi="Times New Roman"/>
          <w:sz w:val="24"/>
        </w:rPr>
        <w:t>Economic change affects clients as well as workers. During a downturn, more women may need income while clients have less to spend. During recovery, entry pressure may ease while client demand returns. Zimbabwe provides direct evidence: layoffs and loss of migrant wages reduced demand and client volume, followed by renewed activity during recovery. [17] Research with independent indoor workers has similarly described increased financial pressure occurring alongside greater competition and weaker client demand. [43]</w:t>
      </w:r>
    </w:p>
    <w:p>
      <w:pPr>
        <w:spacing w:line="480" w:lineRule="auto" w:after="0"/>
        <w:ind w:firstLine="432"/>
      </w:pPr>
      <w:r>
        <w:rPr>
          <w:rFonts w:ascii="Times New Roman" w:hAnsi="Times New Roman"/>
          <w:sz w:val="24"/>
        </w:rPr>
        <w:t>This two-sided mechanism explains why individual city changes did not follow one stable rank order. The population seen in each survey reflects entry, exit, re-entry, mobility, demand, earnings, organisation, and survey visibility. Worse conditions can increase supply pressure and alter work setting without producing higher density everywhere. Better conditions can reduce economically driven entry while improving client spending, leaving the existing mapped total stable or temporarily higher.</w:t>
      </w:r>
    </w:p>
    <w:p>
      <w:pPr>
        <w:spacing w:line="480" w:lineRule="auto" w:after="0"/>
        <w:ind w:firstLine="432"/>
      </w:pPr>
      <w:r>
        <w:rPr>
          <w:rFonts w:ascii="Times New Roman" w:hAnsi="Times New Roman"/>
          <w:sz w:val="24"/>
        </w:rPr>
        <w:t>The central result should therefore be read as a period pattern, not a universal rule for every city. The deterioration period combined rapid mapped-population growth with organisational change. Recovery combined a much slower rate of net growth with persistence of the accumulated population.</w:t>
      </w:r>
    </w:p>
    <w:p>
      <w:pPr>
        <w:pStyle w:val="Heading2"/>
      </w:pPr>
      <w:r>
        <w:rPr>
          <w:rFonts w:ascii="Times New Roman" w:hAnsi="Times New Roman"/>
          <w:sz w:val="24"/>
        </w:rPr>
        <w:t>Acute deterioration and chronic deprivation operate differently</w:t>
      </w:r>
    </w:p>
    <w:p>
      <w:pPr>
        <w:spacing w:line="480" w:lineRule="auto" w:after="0"/>
        <w:ind w:firstLine="432"/>
      </w:pPr>
      <w:r>
        <w:rPr>
          <w:rFonts w:ascii="Times New Roman" w:hAnsi="Times New Roman"/>
          <w:sz w:val="24"/>
        </w:rPr>
        <w:t>Recent deterioration and chronic deprivation were inversely related in the 2011 cities. An acute shock measures loss relative to a city's prior position and can affect large labour and consumer markets that are not the most deprived in level terms. Chronic deprivation captures entrenched poverty, weak services, and limited human capital. These conditions may sustain a higher relative concentration in a smaller population without producing the largest absolute market.</w:t>
      </w:r>
    </w:p>
    <w:p>
      <w:pPr>
        <w:spacing w:line="480" w:lineRule="auto" w:after="0"/>
        <w:ind w:firstLine="432"/>
      </w:pPr>
      <w:r>
        <w:rPr>
          <w:rFonts w:ascii="Times New Roman" w:hAnsi="Times New Roman"/>
          <w:sz w:val="24"/>
        </w:rPr>
        <w:t>This distinction is consistent with structural accounts of HIV vulnerability, which locate economic conditions alongside mobility, violence, law, stigma, policing, and service access rather than treating poverty as one uniform exposure. [42] It also cautions against equating transactional sex studies with mapped female sex worker populations. Transactional sex is broader and may include occasional exchanges outside surveillance definitions. [44,45] Such studies support mechanisms but cannot substitute for the mapped population denominator used here.</w:t>
      </w:r>
    </w:p>
    <w:p>
      <w:pPr>
        <w:pStyle w:val="Heading2"/>
      </w:pPr>
      <w:r>
        <w:rPr>
          <w:rFonts w:ascii="Times New Roman" w:hAnsi="Times New Roman"/>
          <w:sz w:val="24"/>
        </w:rPr>
        <w:t>Public-health implications</w:t>
      </w:r>
    </w:p>
    <w:p>
      <w:pPr>
        <w:spacing w:line="480" w:lineRule="auto" w:after="0"/>
        <w:ind w:firstLine="432"/>
      </w:pPr>
      <w:r>
        <w:rPr>
          <w:rFonts w:ascii="Times New Roman" w:hAnsi="Times New Roman"/>
          <w:sz w:val="24"/>
        </w:rPr>
        <w:t>Surveillance should monitor more than density. Growth in common-city mapped totals, home-versus-street balance, intermediary organisation, cellphone use, mobility, and absolute programme burden can reveal changes that a stable per-capita rate conceals. This is especially important when economic pressure shifts work into homes or networks that fixed-site outreach may miss.</w:t>
      </w:r>
    </w:p>
    <w:p>
      <w:pPr>
        <w:spacing w:line="480" w:lineRule="auto" w:after="0"/>
        <w:ind w:firstLine="432"/>
      </w:pPr>
      <w:r>
        <w:rPr>
          <w:rFonts w:ascii="Times New Roman" w:hAnsi="Times New Roman"/>
          <w:sz w:val="24"/>
        </w:rPr>
        <w:t>Economic shocks should also be treated as possible changes in prevention access. Movement away from visible street locations can weaken contact with testing, condoms, pre-exposure prophylaxis, violence support, and treatment referral. Outreach needs flexible peer, phone, home, and network strategies that preserve confidentiality and do not make intermediaries gatekeepers of care. Pakistan's current low prevention and treatment coverage makes that flexibility particularly important. [2,3]</w:t>
      </w:r>
    </w:p>
    <w:p>
      <w:pPr>
        <w:spacing w:line="480" w:lineRule="auto" w:after="0"/>
        <w:ind w:firstLine="432"/>
      </w:pPr>
      <w:r>
        <w:rPr>
          <w:rFonts w:ascii="Times New Roman" w:hAnsi="Times New Roman"/>
          <w:sz w:val="24"/>
        </w:rPr>
        <w:t>Recovery cannot be expected to reverse the accumulated population without credible exit options. Measures that reduce entry pressure, such as income protection, employment access, food and housing security, should be paired with voluntary support for people who want to leave. Comparative evidence indicates that employment, safety, stable housing, and continuing income help sustain exit, while temporary improvement without alternatives can be followed by return. Services must remain available whether a person continues, pauses, leaves, or re-enters sex work.</w:t>
      </w:r>
    </w:p>
    <w:p>
      <w:pPr>
        <w:pStyle w:val="Heading2"/>
      </w:pPr>
      <w:r>
        <w:rPr>
          <w:rFonts w:ascii="Times New Roman" w:hAnsi="Times New Roman"/>
          <w:sz w:val="24"/>
        </w:rPr>
        <w:t>Strengths and limitations</w:t>
      </w:r>
    </w:p>
    <w:p>
      <w:pPr>
        <w:spacing w:line="480" w:lineRule="auto" w:after="0"/>
        <w:ind w:firstLine="432"/>
      </w:pPr>
      <w:r>
        <w:rPr>
          <w:rFonts w:ascii="Times New Roman" w:hAnsi="Times New Roman"/>
          <w:sz w:val="24"/>
        </w:rPr>
        <w:t>This study assembles the complete published Pakistani surveillance series available for this question. It preserves the grain of each source, uses common-city panels, separates primary from exploratory inference, and evaluates population scale, change, and organisation rather than relying on one favourable marker. National indicators remain at the round level, avoiding false precision from assigning the same macroeconomic value to multiple cities. The analysis includes permutation and exact inference, bootstrap intervals, robust regressions, influence diagnostics, leave-one-out tests, geographic restrictions, multiplicity adjustment, nonlinear prediction checks, and executable validation.</w:t>
      </w:r>
    </w:p>
    <w:p>
      <w:pPr>
        <w:spacing w:line="480" w:lineRule="auto" w:after="0"/>
        <w:ind w:firstLine="432"/>
      </w:pPr>
      <w:r>
        <w:rPr>
          <w:rFonts w:ascii="Times New Roman" w:hAnsi="Times New Roman"/>
          <w:sz w:val="24"/>
        </w:rPr>
        <w:t>Several limitations define the result. Mapping estimates are programme estimates of a hidden population, not censuses. Field intensity, network reach, category definitions, mobility, and visibility may change measured totals. [24,40] Improved mapping may explain part of the growth reported between Pakistani rounds. [9] Surveillance cities were selected for programme priorities rather than sampled from all Pakistani cities. City outcomes were paired with district urban strata, and the temporal match was not exact for 2014. Only one round published comparable density, three supplied typology, and the 2014 sample contained four Punjab cities. Round V contained a printed-total discrepancy.</w:t>
      </w:r>
    </w:p>
    <w:p>
      <w:pPr>
        <w:spacing w:line="480" w:lineRule="auto" w:after="0"/>
        <w:ind w:firstLine="432"/>
      </w:pPr>
      <w:r>
        <w:rPr>
          <w:rFonts w:ascii="Times New Roman" w:hAnsi="Times New Roman"/>
          <w:sz w:val="24"/>
        </w:rPr>
        <w:t>The primary density interval was wide. Only one cross-sectional association survived adjustment across the 54-cell atlas, and none of the 32 macro-marker correlations survived exact small-sample inference. City-level change correlations varied in direction. These results exclude a simple stable city-ranking relationship but do not erase the observed common-panel differences in growth or the large shifts in organisation. The survey rounds constitute the published Pakistani evidence base for this question, but the coherence of that complete series should not be presented as individual-level causation.</w:t>
      </w:r>
    </w:p>
    <w:p>
      <w:pPr>
        <w:spacing w:line="480" w:lineRule="auto" w:after="0"/>
        <w:ind w:firstLine="432"/>
      </w:pPr>
      <w:r>
        <w:rPr>
          <w:rFonts w:ascii="Times New Roman" w:hAnsi="Times New Roman"/>
          <w:sz w:val="24"/>
        </w:rPr>
        <w:t>Finally, no source measured client spending, price, earnings, entry, exit, or re-entry in a comparable panel. Supply and demand could not be separated, and lower new entry during recovery could not be counted directly. A future longitudinal study should combine stable population denominators and mapping-effort measures with individual transitions, employment, earnings, prices, client volume, and mobility.</w:t>
      </w:r>
    </w:p>
    <w:p>
      <w:pPr>
        <w:pStyle w:val="Heading1"/>
      </w:pPr>
      <w:r>
        <w:rPr>
          <w:rFonts w:ascii="Times New Roman" w:hAnsi="Times New Roman"/>
          <w:sz w:val="26"/>
        </w:rPr>
        <w:t>Conclusion</w:t>
      </w:r>
    </w:p>
    <w:p>
      <w:pPr>
        <w:spacing w:line="480" w:lineRule="auto" w:after="0"/>
        <w:ind w:firstLine="432"/>
      </w:pPr>
      <w:r>
        <w:rPr>
          <w:rFonts w:ascii="Times New Roman" w:hAnsi="Times New Roman"/>
          <w:sz w:val="24"/>
        </w:rPr>
        <w:t>Pakistan's complete published female sex work surveillance series shows a meaningful relationship with economic conditions. Worsening conditions coincided with rapid growth of the mapped population and movement toward home-based and intermediary-linked organisation. Improving conditions coincided with a sharp decline in population growth toward a plateau rather than an immediate reduction in the accumulated population.</w:t>
      </w:r>
    </w:p>
    <w:p>
      <w:pPr>
        <w:spacing w:line="480" w:lineRule="auto" w:after="0"/>
        <w:ind w:firstLine="432"/>
      </w:pPr>
      <w:r>
        <w:rPr>
          <w:rFonts w:ascii="Times New Roman" w:hAnsi="Times New Roman"/>
          <w:sz w:val="24"/>
        </w:rPr>
        <w:t>The result changes how the signal should be understood. Female sex worker density was weak and should not be used alone as an economic sentinel. Population growth, absolute programme burden, and work organisation were more informative. Comparative evidence explains how economic pressure, client demand, difficult exit, and changing visibility can produce this pattern. These findings justify a prospective longitudinal study designed to measure entry, exit, demand, and mapping intensity directly.</w:t>
      </w:r>
    </w:p>
    <w:p>
      <w:pPr>
        <w:pStyle w:val="Heading1"/>
      </w:pPr>
      <w:r>
        <w:rPr>
          <w:rFonts w:ascii="Times New Roman" w:hAnsi="Times New Roman"/>
          <w:sz w:val="26"/>
        </w:rPr>
        <w:t>Declarations</w:t>
      </w:r>
    </w:p>
    <w:p>
      <w:pPr>
        <w:pStyle w:val="Heading2"/>
      </w:pPr>
      <w:r>
        <w:rPr>
          <w:rFonts w:ascii="Times New Roman" w:hAnsi="Times New Roman"/>
          <w:sz w:val="24"/>
        </w:rPr>
        <w:t>Ethics approval and consent to participate</w:t>
      </w:r>
    </w:p>
    <w:p>
      <w:pPr>
        <w:spacing w:line="480" w:lineRule="auto" w:after="0"/>
        <w:ind w:firstLine="432"/>
      </w:pPr>
      <w:r>
        <w:rPr>
          <w:rFonts w:ascii="Times New Roman" w:hAnsi="Times New Roman"/>
          <w:sz w:val="24"/>
        </w:rPr>
        <w:t>This study analysed only publicly available aggregate reports and de-identified secondary data and involved no direct participation, recruitment, intervention, or access to identifiable records. Ethical approval and individual informed consent were not required.</w:t>
      </w:r>
    </w:p>
    <w:p>
      <w:pPr>
        <w:pStyle w:val="Heading2"/>
      </w:pPr>
      <w:r>
        <w:rPr>
          <w:rFonts w:ascii="Times New Roman" w:hAnsi="Times New Roman"/>
          <w:sz w:val="24"/>
        </w:rPr>
        <w:t>Consent for publication</w:t>
      </w:r>
    </w:p>
    <w:p>
      <w:pPr>
        <w:spacing w:line="480" w:lineRule="auto" w:after="0"/>
        <w:ind w:firstLine="432"/>
      </w:pPr>
      <w:r>
        <w:rPr>
          <w:rFonts w:ascii="Times New Roman" w:hAnsi="Times New Roman"/>
          <w:sz w:val="24"/>
        </w:rPr>
        <w:t>Not applicable.</w:t>
      </w:r>
    </w:p>
    <w:p>
      <w:pPr>
        <w:pStyle w:val="Heading2"/>
      </w:pPr>
      <w:r>
        <w:rPr>
          <w:rFonts w:ascii="Times New Roman" w:hAnsi="Times New Roman"/>
          <w:sz w:val="24"/>
        </w:rPr>
        <w:t>Availability of data and materials</w:t>
      </w:r>
    </w:p>
    <w:p>
      <w:pPr>
        <w:spacing w:line="480" w:lineRule="auto" w:after="0"/>
        <w:ind w:firstLine="432"/>
      </w:pPr>
      <w:r>
        <w:rPr>
          <w:rFonts w:ascii="Times New Roman" w:hAnsi="Times New Roman"/>
          <w:sz w:val="24"/>
        </w:rPr>
        <w:t>All derived analytical data, code, source manifests, statistical outputs, and validation reports are provided with this article in the accompanying supplementary and reproducibility files. The underlying surveillance and socioeconomic reports remain available from their original publishers at the URLs listed in the source manifest.</w:t>
      </w:r>
    </w:p>
    <w:p>
      <w:pPr>
        <w:pStyle w:val="Heading2"/>
      </w:pPr>
      <w:r>
        <w:rPr>
          <w:rFonts w:ascii="Times New Roman" w:hAnsi="Times New Roman"/>
          <w:sz w:val="24"/>
        </w:rPr>
        <w:t>Competing interests</w:t>
      </w:r>
    </w:p>
    <w:p>
      <w:pPr>
        <w:spacing w:line="480" w:lineRule="auto" w:after="0"/>
        <w:ind w:firstLine="432"/>
      </w:pPr>
      <w:r>
        <w:rPr>
          <w:rFonts w:ascii="Times New Roman" w:hAnsi="Times New Roman"/>
          <w:sz w:val="24"/>
        </w:rPr>
        <w:t>The authors declare no competing interests.</w:t>
      </w:r>
    </w:p>
    <w:p>
      <w:pPr>
        <w:pStyle w:val="Heading2"/>
      </w:pPr>
      <w:r>
        <w:rPr>
          <w:rFonts w:ascii="Times New Roman" w:hAnsi="Times New Roman"/>
          <w:sz w:val="24"/>
        </w:rPr>
        <w:t>Funding</w:t>
      </w:r>
    </w:p>
    <w:p>
      <w:pPr>
        <w:spacing w:line="480" w:lineRule="auto" w:after="0"/>
        <w:ind w:firstLine="432"/>
      </w:pPr>
      <w:r>
        <w:rPr>
          <w:rFonts w:ascii="Times New Roman" w:hAnsi="Times New Roman"/>
          <w:sz w:val="24"/>
        </w:rPr>
        <w:t>This research received no specific grant from any funding agency in the public, commercial, or not-for-profit sectors.</w:t>
      </w:r>
    </w:p>
    <w:p>
      <w:pPr>
        <w:pStyle w:val="Heading2"/>
      </w:pPr>
      <w:r>
        <w:rPr>
          <w:rFonts w:ascii="Times New Roman" w:hAnsi="Times New Roman"/>
          <w:sz w:val="24"/>
        </w:rPr>
        <w:t>Author contributions</w:t>
      </w:r>
    </w:p>
    <w:p>
      <w:pPr>
        <w:spacing w:line="480" w:lineRule="auto" w:after="0"/>
        <w:ind w:firstLine="432"/>
      </w:pPr>
      <w:r>
        <w:rPr>
          <w:rFonts w:ascii="Times New Roman" w:hAnsi="Times New Roman"/>
          <w:sz w:val="24"/>
        </w:rPr>
        <w:t>QR conceived the study, developed the methodology, directed the analysis, interpreted the findings, and drafted the manuscript. AK contributed to data review, interpretation, and critical revision of the manuscript. MQ contributed to the evidence synthesis, public-health interpretation, and critical revision of the manuscript. All authors read and approved the final manuscript.</w:t>
      </w:r>
    </w:p>
    <w:p>
      <w:pPr>
        <w:pStyle w:val="Heading2"/>
      </w:pPr>
      <w:r>
        <w:rPr>
          <w:rFonts w:ascii="Times New Roman" w:hAnsi="Times New Roman"/>
          <w:sz w:val="24"/>
        </w:rPr>
        <w:t>Acknowledgements</w:t>
      </w:r>
    </w:p>
    <w:p>
      <w:pPr>
        <w:spacing w:line="480" w:lineRule="auto" w:after="0"/>
        <w:ind w:firstLine="432"/>
      </w:pPr>
      <w:r>
        <w:rPr>
          <w:rFonts w:ascii="Times New Roman" w:hAnsi="Times New Roman"/>
          <w:sz w:val="24"/>
        </w:rPr>
        <w:t>None.</w:t>
      </w:r>
    </w:p>
    <w:p>
      <w:pPr>
        <w:pStyle w:val="Heading2"/>
      </w:pPr>
      <w:r>
        <w:rPr>
          <w:rFonts w:ascii="Times New Roman" w:hAnsi="Times New Roman"/>
          <w:sz w:val="24"/>
        </w:rPr>
        <w:t>Generative artificial intelligence disclosure</w:t>
      </w:r>
    </w:p>
    <w:p>
      <w:pPr>
        <w:spacing w:line="480" w:lineRule="auto" w:after="0"/>
        <w:ind w:firstLine="432"/>
      </w:pPr>
      <w:r>
        <w:rPr>
          <w:rFonts w:ascii="Times New Roman" w:hAnsi="Times New Roman"/>
          <w:sz w:val="24"/>
        </w:rPr>
        <w:t>OpenAI Codex was used to assist with reproducible code execution, evidence organisation, statistical verification, reference formatting, and language drafting. The authors reviewed and verified the analytical outputs, cited sources, interpretations, and final text and accept full responsibility for the submitted manuscript.</w:t>
      </w:r>
    </w:p>
    <w:p>
      <w:pPr>
        <w:pStyle w:val="Heading1"/>
      </w:pPr>
      <w:r>
        <w:rPr>
          <w:rFonts w:ascii="Times New Roman" w:hAnsi="Times New Roman"/>
          <w:sz w:val="26"/>
        </w:rPr>
        <w:t>References</w:t>
      </w:r>
    </w:p>
    <w:p>
      <w:pPr>
        <w:spacing w:line="240" w:lineRule="auto" w:after="100"/>
        <w:ind w:left="360" w:hanging="360"/>
      </w:pPr>
      <w:r>
        <w:rPr>
          <w:rFonts w:ascii="Times New Roman" w:hAnsi="Times New Roman"/>
          <w:sz w:val="20"/>
        </w:rPr>
        <w:t>1. World Health Organization Regional Office for the Eastern Mediterranean. HIV infections rise in Pakistan; WHO and UNAIDS call to action [Internet]. Cairo: WHO EMRO; 2025 Dec 1 [cited 2026 Oct 3]. Available from: https://www.emro.who.int/pak/pakistan-news/hiv-infections-rise-in-pakistan-who-and-unaids-call-to-action.html</w:t>
      </w:r>
    </w:p>
    <w:p>
      <w:pPr>
        <w:spacing w:line="240" w:lineRule="auto" w:after="100"/>
        <w:ind w:left="360" w:hanging="360"/>
      </w:pPr>
      <w:r>
        <w:rPr>
          <w:rFonts w:ascii="Times New Roman" w:hAnsi="Times New Roman"/>
          <w:sz w:val="20"/>
        </w:rPr>
        <w:t>2. Government of Pakistan, Ministry of National Health Services, Regulations and Coordination. Pakistan AIDS Strategy IV 2021-2025 [Internet]. Islamabad: Government of Pakistan; 2021 [cited 2026 Oct 3]. Available from: https://extranet.who.int/cpcd/sites/default/files/public_file_repository/PAK_Pakistan_National-Strategic-Plan-HIV_2021-2025.pdf</w:t>
      </w:r>
    </w:p>
    <w:p>
      <w:pPr>
        <w:spacing w:line="240" w:lineRule="auto" w:after="100"/>
        <w:ind w:left="360" w:hanging="360"/>
      </w:pPr>
      <w:r>
        <w:rPr>
          <w:rFonts w:ascii="Times New Roman" w:hAnsi="Times New Roman"/>
          <w:sz w:val="20"/>
        </w:rPr>
        <w:t>3. Government of Pakistan, Common Management Unit for AIDS, TB and Malaria. Pakistan National AIDS Spending Assessment report 2021-2023 [Internet]. Islamabad: Ministry of National Health Services, Regulations and Coordination; 2024 [cited 2026 Oct 3]. Available from: https://www.unaids.org/sites/default/files/NASAreport_pakistan_2020-2022_en.pdf</w:t>
      </w:r>
    </w:p>
    <w:p>
      <w:pPr>
        <w:spacing w:line="240" w:lineRule="auto" w:after="100"/>
        <w:ind w:left="360" w:hanging="360"/>
      </w:pPr>
      <w:r>
        <w:rPr>
          <w:rFonts w:ascii="Times New Roman" w:hAnsi="Times New Roman"/>
          <w:sz w:val="20"/>
        </w:rPr>
        <w:t>4. National AIDS Control Programme. Integrated Biological and Behavioral Surveillance in Pakistan: Round 5 [Internet]. Islamabad: National AIDS Control Programme; 2017 [cited 2026 Oct 3]. Available from: https://www.nacp.gov.pk/repository/howwework/pdf/IBBS%20Report%20Round%205.pdf</w:t>
      </w:r>
    </w:p>
    <w:p>
      <w:pPr>
        <w:spacing w:line="240" w:lineRule="auto" w:after="100"/>
        <w:ind w:left="360" w:hanging="360"/>
      </w:pPr>
      <w:r>
        <w:rPr>
          <w:rFonts w:ascii="Times New Roman" w:hAnsi="Times New Roman"/>
          <w:sz w:val="20"/>
        </w:rPr>
        <w:t>5. Chikoko T, Fatima H, Saeed N. Expanding community-delivered HIV pre-exposure prophylaxis models in Pakistan. East Mediterr Health J. 2025;31(8):484-5.</w:t>
      </w:r>
    </w:p>
    <w:p>
      <w:pPr>
        <w:spacing w:line="240" w:lineRule="auto" w:after="100"/>
        <w:ind w:left="360" w:hanging="360"/>
      </w:pPr>
      <w:r>
        <w:rPr>
          <w:rFonts w:ascii="Times New Roman" w:hAnsi="Times New Roman"/>
          <w:sz w:val="20"/>
        </w:rPr>
        <w:t>6. Emmanuel F, Thompson LH, Athar U, Salim M, Sonia A, Akhtar N, et al. The organisation, operational dynamics and structure of female sex work in Pakistan. Sex Transm Infect. 2013;89 Suppl 2:ii29-33. doi:10.1136/sextrans-2013-051062.</w:t>
      </w:r>
    </w:p>
    <w:p>
      <w:pPr>
        <w:spacing w:line="240" w:lineRule="auto" w:after="100"/>
        <w:ind w:left="360" w:hanging="360"/>
      </w:pPr>
      <w:r>
        <w:rPr>
          <w:rFonts w:ascii="Times New Roman" w:hAnsi="Times New Roman"/>
          <w:sz w:val="20"/>
        </w:rPr>
        <w:t>7. Blanchard JF, Khan A, Bokhari A. Variations in the population size, distribution and client volume among female sex workers in seven cities of Pakistan. Sex Transm Infect. 2008;84 Suppl 2:ii24-27. doi:10.1136/sti.2008.033167.</w:t>
      </w:r>
    </w:p>
    <w:p>
      <w:pPr>
        <w:spacing w:line="240" w:lineRule="auto" w:after="100"/>
        <w:ind w:left="360" w:hanging="360"/>
      </w:pPr>
      <w:r>
        <w:rPr>
          <w:rFonts w:ascii="Times New Roman" w:hAnsi="Times New Roman"/>
          <w:sz w:val="20"/>
        </w:rPr>
        <w:t>8. Emmanuel F, Thompson LH, Salim M, Akhtar N, Reza TE, Hafeez H, et al. The size and distribution of key populations at greater risk of HIV in Pakistan: implications for resource allocation for scaling up HIV prevention programmes. Sex Transm Infect. 2013;89 Suppl 2:ii11-17. doi:10.1136/sextrans-2013-051017.</w:t>
      </w:r>
    </w:p>
    <w:p>
      <w:pPr>
        <w:spacing w:line="240" w:lineRule="auto" w:after="100"/>
        <w:ind w:left="360" w:hanging="360"/>
      </w:pPr>
      <w:r>
        <w:rPr>
          <w:rFonts w:ascii="Times New Roman" w:hAnsi="Times New Roman"/>
          <w:sz w:val="20"/>
        </w:rPr>
        <w:t>9. Mishra S, Thompson LH, Sonia A, Khalid N, Emmanuel F, Blanchard JF. Sexual behaviour, structural vulnerabilities and HIV prevalence among female sex workers in Pakistan. Sex Transm Infect. 2013;89 Suppl 2:ii34-42. doi:10.1136/sextrans-2012-050776.</w:t>
      </w:r>
    </w:p>
    <w:p>
      <w:pPr>
        <w:spacing w:line="240" w:lineRule="auto" w:after="100"/>
        <w:ind w:left="360" w:hanging="360"/>
      </w:pPr>
      <w:r>
        <w:rPr>
          <w:rFonts w:ascii="Times New Roman" w:hAnsi="Times New Roman"/>
          <w:sz w:val="20"/>
        </w:rPr>
        <w:t>10. Khan MS, Unemo M, Zaman S, Lundborg CS. HIV, STI prevalence and risk behaviours among women selling sex in Lahore, Pakistan. BMC Infect Dis. 2011;11:119. doi:10.1186/1471-2334-11-119.</w:t>
      </w:r>
    </w:p>
    <w:p>
      <w:pPr>
        <w:spacing w:line="240" w:lineRule="auto" w:after="100"/>
        <w:ind w:left="360" w:hanging="360"/>
      </w:pPr>
      <w:r>
        <w:rPr>
          <w:rFonts w:ascii="Times New Roman" w:hAnsi="Times New Roman"/>
          <w:sz w:val="20"/>
        </w:rPr>
        <w:t>11. Robinson J, Yeh E. Transactional sex as a response to risk in western Kenya. Am Econ J Appl Econ. 2011;3(1):35-64. doi:10.1257/app.3.1.35.</w:t>
      </w:r>
    </w:p>
    <w:p>
      <w:pPr>
        <w:spacing w:line="240" w:lineRule="auto" w:after="100"/>
        <w:ind w:left="360" w:hanging="360"/>
      </w:pPr>
      <w:r>
        <w:rPr>
          <w:rFonts w:ascii="Times New Roman" w:hAnsi="Times New Roman"/>
          <w:sz w:val="20"/>
        </w:rPr>
        <w:t>12. Treibich C, Bell E, Lepine A, Blanc E. From a drought to HIV: an analysis of the effect of droughts on transactional sex and sexually transmitted infections in Malawi. SSM Popul Health. 2022;19:101221. doi:10.1016/j.ssmph.2022.101221.</w:t>
      </w:r>
    </w:p>
    <w:p>
      <w:pPr>
        <w:spacing w:line="240" w:lineRule="auto" w:after="100"/>
        <w:ind w:left="360" w:hanging="360"/>
      </w:pPr>
      <w:r>
        <w:rPr>
          <w:rFonts w:ascii="Times New Roman" w:hAnsi="Times New Roman"/>
          <w:sz w:val="20"/>
        </w:rPr>
        <w:t>13. Goehring G. Fallen women: recessions and the supply of sex work. J Public Econ. 2025;247:105405. doi:10.1016/j.jpubeco.2025.105405.</w:t>
      </w:r>
    </w:p>
    <w:p>
      <w:pPr>
        <w:spacing w:line="240" w:lineRule="auto" w:after="100"/>
        <w:ind w:left="360" w:hanging="360"/>
      </w:pPr>
      <w:r>
        <w:rPr>
          <w:rFonts w:ascii="Times New Roman" w:hAnsi="Times New Roman"/>
          <w:sz w:val="20"/>
        </w:rPr>
        <w:t>14. Wilson N. Economic booms and risky sexual behavior: evidence from Zambian copper mining cities. J Health Econ. 2012;31(6):797-812. doi:10.1016/j.jhealeco.2012.07.007.</w:t>
      </w:r>
    </w:p>
    <w:p>
      <w:pPr>
        <w:spacing w:line="240" w:lineRule="auto" w:after="100"/>
        <w:ind w:left="360" w:hanging="360"/>
      </w:pPr>
      <w:r>
        <w:rPr>
          <w:rFonts w:ascii="Times New Roman" w:hAnsi="Times New Roman"/>
          <w:sz w:val="20"/>
        </w:rPr>
        <w:t>15. Mahadeshwar R, Zhou A. Outside options and the supply of sex work [working paper on the Internet]. 2024 Nov 14 [cited 2026 Oct 3]. Available from: https://www.isid.ac.in/~acegd/acegd2024/papers/RuchiMahadeshwar.pdf</w:t>
      </w:r>
    </w:p>
    <w:p>
      <w:pPr>
        <w:spacing w:line="240" w:lineRule="auto" w:after="100"/>
        <w:ind w:left="360" w:hanging="360"/>
      </w:pPr>
      <w:r>
        <w:rPr>
          <w:rFonts w:ascii="Times New Roman" w:hAnsi="Times New Roman"/>
          <w:sz w:val="20"/>
        </w:rPr>
        <w:t>16. Elmes J, Skovdal M, Nhongo K, Ward H, Campbell C, Hallett TB, et al. A reconfiguration of the sex trade: how social and structural changes in eastern Zimbabwe left women involved in sex work and transactional sex more vulnerable. PLoS One. 2017;12(2):e0171916. doi:10.1371/journal.pone.0171916.</w:t>
      </w:r>
    </w:p>
    <w:p>
      <w:pPr>
        <w:spacing w:line="240" w:lineRule="auto" w:after="100"/>
        <w:ind w:left="360" w:hanging="360"/>
      </w:pPr>
      <w:r>
        <w:rPr>
          <w:rFonts w:ascii="Times New Roman" w:hAnsi="Times New Roman"/>
          <w:sz w:val="20"/>
        </w:rPr>
        <w:t>17. Steen R, Hontelez JAC, Mugurungi O, Mpofu A, Matthijsse SM, de Vlas SJ, et al. Economy, migrant labour and sex work: interplay of HIV epidemic drivers in Zimbabwe over three decades. AIDS. 2019;33(1):123-31. doi:10.1097/QAD.0000000000002066.</w:t>
      </w:r>
    </w:p>
    <w:p>
      <w:pPr>
        <w:spacing w:line="240" w:lineRule="auto" w:after="100"/>
        <w:ind w:left="360" w:hanging="360"/>
      </w:pPr>
      <w:r>
        <w:rPr>
          <w:rFonts w:ascii="Times New Roman" w:hAnsi="Times New Roman"/>
          <w:sz w:val="20"/>
        </w:rPr>
        <w:t>18. Manopaiboon C, Bunnell RE, Kilmarx PH, Chaikummao S, Limpakarnjanarat K, Supawitkul S, et al. Leaving sex work: barriers, facilitating factors and consequences for female sex workers in northern Thailand. AIDS Care. 2003;15(1):39-52. doi:10.1080/012021000039743.</w:t>
      </w:r>
    </w:p>
    <w:p>
      <w:pPr>
        <w:spacing w:line="240" w:lineRule="auto" w:after="100"/>
        <w:ind w:left="360" w:hanging="360"/>
      </w:pPr>
      <w:r>
        <w:rPr>
          <w:rFonts w:ascii="Times New Roman" w:hAnsi="Times New Roman"/>
          <w:sz w:val="20"/>
        </w:rPr>
        <w:t>19. Ward H, Day S. What happens to women who sell sex? Report of a unique occupational cohort. Sex Transm Infect. 2006;82(5):413-7. doi:10.1136/sti.2006.020982.</w:t>
      </w:r>
    </w:p>
    <w:p>
      <w:pPr>
        <w:spacing w:line="240" w:lineRule="auto" w:after="100"/>
        <w:ind w:left="360" w:hanging="360"/>
      </w:pPr>
      <w:r>
        <w:rPr>
          <w:rFonts w:ascii="Times New Roman" w:hAnsi="Times New Roman"/>
          <w:sz w:val="20"/>
        </w:rPr>
        <w:t>20. Ingabire MC, Mitchell K, Veldhuijzen N, Umulisa MM, Nyinawabega J, Kestelyn E, et al. Joining and leaving sex work: experiences of women in Kigali, Rwanda. Cult Health Sex. 2012;14(9):1037-47. doi:10.1080/13691058.2012.713120.</w:t>
      </w:r>
    </w:p>
    <w:p>
      <w:pPr>
        <w:spacing w:line="240" w:lineRule="auto" w:after="100"/>
        <w:ind w:left="360" w:hanging="360"/>
      </w:pPr>
      <w:r>
        <w:rPr>
          <w:rFonts w:ascii="Times New Roman" w:hAnsi="Times New Roman"/>
          <w:sz w:val="20"/>
        </w:rPr>
        <w:t>21. Learmonth D, Hakala S, Keller M. I can't carry on like this: barriers to exiting the street-based sex trade in South Africa. Health Psychol Behav Med. 2015;3(1):348-65. doi:10.1080/21642850.2015.1095098.</w:t>
      </w:r>
    </w:p>
    <w:p>
      <w:pPr>
        <w:spacing w:line="240" w:lineRule="auto" w:after="100"/>
        <w:ind w:left="360" w:hanging="360"/>
      </w:pPr>
      <w:r>
        <w:rPr>
          <w:rFonts w:ascii="Times New Roman" w:hAnsi="Times New Roman"/>
          <w:sz w:val="20"/>
        </w:rPr>
        <w:t>22. White RH, Park JN, Galai N, Decker MR, Allen ST, Footer KHA, et al. Short-term interruptions to sex work among a prospective cohort of street-based cisgender female sex workers in Baltimore. Int J Drug Policy. 2020;84:102858. doi:10.1016/j.drugpo.2020.102858.</w:t>
      </w:r>
    </w:p>
    <w:p>
      <w:pPr>
        <w:spacing w:line="240" w:lineRule="auto" w:after="100"/>
        <w:ind w:left="360" w:hanging="360"/>
      </w:pPr>
      <w:r>
        <w:rPr>
          <w:rFonts w:ascii="Times New Roman" w:hAnsi="Times New Roman"/>
          <w:sz w:val="20"/>
        </w:rPr>
        <w:t>23. Lora WS, Sakala D, Saidi A, Nyapigoti W, Sanudi E, Shahmanesh M, et al. Exploring the interplay of social and physical factors in risk dynamics and transitions across the life-course of female sex workers in Blantyre, Malawi: a longitudinal narrative study. AIDS Behav. 2025;29:3444-56. doi:10.1007/s10461-025-04790-z.</w:t>
      </w:r>
    </w:p>
    <w:p>
      <w:pPr>
        <w:spacing w:line="240" w:lineRule="auto" w:after="100"/>
        <w:ind w:left="360" w:hanging="360"/>
      </w:pPr>
      <w:r>
        <w:rPr>
          <w:rFonts w:ascii="Times New Roman" w:hAnsi="Times New Roman"/>
          <w:sz w:val="20"/>
        </w:rPr>
        <w:t>24. Emmanuel F, Salim M, Akhtar N, Arshad S, Reza TE. Second-generation surveillance for HIV/AIDS in Pakistan: results from the 4th round of Integrated Behavior and Biological Survey 2011-2012. Sex Transm Infect. 2013;89 Suppl 3:iii23-28. doi:10.1136/sextrans-2013-051161.</w:t>
      </w:r>
    </w:p>
    <w:p>
      <w:pPr>
        <w:spacing w:line="240" w:lineRule="auto" w:after="100"/>
        <w:ind w:left="360" w:hanging="360"/>
      </w:pPr>
      <w:r>
        <w:rPr>
          <w:rFonts w:ascii="Times New Roman" w:hAnsi="Times New Roman"/>
          <w:sz w:val="20"/>
        </w:rPr>
        <w:t>25. Reza T, Melesse DY, Shafer LA, Salim M, Altaf A, Sonia A, et al. Patterns and trends in Pakistan's heterogeneous HIV epidemic. Sex Transm Infect. 2013;89 Suppl 2:ii4-10. doi:10.1136/sextrans-2012-050872.</w:t>
      </w:r>
    </w:p>
    <w:p>
      <w:pPr>
        <w:spacing w:line="240" w:lineRule="auto" w:after="100"/>
        <w:ind w:left="360" w:hanging="360"/>
      </w:pPr>
      <w:r>
        <w:rPr>
          <w:rFonts w:ascii="Times New Roman" w:hAnsi="Times New Roman"/>
          <w:sz w:val="20"/>
        </w:rPr>
        <w:t>26. Melesse DY, Shafer LA, Emmanuel F, Reza T, Achakzai BK, Furqan S, et al. Heterogeneity in geographical trends of HIV epidemics among key populations in Pakistan: a mathematical modeling study of survey data. J Glob Health. 2018;8(1):010412. doi:10.7189/jogh.08.010412.</w:t>
      </w:r>
    </w:p>
    <w:p>
      <w:pPr>
        <w:spacing w:line="240" w:lineRule="auto" w:after="100"/>
        <w:ind w:left="360" w:hanging="360"/>
      </w:pPr>
      <w:r>
        <w:rPr>
          <w:rFonts w:ascii="Times New Roman" w:hAnsi="Times New Roman"/>
          <w:sz w:val="20"/>
        </w:rPr>
        <w:t>27. von Elm E, Altman DG, Egger M, Pocock SJ, Gotzsche PC, Vandenbroucke JP; STROBE Initiative. The Strengthening the Reporting of Observational Studies in Epidemiology statement: guidelines for reporting observational studies. Lancet. 2007;370(9596):1453-7. doi:10.1016/S0140-6736(07)61602-X.</w:t>
      </w:r>
    </w:p>
    <w:p>
      <w:pPr>
        <w:spacing w:line="240" w:lineRule="auto" w:after="100"/>
        <w:ind w:left="360" w:hanging="360"/>
      </w:pPr>
      <w:r>
        <w:rPr>
          <w:rFonts w:ascii="Times New Roman" w:hAnsi="Times New Roman"/>
          <w:sz w:val="20"/>
        </w:rPr>
        <w:t>28. National AIDS Control Programme. HIV second generation surveillance in Pakistan: national report round II [Internet]. Islamabad: National AIDS Control Programme; 2007 [cited 2026 Oct 3]. Available from: https://www.nacp.gov.pk/repository/howwework/pdf/SGS%20Round%202%20Report%202006-07.pdf</w:t>
      </w:r>
    </w:p>
    <w:p>
      <w:pPr>
        <w:spacing w:line="240" w:lineRule="auto" w:after="100"/>
        <w:ind w:left="360" w:hanging="360"/>
      </w:pPr>
      <w:r>
        <w:rPr>
          <w:rFonts w:ascii="Times New Roman" w:hAnsi="Times New Roman"/>
          <w:sz w:val="20"/>
        </w:rPr>
        <w:t>29. National AIDS Control Programme. HIV second generation surveillance in Pakistan: national report round IV [Internet]. Islamabad: National AIDS Control Programme; 2011 [cited 2026 Oct 3]. Available from: https://www.anf.gov.pk/library/report-round4-2011.pdf</w:t>
      </w:r>
    </w:p>
    <w:p>
      <w:pPr>
        <w:spacing w:line="240" w:lineRule="auto" w:after="100"/>
        <w:ind w:left="360" w:hanging="360"/>
      </w:pPr>
      <w:r>
        <w:rPr>
          <w:rFonts w:ascii="Times New Roman" w:hAnsi="Times New Roman"/>
          <w:sz w:val="20"/>
        </w:rPr>
        <w:t>30. Punjab AIDS Control Program. Integrated biological and behavioral surveillance in Punjab 2014 [Internet]. Lahore: Punjab AIDS Control Program; 2014 [cited 2026 Oct 3]. Available from: https://phkh.nhsrc.pk/sites/default/files/2021-01/IBBS%20Punjab%202014.pdf</w:t>
      </w:r>
    </w:p>
    <w:p>
      <w:pPr>
        <w:spacing w:line="240" w:lineRule="auto" w:after="100"/>
        <w:ind w:left="360" w:hanging="360"/>
      </w:pPr>
      <w:r>
        <w:rPr>
          <w:rFonts w:ascii="Times New Roman" w:hAnsi="Times New Roman"/>
          <w:sz w:val="20"/>
        </w:rPr>
        <w:t>31. National AIDS Control Programme. Mapping of key populations in Pakistan 2015 [Internet]. Islamabad: National AIDS Control Programme; 2015 [cited 2026 Oct 3]. Available from: https://medbox.org/document/mapping-of-key-populations-in-pakistan-2015</w:t>
      </w:r>
    </w:p>
    <w:p>
      <w:pPr>
        <w:spacing w:line="240" w:lineRule="auto" w:after="100"/>
        <w:ind w:left="360" w:hanging="360"/>
      </w:pPr>
      <w:r>
        <w:rPr>
          <w:rFonts w:ascii="Times New Roman" w:hAnsi="Times New Roman"/>
          <w:sz w:val="20"/>
        </w:rPr>
        <w:t>32. Pakistan Bureau of Statistics. Pakistan Social and Living Standards Measurement Survey 2006-07: district level report [Internet]. Islamabad: Pakistan Bureau of Statistics; 2008 [cited 2026 Oct 3]. Available from: https://www.pbs.gov.pk/sites/default/files/pslm/publications/pslm2006_07/pslm2006_07.pdf</w:t>
      </w:r>
    </w:p>
    <w:p>
      <w:pPr>
        <w:spacing w:line="240" w:lineRule="auto" w:after="100"/>
        <w:ind w:left="360" w:hanging="360"/>
      </w:pPr>
      <w:r>
        <w:rPr>
          <w:rFonts w:ascii="Times New Roman" w:hAnsi="Times New Roman"/>
          <w:sz w:val="20"/>
        </w:rPr>
        <w:t>33. Pakistan Bureau of Statistics. Pakistan Social and Living Standards Measurement Survey 2010-11: district level report [Internet]. Islamabad: Pakistan Bureau of Statistics; 2012 [cited 2026 Oct 3]. Available from: https://www.pbs.gov.pk/sites/default/files/pslm/publications/pslm2010_11/pslm2010_11.pdf</w:t>
      </w:r>
    </w:p>
    <w:p>
      <w:pPr>
        <w:spacing w:line="240" w:lineRule="auto" w:after="100"/>
        <w:ind w:left="360" w:hanging="360"/>
      </w:pPr>
      <w:r>
        <w:rPr>
          <w:rFonts w:ascii="Times New Roman" w:hAnsi="Times New Roman"/>
          <w:sz w:val="20"/>
        </w:rPr>
        <w:t>34. Pakistan Bureau of Statistics. Pakistan Social and Living Standards Measurement Survey 2014-15: national, provincial and district report [Internet]. Islamabad: Pakistan Bureau of Statistics; 2016 [cited 2026 Oct 3]. Available from: https://www.pbs.gov.pk/sites/default/files/pslm/publications/pslm2014_15/pslm_2014-15_national-provincial-district_report.pdf</w:t>
      </w:r>
    </w:p>
    <w:p>
      <w:pPr>
        <w:spacing w:line="240" w:lineRule="auto" w:after="100"/>
        <w:ind w:left="360" w:hanging="360"/>
      </w:pPr>
      <w:r>
        <w:rPr>
          <w:rFonts w:ascii="Times New Roman" w:hAnsi="Times New Roman"/>
          <w:sz w:val="20"/>
        </w:rPr>
        <w:t>35. Jamal H. Estimating sub-national poverty and inequality in Pakistan. Karachi: Social Policy and Development Centre; 2013. Research Report No. 85.</w:t>
      </w:r>
    </w:p>
    <w:p>
      <w:pPr>
        <w:spacing w:line="240" w:lineRule="auto" w:after="100"/>
        <w:ind w:left="360" w:hanging="360"/>
      </w:pPr>
      <w:r>
        <w:rPr>
          <w:rFonts w:ascii="Times New Roman" w:hAnsi="Times New Roman"/>
          <w:sz w:val="20"/>
        </w:rPr>
        <w:t>36. Government of Pakistan, Finance Division. Pakistan Economic Survey 2006-07: overview [Internet]. Islamabad: Ministry of Finance; 2007 [cited 2026 Oct 3]. Available from: https://www.finance.gov.pk/survey_0607.html</w:t>
      </w:r>
    </w:p>
    <w:p>
      <w:pPr>
        <w:spacing w:line="240" w:lineRule="auto" w:after="100"/>
        <w:ind w:left="360" w:hanging="360"/>
      </w:pPr>
      <w:r>
        <w:rPr>
          <w:rFonts w:ascii="Times New Roman" w:hAnsi="Times New Roman"/>
          <w:sz w:val="20"/>
        </w:rPr>
        <w:t>37. Government of Pakistan, Finance Division. Pakistan Economic Survey 2010-11: overview [Internet]. Islamabad: Ministry of Finance; 2011 [cited 2026 Oct 3]. Available from: https://www.finance.gov.pk/survey_1011.html</w:t>
      </w:r>
    </w:p>
    <w:p>
      <w:pPr>
        <w:spacing w:line="240" w:lineRule="auto" w:after="100"/>
        <w:ind w:left="360" w:hanging="360"/>
      </w:pPr>
      <w:r>
        <w:rPr>
          <w:rFonts w:ascii="Times New Roman" w:hAnsi="Times New Roman"/>
          <w:sz w:val="20"/>
        </w:rPr>
        <w:t>38. Government of Pakistan, Finance Division. Pakistan Economic Survey 2014-15: overview [Internet]. Islamabad: Ministry of Finance; 2015 [cited 2026 Oct 3]. Available from: https://www.finance.gov.pk/survey_1415.html</w:t>
      </w:r>
    </w:p>
    <w:p>
      <w:pPr>
        <w:spacing w:line="240" w:lineRule="auto" w:after="100"/>
        <w:ind w:left="360" w:hanging="360"/>
      </w:pPr>
      <w:r>
        <w:rPr>
          <w:rFonts w:ascii="Times New Roman" w:hAnsi="Times New Roman"/>
          <w:sz w:val="20"/>
        </w:rPr>
        <w:t>39. Government of Pakistan, Finance Division. Pakistan Economic Survey 2016-17: overview [Internet]. Islamabad: Ministry of Finance; 2017 [cited 2026 Oct 3]. Available from: https://www.finance.gov.pk/survey_1617.html</w:t>
      </w:r>
    </w:p>
    <w:p>
      <w:pPr>
        <w:spacing w:line="240" w:lineRule="auto" w:after="100"/>
        <w:ind w:left="360" w:hanging="360"/>
      </w:pPr>
      <w:r>
        <w:rPr>
          <w:rFonts w:ascii="Times New Roman" w:hAnsi="Times New Roman"/>
          <w:sz w:val="20"/>
        </w:rPr>
        <w:t>40. Fearon E, Chabata ST, Magutshwa S, et al. Estimating the population size of female sex workers in Zimbabwe: comparison of estimates obtained using different methods in twenty sites and development of a national-level estimate. J Acquir Immune Defic Syndr. 2020;85(1):30-8. doi:10.1097/QAI.0000000000002393.</w:t>
      </w:r>
    </w:p>
    <w:p>
      <w:pPr>
        <w:spacing w:line="240" w:lineRule="auto" w:after="100"/>
        <w:ind w:left="360" w:hanging="360"/>
      </w:pPr>
      <w:r>
        <w:rPr>
          <w:rFonts w:ascii="Times New Roman" w:hAnsi="Times New Roman"/>
          <w:sz w:val="20"/>
        </w:rPr>
        <w:t>41. Davey C, Dirawo J, Mushati P, Magutshwa S, Hargreaves JR, Cowan FM. Mobility and sex work: why, where, when? A typology of female-sex-worker mobility in Zimbabwe. Soc Sci Med. 2019;220:322-30. doi:10.1016/j.socscimed.2018.11.027.</w:t>
      </w:r>
    </w:p>
    <w:p>
      <w:pPr>
        <w:spacing w:line="240" w:lineRule="auto" w:after="100"/>
        <w:ind w:left="360" w:hanging="360"/>
      </w:pPr>
      <w:r>
        <w:rPr>
          <w:rFonts w:ascii="Times New Roman" w:hAnsi="Times New Roman"/>
          <w:sz w:val="20"/>
        </w:rPr>
        <w:t>42. Shannon K, Strathdee SA, Goldenberg SM, Duff P, Mwangi P, Rusakova M, et al. Global epidemiology of HIV among female sex workers: influence of structural determinants. Lancet. 2015;385(9962):55-71. doi:10.1016/S0140-6736(14)60931-4.</w:t>
      </w:r>
    </w:p>
    <w:p>
      <w:pPr>
        <w:spacing w:line="240" w:lineRule="auto" w:after="100"/>
        <w:ind w:left="360" w:hanging="360"/>
      </w:pPr>
      <w:r>
        <w:rPr>
          <w:rFonts w:ascii="Times New Roman" w:hAnsi="Times New Roman"/>
          <w:sz w:val="20"/>
        </w:rPr>
        <w:t>43. Jarvis-King L. Trajectories of vulnerability and resistance among independent indoor sex workers during economic decline. Sociol Res Online. 2024;29(1):137-53. doi:10.1177/13607804231162757.</w:t>
      </w:r>
    </w:p>
    <w:p>
      <w:pPr>
        <w:spacing w:line="240" w:lineRule="auto" w:after="100"/>
        <w:ind w:left="360" w:hanging="360"/>
      </w:pPr>
      <w:r>
        <w:rPr>
          <w:rFonts w:ascii="Times New Roman" w:hAnsi="Times New Roman"/>
          <w:sz w:val="20"/>
        </w:rPr>
        <w:t>44. Wamoyi J, Stobeanau K, Bobrova N, Abramsky T, Watts C. Transactional sex and risk for HIV infection in sub-Saharan Africa: a systematic review and meta-analysis. J Int AIDS Soc. 2016;19(1):20992. doi:10.7448/IAS.19.1.20992.</w:t>
      </w:r>
    </w:p>
    <w:p>
      <w:pPr>
        <w:spacing w:line="240" w:lineRule="auto" w:after="100"/>
        <w:ind w:left="360" w:hanging="360"/>
      </w:pPr>
      <w:r>
        <w:rPr>
          <w:rFonts w:ascii="Times New Roman" w:hAnsi="Times New Roman"/>
          <w:sz w:val="20"/>
        </w:rPr>
        <w:t>45. Mihretie GN, Kassa BG, Ayele AD, Liyeh TM, Belay HG, Miskr AD, et al. Transactional sex among women in sub-Saharan Africa: a systematic review and meta-analysis. PLoS One. 2023;18(6):e0286850. doi:10.1371/journal.pone.0286850.</w:t>
      </w:r>
    </w:p>
    <w:sectPr w:rsidR="00FC693F" w:rsidRPr="0006063C" w:rsidSect="00034616">
      <w:footerReference w:type="default" r:id="rId9"/>
      <w:pgSz w:w="11909" w:h="16834"/>
      <w:pgMar w:top="1440" w:right="1440" w:bottom="1224" w:left="1440" w:header="576" w:footer="576"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jc w:val="center"/>
    </w:pPr>
    <w:rPr>
      <w:rFonts w:asciiTheme="majorHAnsi" w:eastAsiaTheme="majorEastAsia" w:hAnsiTheme="majorHAnsi" w:cstheme="majorBidi" w:ascii="Times New Roman" w:hAnsi="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conditions and the changing scale and organisation of female sex work in Pakistan: a multi-period ecological study</dc:title>
  <dc:subject>Multi-period ecological study using HIV surveillance and socioeconomic surveys</dc:subject>
  <dc:creator>Qazi Raza; Amna Khan; Maham Qazi</dc:creator>
  <cp:keywords>female sex workers, HIV surveillance, economic distress, Pakistan, ecological study</cp:keywords>
  <dc:description>Vancouver citation style manuscript</dc:description>
  <cp:lastModifiedBy/>
  <cp:revision>1</cp:revision>
  <dcterms:created xsi:type="dcterms:W3CDTF">2013-12-23T23:15:00Z</dcterms:created>
  <dcterms:modified xsi:type="dcterms:W3CDTF">2013-12-23T23:15:00Z</dcterms:modified>
  <cp:category/>
</cp:coreProperties>
</file>