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color w:val="000000"/>
          <w:sz w:val="32"/>
        </w:rPr>
        <w:t>Manuscript Tables</w:t>
      </w:r>
    </w:p>
    <w:p>
      <w:pPr>
        <w:pStyle w:val="Subtitle"/>
        <w:jc w:val="center"/>
      </w:pPr>
      <w:r>
        <w:rPr>
          <w:rFonts w:ascii="Times New Roman" w:hAnsi="Times New Roman"/>
          <w:i/>
          <w:color w:val="000000"/>
          <w:sz w:val="22"/>
        </w:rPr>
        <w:t>Economic conditions and the changing scale and organisation of female sex work in Pakistan: a multi-period ecological study</w:t>
      </w:r>
    </w:p>
    <w:p>
      <w:r>
        <w:t>Editable copies of the five tables, with titles and notes exactly matching the manuscript.</w:t>
      </w:r>
    </w:p>
    <w:p>
      <w:pPr>
        <w:pStyle w:val="Heading1"/>
        <w:ind w:left="0" w:right="0" w:firstLine="0"/>
        <w:jc w:val="left"/>
      </w:pPr>
      <w:r>
        <w:t>Table 1. Surveillance rounds, available measures, and analytical use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Round</w:t>
            </w:r>
          </w:p>
        </w:tc>
        <w:tc>
          <w:tcPr>
            <w:tcW w:type="dxa" w:w="276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Cities</w:t>
            </w:r>
          </w:p>
        </w:tc>
        <w:tc>
          <w:tcPr>
            <w:tcW w:type="dxa" w:w="276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Available FSW measures</w:t>
            </w:r>
          </w:p>
        </w:tc>
        <w:tc>
          <w:tcPr>
            <w:tcW w:type="dxa" w:w="276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Economic pairing</w:t>
            </w:r>
          </w:p>
        </w:tc>
        <w:tc>
          <w:tcPr>
            <w:tcW w:type="dxa" w:w="276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Analytical use</w:t>
            </w:r>
          </w:p>
        </w:tc>
      </w:tr>
      <w:tr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2006-07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Mapped total and typology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PSLM 2006-07; PES 2006-07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Structural replication and common-city change</w:t>
            </w:r>
          </w:p>
        </w:tc>
      </w:tr>
      <w:tr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2011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Mapped total, density, typology, and network structure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PSLM 2010-11; model-based poverty; PES 2010-11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Primary cross-section and multi-marker analysis</w:t>
            </w:r>
          </w:p>
        </w:tc>
      </w:tr>
      <w:tr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2014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Mapped total and typology in Punjab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PSLM 2014-15; PES 2014-15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Regional structural replication and recovery comparison</w:t>
            </w:r>
          </w:p>
        </w:tc>
      </w:tr>
      <w:tr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2016-17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Printed city totals only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PES 2016-17; local district exposure not forced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Context and common-city count comparison</w:t>
            </w:r>
          </w:p>
        </w:tc>
      </w:tr>
    </w:tbl>
    <w:p>
      <w:r>
        <w:br w:type="page"/>
      </w:r>
    </w:p>
    <w:p>
      <w:pPr>
        <w:pStyle w:val="Heading1"/>
        <w:ind w:left="0" w:right="0" w:firstLine="0"/>
        <w:jc w:val="left"/>
      </w:pPr>
      <w:r>
        <w:t>Table 2. Primary density result and principal sensitivity analyses in 2011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Analysis</w:t>
            </w:r>
          </w:p>
        </w:tc>
        <w:tc>
          <w:tcPr>
            <w:tcW w:type="dxa" w:w="276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276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Estimate</w:t>
            </w:r>
          </w:p>
        </w:tc>
        <w:tc>
          <w:tcPr>
            <w:tcW w:type="dxa" w:w="276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95% CI</w:t>
            </w:r>
          </w:p>
        </w:tc>
        <w:tc>
          <w:tcPr>
            <w:tcW w:type="dxa" w:w="276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 value</w:t>
            </w:r>
          </w:p>
        </w:tc>
      </w:tr>
      <w:tr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Recent deterioration vs density, Spearman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rho -0.138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-0.597 to 0.372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0.620*</w:t>
            </w:r>
          </w:p>
        </w:tc>
      </w:tr>
      <w:tr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Recent deterioration vs density, Pearson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r -0.196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0.484</w:t>
            </w:r>
          </w:p>
        </w:tc>
      </w:tr>
      <w:tr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Urban poverty vs density, Spearman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rho 0.281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0.311</w:t>
            </w:r>
          </w:p>
        </w:tc>
      </w:tr>
      <w:tr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Female illiteracy vs density, Spearman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rho 0.316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0.251</w:t>
            </w:r>
          </w:p>
        </w:tc>
      </w:tr>
      <w:tr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Sanitation deprivation vs density, Spearman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rho -0.061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0.829</w:t>
            </w:r>
          </w:p>
        </w:tc>
      </w:tr>
      <w:tr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All-area deterioration vs density, Spearman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rho -0.091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0.747</w:t>
            </w:r>
          </w:p>
        </w:tc>
      </w:tr>
      <w:tr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Close geographic matches only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rho 0.183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0.637</w:t>
            </w:r>
          </w:p>
        </w:tc>
      </w:tr>
      <w:tr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Unadjusted OLS with HC3 SE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beta -0.055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-0.211 to 0.101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0.462</w:t>
            </w:r>
          </w:p>
        </w:tc>
      </w:tr>
      <w:tr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OLS adjusted for log mapped total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beta -0.029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-0.269 to 0.210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0.794</w:t>
            </w:r>
          </w:p>
        </w:tc>
      </w:tr>
      <w:tr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Log-density OLS with HC3 SE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beta -0.007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-0.025 to 0.010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0.394</w:t>
            </w:r>
          </w:p>
        </w:tc>
      </w:tr>
    </w:tbl>
    <w:p>
      <w:r>
        <w:rPr>
          <w:i/>
          <w:sz w:val="18"/>
        </w:rPr>
        <w:t>*Two-sided permutation p value; the confidence interval is a percentile bootstrap interval. CI, confidence interval; HC3 SE, heteroskedasticity-robust standard error; OLS, ordinary least squares.</w:t>
      </w:r>
    </w:p>
    <w:p>
      <w:r>
        <w:br w:type="page"/>
      </w:r>
    </w:p>
    <w:p>
      <w:pPr>
        <w:pStyle w:val="Heading1"/>
        <w:ind w:left="0" w:right="0" w:firstLine="0"/>
        <w:jc w:val="left"/>
      </w:pPr>
      <w:r>
        <w:rPr>
          <w:sz w:val="22"/>
        </w:rPr>
        <w:t>Table 3. Acute deterioration and chronic deprivation across selected 2011 FSW markers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2304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Economic dimension</w:t>
            </w:r>
          </w:p>
        </w:tc>
        <w:tc>
          <w:tcPr>
            <w:tcW w:type="dxa" w:w="2304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Mapped density rho</w:t>
            </w:r>
          </w:p>
        </w:tc>
        <w:tc>
          <w:tcPr>
            <w:tcW w:type="dxa" w:w="2304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Mapped total rho</w:t>
            </w:r>
          </w:p>
        </w:tc>
        <w:tc>
          <w:tcPr>
            <w:tcW w:type="dxa" w:w="2304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Implied city scale rho</w:t>
            </w:r>
          </w:p>
        </w:tc>
        <w:tc>
          <w:tcPr>
            <w:tcW w:type="dxa" w:w="2304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Kothikhana share rho</w:t>
            </w:r>
          </w:p>
        </w:tc>
        <w:tc>
          <w:tcPr>
            <w:tcW w:type="dxa" w:w="2304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Cellphone share rho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Recent urban deterioration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-0.138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0.657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0.625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0.618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-0.515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Chronic deprivation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0.315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-0.700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-0.718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-0.409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0.552</w:t>
            </w:r>
          </w:p>
        </w:tc>
      </w:tr>
    </w:tbl>
    <w:p>
      <w:r>
        <w:rPr>
          <w:i/>
          <w:sz w:val="18"/>
        </w:rPr>
        <w:t>Values are Spearman rank correlations across 15 cities. The implied scale is derived from mapped count and source-reported density and is used only to diagnose city scale.</w:t>
      </w:r>
    </w:p>
    <w:p>
      <w:r>
        <w:br w:type="page"/>
      </w:r>
    </w:p>
    <w:p>
      <w:pPr>
        <w:pStyle w:val="Heading1"/>
        <w:ind w:left="0" w:right="0" w:firstLine="0"/>
        <w:jc w:val="left"/>
      </w:pPr>
      <w:r>
        <w:rPr>
          <w:sz w:val="22"/>
        </w:rPr>
        <w:t>Table 4. Common-city mapped population and organisational change across economic periods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true"/>
        </w:trPr>
        <w:tc>
          <w:tcPr>
            <w:tcW w:type="dxa" w:w="197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Comparison</w:t>
            </w:r>
          </w:p>
        </w:tc>
        <w:tc>
          <w:tcPr>
            <w:tcW w:type="dxa" w:w="197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Cities</w:t>
            </w:r>
          </w:p>
        </w:tc>
        <w:tc>
          <w:tcPr>
            <w:tcW w:type="dxa" w:w="197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Mapped total change</w:t>
            </w:r>
          </w:p>
        </w:tc>
        <w:tc>
          <w:tcPr>
            <w:tcW w:type="dxa" w:w="197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Annualised change</w:t>
            </w:r>
          </w:p>
        </w:tc>
        <w:tc>
          <w:tcPr>
            <w:tcW w:type="dxa" w:w="197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Median home change</w:t>
            </w:r>
          </w:p>
        </w:tc>
        <w:tc>
          <w:tcPr>
            <w:tcW w:type="dxa" w:w="197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Median street change</w:t>
            </w:r>
          </w:p>
        </w:tc>
        <w:tc>
          <w:tcPr>
            <w:tcW w:type="dxa" w:w="197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Sign-test p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2006-07 to 2011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+66.25%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+11.96%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+18.32 pp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-24.16 pp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0.109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2011 to 2014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+16.77%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+5.30%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-26.10 pp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+17.11 pp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0.125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2011 to 2016-17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+3.36%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+0.60%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Not available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Not available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0.754</w:t>
            </w:r>
          </w:p>
        </w:tc>
      </w:tr>
    </w:tbl>
    <w:p>
      <w:r>
        <w:rPr>
          <w:i/>
          <w:sz w:val="18"/>
        </w:rPr>
        <w:t>Annualised changes use approximate intervals of 4.5, 3.0, and 5.5 years. pp, percentage points.</w:t>
      </w:r>
    </w:p>
    <w:p>
      <w:r>
        <w:br w:type="page"/>
      </w:r>
    </w:p>
    <w:p>
      <w:pPr>
        <w:pStyle w:val="Heading1"/>
        <w:ind w:left="0" w:right="0" w:firstLine="0"/>
        <w:jc w:val="left"/>
      </w:pPr>
      <w:r>
        <w:t>Table 5. Selected round-level economic-marker correlations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2304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Economic indicator</w:t>
            </w:r>
          </w:p>
        </w:tc>
        <w:tc>
          <w:tcPr>
            <w:tcW w:type="dxa" w:w="2304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FSW marker</w:t>
            </w:r>
          </w:p>
        </w:tc>
        <w:tc>
          <w:tcPr>
            <w:tcW w:type="dxa" w:w="2304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Rounds</w:t>
            </w:r>
          </w:p>
        </w:tc>
        <w:tc>
          <w:tcPr>
            <w:tcW w:type="dxa" w:w="2304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Spearman rho</w:t>
            </w:r>
          </w:p>
        </w:tc>
        <w:tc>
          <w:tcPr>
            <w:tcW w:type="dxa" w:w="2304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Exact p</w:t>
            </w:r>
          </w:p>
        </w:tc>
        <w:tc>
          <w:tcPr>
            <w:tcW w:type="dxa" w:w="2304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FDR q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GDP growth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Median city mapped total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-0.600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0.417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CPI inflation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Median city mapped total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0.400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0.750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CPI inflation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Home share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0.333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CPI inflation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Home minus street balance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0.333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GDP growth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Street share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0.333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GDP growth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Reported household deterioration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-0.800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0.333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Per-capita income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Kothikhana share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0.333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1.000</w:t>
            </w:r>
          </w:p>
        </w:tc>
      </w:tr>
    </w:tbl>
    <w:p>
      <w:r>
        <w:rPr>
          <w:i/>
          <w:sz w:val="18"/>
        </w:rPr>
        <w:t>All 32 macro-marker tests used exact permutation inference and Benjamini-Hochberg adjustment. Directional coefficients with three or four rounds are descriptive.</w:t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  <w:jc w:val="center"/>
    </w:pPr>
    <w:rPr>
      <w:rFonts w:asciiTheme="majorHAnsi" w:eastAsiaTheme="majorEastAsia" w:hAnsiTheme="majorHAnsi" w:cstheme="majorBidi" w:ascii="Times New Roman" w:hAnsi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