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ТОО «Name»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Ваша заявка была принята посредством веб-портала www.export.gov.kz и зарегистрирована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(Num от Date.).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Настоящим сообщаем, что Ваша заявка рассмотрена на полноту и соответствие требованиям Правил возмещения части затрат субъектов индустриально-инновационной деятельности по продвижению отечественных обработанных товаров, а также информационно-коммуникационных услуг, перечня отечественных обработанных товаров, а также информационно-коммуникационных услуг, по которым частично возмещаются затраты по их продвижению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(Приказ Министра по инвестициям и развитию Республики Казахстан от 30 ноября 2015 года № 1128)</w:t>
      </w:r>
      <w:r w:rsidDel="00000000" w:rsidR="00000000" w:rsidRPr="00000000">
        <w:rPr>
          <w:sz w:val="28"/>
          <w:szCs w:val="28"/>
          <w:rtl w:val="0"/>
        </w:rPr>
        <w:t xml:space="preserve"> (далее – Правила). 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было установлено, что заявка не соответствует требованиям Правил, по следующим основаниям: 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    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20 Правил при неполноте и несоответствии представленных документов требованиям Правил, субъект индустриально-инновационной деятельности (далее – Заявитель) устраняет замечания в течение 7 (семи) рабочих дней с даты получения замечаний.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с устраненными замечаниями представляются через веб-портал с уведомлением Оператора (сопроводительным письмом).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10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/ve9hG+ixkw4v3ITxbeXmvzfw==">CgMxLjA4AHIhMXJjal9SSGJKMWZzQU14WS01d2FkRUdTb25wVGtvV21f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