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sz w:val="96"/>
          <w:szCs w:val="96"/>
        </w:rPr>
        <w:t xml:space="preserve">🏢</w:t>
      </w:r>
    </w:p>
    <w:p>
      <w:pPr>
        <w:spacing w:after="0" w:before="200"/>
        <w:jc w:val="center"/>
      </w:pPr>
      <w:r>
        <w:rPr>
          <w:b/>
          <w:bCs/>
          <w:color w:val="1F2937"/>
          <w:sz w:val="56"/>
          <w:szCs w:val="56"/>
        </w:rPr>
        <w:t xml:space="preserve">IT Asset Management System</w:t>
      </w:r>
    </w:p>
    <w:p>
      <w:pPr>
        <w:spacing w:after="0" w:before="120"/>
        <w:jc w:val="center"/>
      </w:pPr>
      <w:r>
        <w:rPr>
          <w:color w:val="1E5EFF"/>
          <w:sz w:val="36"/>
          <w:szCs w:val="36"/>
        </w:rPr>
        <w:t xml:space="preserve">User Guide</w:t>
      </w:r>
    </w:p>
    <w:p>
      <w:pPr>
        <w:spacing w:after="0" w:before="600"/>
        <w:jc w:val="center"/>
      </w:pPr>
      <w:r>
        <w:rPr>
          <w:i/>
          <w:iCs/>
          <w:color w:val="6B7280"/>
          <w:sz w:val="22"/>
          <w:szCs w:val="22"/>
        </w:rPr>
        <w:t xml:space="preserve">A complete guide to tracking assets, licenses, and inventory</w:t>
      </w:r>
    </w:p>
    <w:p>
      <w:pPr>
        <w:spacing w:after="0" w:before="1800"/>
        <w:jc w:val="center"/>
      </w:pPr>
      <w:r>
        <w:rPr>
          <w:color w:val="6B7280"/>
          <w:sz w:val="20"/>
          <w:szCs w:val="20"/>
        </w:rPr>
        <w:t xml:space="preserve">Version 0.1.0</w:t>
      </w:r>
    </w:p>
    <w:p>
      <w:pPr>
        <w:spacing w:after="0" w:before="60"/>
        <w:jc w:val="center"/>
      </w:pPr>
      <w:r>
        <w:rPr>
          <w:color w:val="6B7280"/>
          <w:sz w:val="20"/>
          <w:szCs w:val="20"/>
        </w:rPr>
        <w:t xml:space="preserve">Last updated: July 2026</w:t>
      </w:r>
    </w:p>
    <w:p>
      <w:r>
        <w:br w:type="page"/>
      </w:r>
    </w:p>
    <w:p>
      <w:pPr>
        <w:pStyle w:val="Heading1"/>
        <w:spacing w:after="160"/>
      </w:pPr>
      <w:r>
        <w:rPr>
          <w:color w:val="1F2937"/>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color w:val="1F2937"/>
        </w:rPr>
        <w:t xml:space="preserve">1. Introduction</w:t>
      </w:r>
    </w:p>
    <w:p>
      <w:pPr>
        <w:spacing w:after="120" w:line="276"/>
      </w:pPr>
      <w:r>
        <w:rPr>
          <w:color w:val="333333"/>
          <w:sz w:val="21"/>
          <w:szCs w:val="21"/>
        </w:rPr>
        <w:t xml:space="preserve">The IT Asset Management System is a web-based application that helps your organization track and manage its IT assets, software licenses, and consumable inventory across their entire lifecycle — from procurement to disposal. It gives IT teams, managers, and auditors a single place to answer questions like: Who has this laptop? Which licenses expire next month? Are we running low on any supplies?</w:t>
      </w:r>
    </w:p>
    <w:p>
      <w:pPr>
        <w:pStyle w:val="Heading2"/>
        <w:spacing w:after="120" w:before="240"/>
      </w:pPr>
      <w:r>
        <w:rPr>
          <w:color w:val="1E5EFF"/>
        </w:rPr>
        <w:t xml:space="preserve">Who this guide is for</w:t>
      </w:r>
    </w:p>
    <w:p>
      <w:pPr>
        <w:spacing w:after="120" w:line="276"/>
      </w:pPr>
      <w:r>
        <w:rPr>
          <w:color w:val="333333"/>
          <w:sz w:val="21"/>
          <w:szCs w:val="21"/>
        </w:rPr>
        <w:t xml:space="preserve">This guide is written for everyday users of the application — IT staff, helpdesk agents, managers, auditors, and standard employees. It focuses on how to use the application through the browser. It does not cover installation or server administration; for that, refer to the technical documentation shipped with the project (README and the docs folder).</w:t>
      </w:r>
    </w:p>
    <w:p>
      <w:pPr>
        <w:pStyle w:val="Heading2"/>
        <w:spacing w:after="120" w:before="240"/>
      </w:pPr>
      <w:r>
        <w:rPr>
          <w:color w:val="1E5EFF"/>
        </w:rPr>
        <w:t xml:space="preserve">What you can do</w:t>
      </w:r>
    </w:p>
    <w:p>
      <w:pPr>
        <w:pStyle w:val="ListParagraph"/>
        <w:numPr>
          <w:ilvl w:val="0"/>
          <w:numId w:val="2"/>
        </w:numPr>
        <w:spacing w:after="60" w:line="276"/>
      </w:pPr>
      <w:r>
        <w:rPr>
          <w:b/>
          <w:bCs/>
          <w:color w:val="333333"/>
          <w:sz w:val="21"/>
          <w:szCs w:val="21"/>
        </w:rPr>
        <w:t xml:space="preserve">Asset Management — </w:t>
      </w:r>
      <w:r>
        <w:rPr>
          <w:color w:val="333333"/>
          <w:sz w:val="21"/>
          <w:szCs w:val="21"/>
        </w:rPr>
        <w:t xml:space="preserve">track computers, laptops, mobile devices, servers, and network equipment through their full lifecycle, including assignment, maintenance, warranty, and depreciation.</w:t>
      </w:r>
    </w:p>
    <w:p>
      <w:pPr>
        <w:pStyle w:val="ListParagraph"/>
        <w:numPr>
          <w:ilvl w:val="0"/>
          <w:numId w:val="2"/>
        </w:numPr>
        <w:spacing w:after="60" w:line="276"/>
      </w:pPr>
      <w:r>
        <w:rPr>
          <w:b/>
          <w:bCs/>
          <w:color w:val="333333"/>
          <w:sz w:val="21"/>
          <w:szCs w:val="21"/>
        </w:rPr>
        <w:t xml:space="preserve">License Management — </w:t>
      </w:r>
      <w:r>
        <w:rPr>
          <w:color w:val="333333"/>
          <w:sz w:val="21"/>
          <w:szCs w:val="21"/>
        </w:rPr>
        <w:t xml:space="preserve">monitor software licenses, seat usage, compliance, costs, and renewal dates.</w:t>
      </w:r>
    </w:p>
    <w:p>
      <w:pPr>
        <w:pStyle w:val="ListParagraph"/>
        <w:numPr>
          <w:ilvl w:val="0"/>
          <w:numId w:val="2"/>
        </w:numPr>
        <w:spacing w:after="60" w:line="276"/>
      </w:pPr>
      <w:r>
        <w:rPr>
          <w:b/>
          <w:bCs/>
          <w:color w:val="333333"/>
          <w:sz w:val="21"/>
          <w:szCs w:val="21"/>
        </w:rPr>
        <w:t xml:space="preserve">Inventory Management — </w:t>
      </w:r>
      <w:r>
        <w:rPr>
          <w:color w:val="333333"/>
          <w:sz w:val="21"/>
          <w:szCs w:val="21"/>
        </w:rPr>
        <w:t xml:space="preserve">manage consumables and accessories, purchases, stock levels, and low-stock alerts.</w:t>
      </w:r>
    </w:p>
    <w:p>
      <w:pPr>
        <w:pStyle w:val="ListParagraph"/>
        <w:numPr>
          <w:ilvl w:val="0"/>
          <w:numId w:val="2"/>
        </w:numPr>
        <w:spacing w:after="60" w:line="276"/>
      </w:pPr>
      <w:r>
        <w:rPr>
          <w:b/>
          <w:bCs/>
          <w:color w:val="333333"/>
          <w:sz w:val="21"/>
          <w:szCs w:val="21"/>
        </w:rPr>
        <w:t xml:space="preserve">Issue &amp; Return — </w:t>
      </w:r>
      <w:r>
        <w:rPr>
          <w:color w:val="333333"/>
          <w:sz w:val="21"/>
          <w:szCs w:val="21"/>
        </w:rPr>
        <w:t xml:space="preserve">assign items to employees and record their return, with due dates and condition checks.</w:t>
      </w:r>
    </w:p>
    <w:p>
      <w:pPr>
        <w:pStyle w:val="ListParagraph"/>
        <w:numPr>
          <w:ilvl w:val="0"/>
          <w:numId w:val="2"/>
        </w:numPr>
        <w:spacing w:after="60" w:line="276"/>
      </w:pPr>
      <w:r>
        <w:rPr>
          <w:b/>
          <w:bCs/>
          <w:color w:val="333333"/>
          <w:sz w:val="21"/>
          <w:szCs w:val="21"/>
        </w:rPr>
        <w:t xml:space="preserve">Analytics &amp; Reports — </w:t>
      </w:r>
      <w:r>
        <w:rPr>
          <w:color w:val="333333"/>
          <w:sz w:val="21"/>
          <w:szCs w:val="21"/>
        </w:rPr>
        <w:t xml:space="preserve">view real-time dashboards and export reports for assets, licenses, inventory, and audits.</w:t>
      </w:r>
    </w:p>
    <w:p>
      <w:pPr>
        <w:pStyle w:val="ListParagraph"/>
        <w:numPr>
          <w:ilvl w:val="0"/>
          <w:numId w:val="2"/>
        </w:numPr>
        <w:spacing w:after="60" w:line="276"/>
      </w:pPr>
      <w:r>
        <w:rPr>
          <w:b/>
          <w:bCs/>
          <w:color w:val="333333"/>
          <w:sz w:val="21"/>
          <w:szCs w:val="21"/>
        </w:rPr>
        <w:t xml:space="preserve">Administration — </w:t>
      </w:r>
      <w:r>
        <w:rPr>
          <w:color w:val="333333"/>
          <w:sz w:val="21"/>
          <w:szCs w:val="21"/>
        </w:rPr>
        <w:t xml:space="preserve">manage users, roles, permissions, and the master data (categories, brands, vendors, and more).</w:t>
      </w:r>
    </w:p>
    <w:p>
      <w:pPr>
        <w:pStyle w:val="Heading1"/>
        <w:spacing w:after="160" w:before="320"/>
      </w:pPr>
      <w:r>
        <w:rPr>
          <w:color w:val="1F2937"/>
        </w:rPr>
        <w:t xml:space="preserve">2. Getting Started</w:t>
      </w:r>
    </w:p>
    <w:p>
      <w:pPr>
        <w:pStyle w:val="Heading2"/>
        <w:spacing w:after="120" w:before="240"/>
      </w:pPr>
      <w:r>
        <w:rPr>
          <w:color w:val="1E5EFF"/>
        </w:rPr>
        <w:t xml:space="preserve">System requirements</w:t>
      </w:r>
    </w:p>
    <w:p>
      <w:pPr>
        <w:spacing w:after="120" w:line="276"/>
      </w:pPr>
      <w:r>
        <w:rPr>
          <w:color w:val="333333"/>
          <w:sz w:val="21"/>
          <w:szCs w:val="21"/>
        </w:rPr>
        <w:t xml:space="preserve">The application runs in any modern web browser (Chrome, Edge, Firefox, or Safari). No software needs to be installed on your computer. You will need the web address (URL) of your organization’s installation and a user account.</w:t>
      </w:r>
    </w:p>
    <w:p>
      <w:pPr>
        <w:pStyle w:val="Heading2"/>
        <w:spacing w:after="120" w:before="240"/>
      </w:pPr>
      <w:r>
        <w:rPr>
          <w:color w:val="1E5EFF"/>
        </w:rPr>
        <w:t xml:space="preserve">Signing in</w:t>
      </w:r>
    </w:p>
    <w:p>
      <w:pPr>
        <w:pStyle w:val="ListParagraph"/>
        <w:numPr>
          <w:ilvl w:val="0"/>
          <w:numId w:val="3"/>
        </w:numPr>
        <w:spacing w:after="80" w:line="276"/>
      </w:pPr>
      <w:r>
        <w:rPr>
          <w:color w:val="333333"/>
          <w:sz w:val="21"/>
          <w:szCs w:val="21"/>
        </w:rPr>
        <w:t xml:space="preserve">Open your browser and go to the application URL provided by your administrator (for a local installation this is typically http://localhost:3000).</w:t>
      </w:r>
    </w:p>
    <w:p>
      <w:pPr>
        <w:pStyle w:val="ListParagraph"/>
        <w:numPr>
          <w:ilvl w:val="0"/>
          <w:numId w:val="3"/>
        </w:numPr>
        <w:spacing w:after="80" w:line="276"/>
      </w:pPr>
      <w:r>
        <w:rPr>
          <w:color w:val="333333"/>
          <w:sz w:val="21"/>
          <w:szCs w:val="21"/>
        </w:rPr>
        <w:t xml:space="preserve">On the Login screen, enter your email address and password.</w:t>
      </w:r>
    </w:p>
    <w:p>
      <w:pPr>
        <w:pStyle w:val="ListParagraph"/>
        <w:numPr>
          <w:ilvl w:val="0"/>
          <w:numId w:val="3"/>
        </w:numPr>
        <w:spacing w:after="80" w:line="276"/>
      </w:pPr>
      <w:r>
        <w:rPr>
          <w:color w:val="333333"/>
          <w:sz w:val="21"/>
          <w:szCs w:val="21"/>
        </w:rPr>
        <w:t xml:space="preserve">Click Sign In. On success you are taken to the Dashboard.</w:t>
      </w:r>
    </w:p>
    <w:p>
      <w:pPr>
        <w:spacing w:after="60"/>
      </w:pPr>
    </w:p>
    <w:tbl>
      <w:tblPr>
        <w:tblW w:type="dxa" w:w="9360"/>
        <w:tblBorders>
          <w:top w:val="single" w:color="1E5EFF" w:sz="4"/>
          <w:left w:val="single" w:color="1E5EFF" w:sz="24"/>
          <w:bottom w:val="single" w:color="1E5EFF" w:sz="4"/>
          <w:right w:val="single" w:color="1E5EFF" w:sz="4"/>
          <w:insideH w:val="none"/>
          <w:insideV w:val="none"/>
        </w:tblBorders>
      </w:tblPr>
      <w:tblGrid>
        <w:gridCol w:w="9360"/>
      </w:tblGrid>
      <w:tr>
        <w:tc>
          <w:tcPr>
            <w:tcW w:type="dxa" w:w="9360"/>
            <w:shd w:fill="F3F6FC" w:color="auto" w:val="clear"/>
            <w:tcMar>
              <w:top w:type="dxa" w:w="100"/>
              <w:left w:type="dxa" w:w="160"/>
              <w:bottom w:type="dxa" w:w="100"/>
              <w:right w:type="dxa" w:w="160"/>
            </w:tcMar>
          </w:tcPr>
          <w:p>
            <w:r>
              <w:rPr>
                <w:b/>
                <w:bCs/>
                <w:color w:val="1E5EFF"/>
                <w:sz w:val="20"/>
                <w:szCs w:val="20"/>
              </w:rPr>
              <w:t xml:space="preserve">Tip:  </w:t>
            </w:r>
            <w:r>
              <w:rPr>
                <w:color w:val="333333"/>
                <w:sz w:val="20"/>
                <w:szCs w:val="20"/>
              </w:rPr>
              <w:t xml:space="preserve">For evaluation environments the default administrator account is admin@qbadvisory.com with the password password123. Change this password immediately in any real deployment.</w:t>
            </w:r>
          </w:p>
        </w:tc>
      </w:tr>
    </w:tbl>
    <w:p>
      <w:pPr>
        <w:spacing w:after="60"/>
      </w:pPr>
    </w:p>
    <w:p>
      <w:pPr>
        <w:pStyle w:val="Heading2"/>
        <w:spacing w:after="120" w:before="240"/>
      </w:pPr>
      <w:r>
        <w:rPr>
          <w:color w:val="1E5EFF"/>
        </w:rPr>
        <w:t xml:space="preserve">Resetting a forgotten password</w:t>
      </w:r>
    </w:p>
    <w:p>
      <w:pPr>
        <w:spacing w:after="120" w:line="276"/>
      </w:pPr>
      <w:r>
        <w:rPr>
          <w:color w:val="333333"/>
          <w:sz w:val="21"/>
          <w:szCs w:val="21"/>
        </w:rPr>
        <w:t xml:space="preserve">If you cannot remember your password, click the Forgot Password? link on the Login screen, enter your email address, and follow the on-screen instructions. If email is configured, you will receive a reset link; otherwise contact your administrator to have your password reset.</w:t>
      </w:r>
    </w:p>
    <w:p>
      <w:pPr>
        <w:pStyle w:val="Heading2"/>
        <w:spacing w:after="120" w:before="240"/>
      </w:pPr>
      <w:r>
        <w:rPr>
          <w:color w:val="1E5EFF"/>
        </w:rPr>
        <w:t xml:space="preserve">Signing out</w:t>
      </w:r>
    </w:p>
    <w:p>
      <w:pPr>
        <w:spacing w:after="120" w:line="276"/>
      </w:pPr>
      <w:r>
        <w:rPr>
          <w:color w:val="333333"/>
          <w:sz w:val="21"/>
          <w:szCs w:val="21"/>
        </w:rPr>
        <w:t xml:space="preserve">Click your name or avatar in the top-right corner of the screen and choose Logout from the menu.</w:t>
      </w:r>
    </w:p>
    <w:p>
      <w:pPr>
        <w:pStyle w:val="Heading1"/>
        <w:spacing w:after="160" w:before="320"/>
      </w:pPr>
      <w:r>
        <w:rPr>
          <w:color w:val="1F2937"/>
        </w:rPr>
        <w:t xml:space="preserve">3. Navigating the Application</w:t>
      </w:r>
    </w:p>
    <w:p>
      <w:pPr>
        <w:spacing w:after="120" w:line="276"/>
      </w:pPr>
      <w:r>
        <w:rPr>
          <w:color w:val="333333"/>
          <w:sz w:val="21"/>
          <w:szCs w:val="21"/>
        </w:rPr>
        <w:t xml:space="preserve">After signing in, the screen is divided into three areas:</w:t>
      </w:r>
    </w:p>
    <w:p>
      <w:pPr>
        <w:pStyle w:val="ListParagraph"/>
        <w:numPr>
          <w:ilvl w:val="0"/>
          <w:numId w:val="2"/>
        </w:numPr>
        <w:spacing w:after="60" w:line="276"/>
      </w:pPr>
      <w:r>
        <w:rPr>
          <w:b/>
          <w:bCs/>
          <w:color w:val="333333"/>
          <w:sz w:val="21"/>
          <w:szCs w:val="21"/>
        </w:rPr>
        <w:t xml:space="preserve">Sidebar (left) — </w:t>
      </w:r>
      <w:r>
        <w:rPr>
          <w:color w:val="333333"/>
          <w:sz w:val="21"/>
          <w:szCs w:val="21"/>
        </w:rPr>
        <w:t xml:space="preserve">the main navigation menu. The menu items you see depend on your role and permissions.</w:t>
      </w:r>
    </w:p>
    <w:p>
      <w:pPr>
        <w:pStyle w:val="ListParagraph"/>
        <w:numPr>
          <w:ilvl w:val="0"/>
          <w:numId w:val="2"/>
        </w:numPr>
        <w:spacing w:after="60" w:line="276"/>
      </w:pPr>
      <w:r>
        <w:rPr>
          <w:b/>
          <w:bCs/>
          <w:color w:val="333333"/>
          <w:sz w:val="21"/>
          <w:szCs w:val="21"/>
        </w:rPr>
        <w:t xml:space="preserve">Top bar — </w:t>
      </w:r>
      <w:r>
        <w:rPr>
          <w:color w:val="333333"/>
          <w:sz w:val="21"/>
          <w:szCs w:val="21"/>
        </w:rPr>
        <w:t xml:space="preserve">shows the application title, and your user menu (Profile, Settings, Logout) on the right.</w:t>
      </w:r>
    </w:p>
    <w:p>
      <w:pPr>
        <w:pStyle w:val="ListParagraph"/>
        <w:numPr>
          <w:ilvl w:val="0"/>
          <w:numId w:val="2"/>
        </w:numPr>
        <w:spacing w:after="60" w:line="276"/>
      </w:pPr>
      <w:r>
        <w:rPr>
          <w:b/>
          <w:bCs/>
          <w:color w:val="333333"/>
          <w:sz w:val="21"/>
          <w:szCs w:val="21"/>
        </w:rPr>
        <w:t xml:space="preserve">Content area (center) — </w:t>
      </w:r>
      <w:r>
        <w:rPr>
          <w:color w:val="333333"/>
          <w:sz w:val="21"/>
          <w:szCs w:val="21"/>
        </w:rPr>
        <w:t xml:space="preserve">displays the page you selected from the sidebar.</w:t>
      </w:r>
    </w:p>
    <w:p>
      <w:pPr>
        <w:spacing w:after="60"/>
      </w:pPr>
    </w:p>
    <w:p>
      <w:pPr>
        <w:spacing w:after="120" w:line="276"/>
      </w:pPr>
      <w:r>
        <w:rPr>
          <w:color w:val="333333"/>
          <w:sz w:val="21"/>
          <w:szCs w:val="21"/>
        </w:rPr>
        <w:t xml:space="preserve">You can collapse the sidebar to icons only using the Collapse button at its foot, which gives the content area more room. On smaller screens the sidebar is hidden behind the menu (☰) button in the top bar.</w:t>
      </w:r>
    </w:p>
    <w:p>
      <w:pPr>
        <w:pStyle w:val="Heading2"/>
        <w:spacing w:after="120" w:before="240"/>
      </w:pPr>
      <w:r>
        <w:rPr>
          <w:color w:val="1E5EFF"/>
        </w:rPr>
        <w:t xml:space="preserve">The main menu</w:t>
      </w:r>
    </w:p>
    <w:p>
      <w:pPr>
        <w:spacing w:after="120" w:line="276"/>
      </w:pPr>
      <w:r>
        <w:rPr>
          <w:color w:val="333333"/>
          <w:sz w:val="21"/>
          <w:szCs w:val="21"/>
        </w:rPr>
        <w:t xml:space="preserve">The sidebar groups features as follows. Some entries expand to reveal sub-items.</w:t>
      </w:r>
    </w:p>
    <w:p>
      <w:pPr>
        <w:spacing w:after="60"/>
      </w:pPr>
    </w:p>
    <w:tbl>
      <w:tblPr>
        <w:tblW w:type="dxa" w:w="9360"/>
        <w:tblBorders>
          <w:top w:val="single" w:color="D1D9E6" w:sz="4"/>
          <w:left w:val="single" w:color="D1D9E6" w:sz="4"/>
          <w:bottom w:val="single" w:color="D1D9E6" w:sz="4"/>
          <w:right w:val="single" w:color="D1D9E6" w:sz="4"/>
          <w:insideH w:val="single" w:color="D1D9E6" w:sz="4"/>
          <w:insideV w:val="single" w:color="D1D9E6" w:sz="4"/>
        </w:tblBorders>
      </w:tblPr>
      <w:tblGrid>
        <w:gridCol w:w="2400"/>
        <w:gridCol w:w="6960"/>
      </w:tblGrid>
      <w:tr>
        <w:trPr>
          <w:tblHeader/>
        </w:trPr>
        <w:tc>
          <w:tcPr>
            <w:tcW w:type="dxa" w:w="2400"/>
            <w:shd w:fill="1E5EFF" w:color="auto" w:val="clear"/>
            <w:tcMar>
              <w:top w:type="dxa" w:w="60"/>
              <w:left w:type="dxa" w:w="110"/>
              <w:bottom w:type="dxa" w:w="60"/>
              <w:right w:type="dxa" w:w="110"/>
            </w:tcMar>
          </w:tcPr>
          <w:p>
            <w:r>
              <w:rPr>
                <w:b/>
                <w:bCs/>
                <w:color w:val="FFFFFF"/>
                <w:sz w:val="20"/>
                <w:szCs w:val="20"/>
              </w:rPr>
              <w:t xml:space="preserve">Menu item</w:t>
            </w:r>
          </w:p>
        </w:tc>
        <w:tc>
          <w:tcPr>
            <w:tcW w:type="dxa" w:w="6960"/>
            <w:shd w:fill="1E5EFF" w:color="auto" w:val="clear"/>
            <w:tcMar>
              <w:top w:type="dxa" w:w="60"/>
              <w:left w:type="dxa" w:w="110"/>
              <w:bottom w:type="dxa" w:w="60"/>
              <w:right w:type="dxa" w:w="110"/>
            </w:tcMar>
          </w:tcPr>
          <w:p>
            <w:r>
              <w:rPr>
                <w:b/>
                <w:bCs/>
                <w:color w:val="FFFFFF"/>
                <w:sz w:val="20"/>
                <w:szCs w:val="20"/>
              </w:rPr>
              <w:t xml:space="preserve">What it does</w:t>
            </w:r>
          </w:p>
        </w:tc>
      </w:tr>
      <w:tr>
        <w:tc>
          <w:tcPr>
            <w:tcW w:type="dxa" w:w="2400"/>
            <w:tcMar>
              <w:top w:type="dxa" w:w="60"/>
              <w:left w:type="dxa" w:w="110"/>
              <w:bottom w:type="dxa" w:w="60"/>
              <w:right w:type="dxa" w:w="110"/>
            </w:tcMar>
          </w:tcPr>
          <w:p>
            <w:r>
              <w:rPr>
                <w:b w:val="false"/>
                <w:bCs w:val="false"/>
                <w:color w:val="333333"/>
                <w:sz w:val="20"/>
                <w:szCs w:val="20"/>
              </w:rPr>
              <w:t xml:space="preserve">Dashboard</w:t>
            </w:r>
          </w:p>
        </w:tc>
        <w:tc>
          <w:tcPr>
            <w:tcW w:type="dxa" w:w="6960"/>
            <w:tcMar>
              <w:top w:type="dxa" w:w="60"/>
              <w:left w:type="dxa" w:w="110"/>
              <w:bottom w:type="dxa" w:w="60"/>
              <w:right w:type="dxa" w:w="110"/>
            </w:tcMar>
          </w:tcPr>
          <w:p>
            <w:r>
              <w:rPr>
                <w:b w:val="false"/>
                <w:bCs w:val="false"/>
                <w:color w:val="333333"/>
                <w:sz w:val="20"/>
                <w:szCs w:val="20"/>
              </w:rPr>
              <w:t xml:space="preserve">Home page with key metrics and quick links.</w:t>
            </w:r>
          </w:p>
        </w:tc>
      </w:tr>
      <w:tr>
        <w:tc>
          <w:tcPr>
            <w:tcW w:type="dxa" w:w="2400"/>
            <w:shd w:fill="F8FAFC" w:color="auto" w:val="clear"/>
            <w:tcMar>
              <w:top w:type="dxa" w:w="60"/>
              <w:left w:type="dxa" w:w="110"/>
              <w:bottom w:type="dxa" w:w="60"/>
              <w:right w:type="dxa" w:w="110"/>
            </w:tcMar>
          </w:tcPr>
          <w:p>
            <w:r>
              <w:rPr>
                <w:b w:val="false"/>
                <w:bCs w:val="false"/>
                <w:color w:val="333333"/>
                <w:sz w:val="20"/>
                <w:szCs w:val="20"/>
              </w:rPr>
              <w:t xml:space="preserve">Assets</w:t>
            </w:r>
          </w:p>
        </w:tc>
        <w:tc>
          <w:tcPr>
            <w:tcW w:type="dxa" w:w="6960"/>
            <w:shd w:fill="F8FAFC" w:color="auto" w:val="clear"/>
            <w:tcMar>
              <w:top w:type="dxa" w:w="60"/>
              <w:left w:type="dxa" w:w="110"/>
              <w:bottom w:type="dxa" w:w="60"/>
              <w:right w:type="dxa" w:w="110"/>
            </w:tcMar>
          </w:tcPr>
          <w:p>
            <w:r>
              <w:rPr>
                <w:b w:val="false"/>
                <w:bCs w:val="false"/>
                <w:color w:val="333333"/>
                <w:sz w:val="20"/>
                <w:szCs w:val="20"/>
              </w:rPr>
              <w:t xml:space="preserve">Register, view, assign, maintain, and dispose of IT assets.</w:t>
            </w:r>
          </w:p>
        </w:tc>
      </w:tr>
      <w:tr>
        <w:tc>
          <w:tcPr>
            <w:tcW w:type="dxa" w:w="2400"/>
            <w:tcMar>
              <w:top w:type="dxa" w:w="60"/>
              <w:left w:type="dxa" w:w="110"/>
              <w:bottom w:type="dxa" w:w="60"/>
              <w:right w:type="dxa" w:w="110"/>
            </w:tcMar>
          </w:tcPr>
          <w:p>
            <w:r>
              <w:rPr>
                <w:b w:val="false"/>
                <w:bCs w:val="false"/>
                <w:color w:val="333333"/>
                <w:sz w:val="20"/>
                <w:szCs w:val="20"/>
              </w:rPr>
              <w:t xml:space="preserve">Licenses</w:t>
            </w:r>
          </w:p>
        </w:tc>
        <w:tc>
          <w:tcPr>
            <w:tcW w:type="dxa" w:w="6960"/>
            <w:tcMar>
              <w:top w:type="dxa" w:w="60"/>
              <w:left w:type="dxa" w:w="110"/>
              <w:bottom w:type="dxa" w:w="60"/>
              <w:right w:type="dxa" w:w="110"/>
            </w:tcMar>
          </w:tcPr>
          <w:p>
            <w:r>
              <w:rPr>
                <w:b w:val="false"/>
                <w:bCs w:val="false"/>
                <w:color w:val="333333"/>
                <w:sz w:val="20"/>
                <w:szCs w:val="20"/>
              </w:rPr>
              <w:t xml:space="preserve">Manage software licenses, seats, and renewals.</w:t>
            </w:r>
          </w:p>
        </w:tc>
      </w:tr>
      <w:tr>
        <w:tc>
          <w:tcPr>
            <w:tcW w:type="dxa" w:w="2400"/>
            <w:shd w:fill="F8FAFC" w:color="auto" w:val="clear"/>
            <w:tcMar>
              <w:top w:type="dxa" w:w="60"/>
              <w:left w:type="dxa" w:w="110"/>
              <w:bottom w:type="dxa" w:w="60"/>
              <w:right w:type="dxa" w:w="110"/>
            </w:tcMar>
          </w:tcPr>
          <w:p>
            <w:r>
              <w:rPr>
                <w:b w:val="false"/>
                <w:bCs w:val="false"/>
                <w:color w:val="333333"/>
                <w:sz w:val="20"/>
                <w:szCs w:val="20"/>
              </w:rPr>
              <w:t xml:space="preserve">Inventory</w:t>
            </w:r>
          </w:p>
        </w:tc>
        <w:tc>
          <w:tcPr>
            <w:tcW w:type="dxa" w:w="6960"/>
            <w:shd w:fill="F8FAFC" w:color="auto" w:val="clear"/>
            <w:tcMar>
              <w:top w:type="dxa" w:w="60"/>
              <w:left w:type="dxa" w:w="110"/>
              <w:bottom w:type="dxa" w:w="60"/>
              <w:right w:type="dxa" w:w="110"/>
            </w:tcMar>
          </w:tcPr>
          <w:p>
            <w:r>
              <w:rPr>
                <w:b w:val="false"/>
                <w:bCs w:val="false"/>
                <w:color w:val="333333"/>
                <w:sz w:val="20"/>
                <w:szCs w:val="20"/>
              </w:rPr>
              <w:t xml:space="preserve">Manage consumables, purchases, stock, and assignments.</w:t>
            </w:r>
          </w:p>
        </w:tc>
      </w:tr>
      <w:tr>
        <w:tc>
          <w:tcPr>
            <w:tcW w:type="dxa" w:w="2400"/>
            <w:tcMar>
              <w:top w:type="dxa" w:w="60"/>
              <w:left w:type="dxa" w:w="110"/>
              <w:bottom w:type="dxa" w:w="60"/>
              <w:right w:type="dxa" w:w="110"/>
            </w:tcMar>
          </w:tcPr>
          <w:p>
            <w:r>
              <w:rPr>
                <w:b w:val="false"/>
                <w:bCs w:val="false"/>
                <w:color w:val="333333"/>
                <w:sz w:val="20"/>
                <w:szCs w:val="20"/>
              </w:rPr>
              <w:t xml:space="preserve">Analytics</w:t>
            </w:r>
          </w:p>
        </w:tc>
        <w:tc>
          <w:tcPr>
            <w:tcW w:type="dxa" w:w="6960"/>
            <w:tcMar>
              <w:top w:type="dxa" w:w="60"/>
              <w:left w:type="dxa" w:w="110"/>
              <w:bottom w:type="dxa" w:w="60"/>
              <w:right w:type="dxa" w:w="110"/>
            </w:tcMar>
          </w:tcPr>
          <w:p>
            <w:r>
              <w:rPr>
                <w:b w:val="false"/>
                <w:bCs w:val="false"/>
                <w:color w:val="333333"/>
                <w:sz w:val="20"/>
                <w:szCs w:val="20"/>
              </w:rPr>
              <w:t xml:space="preserve">Charts and visual analytics across all modules.</w:t>
            </w:r>
          </w:p>
        </w:tc>
      </w:tr>
      <w:tr>
        <w:tc>
          <w:tcPr>
            <w:tcW w:type="dxa" w:w="2400"/>
            <w:shd w:fill="F8FAFC" w:color="auto" w:val="clear"/>
            <w:tcMar>
              <w:top w:type="dxa" w:w="60"/>
              <w:left w:type="dxa" w:w="110"/>
              <w:bottom w:type="dxa" w:w="60"/>
              <w:right w:type="dxa" w:w="110"/>
            </w:tcMar>
          </w:tcPr>
          <w:p>
            <w:r>
              <w:rPr>
                <w:b w:val="false"/>
                <w:bCs w:val="false"/>
                <w:color w:val="333333"/>
                <w:sz w:val="20"/>
                <w:szCs w:val="20"/>
              </w:rPr>
              <w:t xml:space="preserve">Audit</w:t>
            </w:r>
          </w:p>
        </w:tc>
        <w:tc>
          <w:tcPr>
            <w:tcW w:type="dxa" w:w="6960"/>
            <w:shd w:fill="F8FAFC" w:color="auto" w:val="clear"/>
            <w:tcMar>
              <w:top w:type="dxa" w:w="60"/>
              <w:left w:type="dxa" w:w="110"/>
              <w:bottom w:type="dxa" w:w="60"/>
              <w:right w:type="dxa" w:w="110"/>
            </w:tcMar>
          </w:tcPr>
          <w:p>
            <w:r>
              <w:rPr>
                <w:b w:val="false"/>
                <w:bCs w:val="false"/>
                <w:color w:val="333333"/>
                <w:sz w:val="20"/>
                <w:szCs w:val="20"/>
              </w:rPr>
              <w:t xml:space="preserve">Audit overview plus asset, license, and inventory audit views.</w:t>
            </w:r>
          </w:p>
        </w:tc>
      </w:tr>
      <w:tr>
        <w:tc>
          <w:tcPr>
            <w:tcW w:type="dxa" w:w="2400"/>
            <w:tcMar>
              <w:top w:type="dxa" w:w="60"/>
              <w:left w:type="dxa" w:w="110"/>
              <w:bottom w:type="dxa" w:w="60"/>
              <w:right w:type="dxa" w:w="110"/>
            </w:tcMar>
          </w:tcPr>
          <w:p>
            <w:r>
              <w:rPr>
                <w:b w:val="false"/>
                <w:bCs w:val="false"/>
                <w:color w:val="333333"/>
                <w:sz w:val="20"/>
                <w:szCs w:val="20"/>
              </w:rPr>
              <w:t xml:space="preserve">Admin</w:t>
            </w:r>
          </w:p>
        </w:tc>
        <w:tc>
          <w:tcPr>
            <w:tcW w:type="dxa" w:w="6960"/>
            <w:tcMar>
              <w:top w:type="dxa" w:w="60"/>
              <w:left w:type="dxa" w:w="110"/>
              <w:bottom w:type="dxa" w:w="60"/>
              <w:right w:type="dxa" w:w="110"/>
            </w:tcMar>
          </w:tcPr>
          <w:p>
            <w:r>
              <w:rPr>
                <w:b w:val="false"/>
                <w:bCs w:val="false"/>
                <w:color w:val="333333"/>
                <w:sz w:val="20"/>
                <w:szCs w:val="20"/>
              </w:rPr>
              <w:t xml:space="preserve">Users, roles, permissions, master data, and system settings.</w:t>
            </w:r>
          </w:p>
        </w:tc>
      </w:tr>
    </w:tbl>
    <w:p>
      <w:pPr>
        <w:spacing w:after="60"/>
      </w:pPr>
    </w:p>
    <w:tbl>
      <w:tblPr>
        <w:tblW w:type="dxa" w:w="9360"/>
        <w:tblBorders>
          <w:top w:val="single" w:color="1E5EFF" w:sz="4"/>
          <w:left w:val="single" w:color="1E5EFF" w:sz="24"/>
          <w:bottom w:val="single" w:color="1E5EFF" w:sz="4"/>
          <w:right w:val="single" w:color="1E5EFF" w:sz="4"/>
          <w:insideH w:val="none"/>
          <w:insideV w:val="none"/>
        </w:tblBorders>
      </w:tblPr>
      <w:tblGrid>
        <w:gridCol w:w="9360"/>
      </w:tblGrid>
      <w:tr>
        <w:tc>
          <w:tcPr>
            <w:tcW w:type="dxa" w:w="9360"/>
            <w:shd w:fill="F3F6FC" w:color="auto" w:val="clear"/>
            <w:tcMar>
              <w:top w:type="dxa" w:w="100"/>
              <w:left w:type="dxa" w:w="160"/>
              <w:bottom w:type="dxa" w:w="100"/>
              <w:right w:type="dxa" w:w="160"/>
            </w:tcMar>
          </w:tcPr>
          <w:p>
            <w:r>
              <w:rPr>
                <w:b/>
                <w:bCs/>
                <w:color w:val="1E5EFF"/>
                <w:sz w:val="20"/>
                <w:szCs w:val="20"/>
              </w:rPr>
              <w:t xml:space="preserve">Note:  </w:t>
            </w:r>
            <w:r>
              <w:rPr>
                <w:color w:val="333333"/>
                <w:sz w:val="20"/>
                <w:szCs w:val="20"/>
              </w:rPr>
              <w:t xml:space="preserve">If a menu item described in this guide is not visible to you, your role does not include the permission required to use it. Contact your administrator if you believe you need access.</w:t>
            </w:r>
          </w:p>
        </w:tc>
      </w:tr>
    </w:tbl>
    <w:p>
      <w:pPr>
        <w:pStyle w:val="Heading1"/>
        <w:spacing w:after="160" w:before="320"/>
      </w:pPr>
      <w:r>
        <w:rPr>
          <w:color w:val="1F2937"/>
        </w:rPr>
        <w:t xml:space="preserve">4. Understanding Roles &amp; Permissions</w:t>
      </w:r>
    </w:p>
    <w:p>
      <w:pPr>
        <w:spacing w:after="120" w:line="276"/>
      </w:pPr>
      <w:r>
        <w:rPr>
          <w:color w:val="333333"/>
          <w:sz w:val="21"/>
          <w:szCs w:val="21"/>
        </w:rPr>
        <w:t xml:space="preserve">The application uses Role-Based Access Control (RBAC). Every user is assigned a role, and each role grants a set of permissions that determine which menus and actions are available. The standard roles are:</w:t>
      </w:r>
    </w:p>
    <w:p>
      <w:pPr>
        <w:spacing w:after="60"/>
      </w:pPr>
    </w:p>
    <w:tbl>
      <w:tblPr>
        <w:tblW w:type="dxa" w:w="9360"/>
        <w:tblBorders>
          <w:top w:val="single" w:color="D1D9E6" w:sz="4"/>
          <w:left w:val="single" w:color="D1D9E6" w:sz="4"/>
          <w:bottom w:val="single" w:color="D1D9E6" w:sz="4"/>
          <w:right w:val="single" w:color="D1D9E6" w:sz="4"/>
          <w:insideH w:val="single" w:color="D1D9E6" w:sz="4"/>
          <w:insideV w:val="single" w:color="D1D9E6" w:sz="4"/>
        </w:tblBorders>
      </w:tblPr>
      <w:tblGrid>
        <w:gridCol w:w="2100"/>
        <w:gridCol w:w="7260"/>
      </w:tblGrid>
      <w:tr>
        <w:trPr>
          <w:tblHeader/>
        </w:trPr>
        <w:tc>
          <w:tcPr>
            <w:tcW w:type="dxa" w:w="2100"/>
            <w:shd w:fill="1E5EFF" w:color="auto" w:val="clear"/>
            <w:tcMar>
              <w:top w:type="dxa" w:w="60"/>
              <w:left w:type="dxa" w:w="110"/>
              <w:bottom w:type="dxa" w:w="60"/>
              <w:right w:type="dxa" w:w="110"/>
            </w:tcMar>
          </w:tcPr>
          <w:p>
            <w:r>
              <w:rPr>
                <w:b/>
                <w:bCs/>
                <w:color w:val="FFFFFF"/>
                <w:sz w:val="20"/>
                <w:szCs w:val="20"/>
              </w:rPr>
              <w:t xml:space="preserve">Role</w:t>
            </w:r>
          </w:p>
        </w:tc>
        <w:tc>
          <w:tcPr>
            <w:tcW w:type="dxa" w:w="7260"/>
            <w:shd w:fill="1E5EFF" w:color="auto" w:val="clear"/>
            <w:tcMar>
              <w:top w:type="dxa" w:w="60"/>
              <w:left w:type="dxa" w:w="110"/>
              <w:bottom w:type="dxa" w:w="60"/>
              <w:right w:type="dxa" w:w="110"/>
            </w:tcMar>
          </w:tcPr>
          <w:p>
            <w:r>
              <w:rPr>
                <w:b/>
                <w:bCs/>
                <w:color w:val="FFFFFF"/>
                <w:sz w:val="20"/>
                <w:szCs w:val="20"/>
              </w:rPr>
              <w:t xml:space="preserve">Typical access</w:t>
            </w:r>
          </w:p>
        </w:tc>
      </w:tr>
      <w:tr>
        <w:tc>
          <w:tcPr>
            <w:tcW w:type="dxa" w:w="2100"/>
            <w:tcMar>
              <w:top w:type="dxa" w:w="60"/>
              <w:left w:type="dxa" w:w="110"/>
              <w:bottom w:type="dxa" w:w="60"/>
              <w:right w:type="dxa" w:w="110"/>
            </w:tcMar>
          </w:tcPr>
          <w:p>
            <w:r>
              <w:rPr>
                <w:b w:val="false"/>
                <w:bCs w:val="false"/>
                <w:color w:val="333333"/>
                <w:sz w:val="20"/>
                <w:szCs w:val="20"/>
              </w:rPr>
              <w:t xml:space="preserve">Admin</w:t>
            </w:r>
          </w:p>
        </w:tc>
        <w:tc>
          <w:tcPr>
            <w:tcW w:type="dxa" w:w="7260"/>
            <w:tcMar>
              <w:top w:type="dxa" w:w="60"/>
              <w:left w:type="dxa" w:w="110"/>
              <w:bottom w:type="dxa" w:w="60"/>
              <w:right w:type="dxa" w:w="110"/>
            </w:tcMar>
          </w:tcPr>
          <w:p>
            <w:r>
              <w:rPr>
                <w:b w:val="false"/>
                <w:bCs w:val="false"/>
                <w:color w:val="333333"/>
                <w:sz w:val="20"/>
                <w:szCs w:val="20"/>
              </w:rPr>
              <w:t xml:space="preserve">Full system access, including users, roles, permissions, and settings.</w:t>
            </w:r>
          </w:p>
        </w:tc>
      </w:tr>
      <w:tr>
        <w:tc>
          <w:tcPr>
            <w:tcW w:type="dxa" w:w="2100"/>
            <w:shd w:fill="F8FAFC" w:color="auto" w:val="clear"/>
            <w:tcMar>
              <w:top w:type="dxa" w:w="60"/>
              <w:left w:type="dxa" w:w="110"/>
              <w:bottom w:type="dxa" w:w="60"/>
              <w:right w:type="dxa" w:w="110"/>
            </w:tcMar>
          </w:tcPr>
          <w:p>
            <w:r>
              <w:rPr>
                <w:b w:val="false"/>
                <w:bCs w:val="false"/>
                <w:color w:val="333333"/>
                <w:sz w:val="20"/>
                <w:szCs w:val="20"/>
              </w:rPr>
              <w:t xml:space="preserve">IT</w:t>
            </w:r>
          </w:p>
        </w:tc>
        <w:tc>
          <w:tcPr>
            <w:tcW w:type="dxa" w:w="7260"/>
            <w:shd w:fill="F8FAFC" w:color="auto" w:val="clear"/>
            <w:tcMar>
              <w:top w:type="dxa" w:w="60"/>
              <w:left w:type="dxa" w:w="110"/>
              <w:bottom w:type="dxa" w:w="60"/>
              <w:right w:type="dxa" w:w="110"/>
            </w:tcMar>
          </w:tcPr>
          <w:p>
            <w:r>
              <w:rPr>
                <w:b w:val="false"/>
                <w:bCs w:val="false"/>
                <w:color w:val="333333"/>
                <w:sz w:val="20"/>
                <w:szCs w:val="20"/>
              </w:rPr>
              <w:t xml:space="preserve">Manage assets and inventory for the IT department.</w:t>
            </w:r>
          </w:p>
        </w:tc>
      </w:tr>
      <w:tr>
        <w:tc>
          <w:tcPr>
            <w:tcW w:type="dxa" w:w="2100"/>
            <w:tcMar>
              <w:top w:type="dxa" w:w="60"/>
              <w:left w:type="dxa" w:w="110"/>
              <w:bottom w:type="dxa" w:w="60"/>
              <w:right w:type="dxa" w:w="110"/>
            </w:tcMar>
          </w:tcPr>
          <w:p>
            <w:r>
              <w:rPr>
                <w:b w:val="false"/>
                <w:bCs w:val="false"/>
                <w:color w:val="333333"/>
                <w:sz w:val="20"/>
                <w:szCs w:val="20"/>
              </w:rPr>
              <w:t xml:space="preserve">IT Helpdesk</w:t>
            </w:r>
          </w:p>
        </w:tc>
        <w:tc>
          <w:tcPr>
            <w:tcW w:type="dxa" w:w="7260"/>
            <w:tcMar>
              <w:top w:type="dxa" w:w="60"/>
              <w:left w:type="dxa" w:w="110"/>
              <w:bottom w:type="dxa" w:w="60"/>
              <w:right w:type="dxa" w:w="110"/>
            </w:tcMar>
          </w:tcPr>
          <w:p>
            <w:r>
              <w:rPr>
                <w:b w:val="false"/>
                <w:bCs w:val="false"/>
                <w:color w:val="333333"/>
                <w:sz w:val="20"/>
                <w:szCs w:val="20"/>
              </w:rPr>
              <w:t xml:space="preserve">Manage assets, inventory, and regular users.</w:t>
            </w:r>
          </w:p>
        </w:tc>
      </w:tr>
      <w:tr>
        <w:tc>
          <w:tcPr>
            <w:tcW w:type="dxa" w:w="2100"/>
            <w:shd w:fill="F8FAFC" w:color="auto" w:val="clear"/>
            <w:tcMar>
              <w:top w:type="dxa" w:w="60"/>
              <w:left w:type="dxa" w:w="110"/>
              <w:bottom w:type="dxa" w:w="60"/>
              <w:right w:type="dxa" w:w="110"/>
            </w:tcMar>
          </w:tcPr>
          <w:p>
            <w:r>
              <w:rPr>
                <w:b w:val="false"/>
                <w:bCs w:val="false"/>
                <w:color w:val="333333"/>
                <w:sz w:val="20"/>
                <w:szCs w:val="20"/>
              </w:rPr>
              <w:t xml:space="preserve">Manager</w:t>
            </w:r>
          </w:p>
        </w:tc>
        <w:tc>
          <w:tcPr>
            <w:tcW w:type="dxa" w:w="7260"/>
            <w:shd w:fill="F8FAFC" w:color="auto" w:val="clear"/>
            <w:tcMar>
              <w:top w:type="dxa" w:w="60"/>
              <w:left w:type="dxa" w:w="110"/>
              <w:bottom w:type="dxa" w:w="60"/>
              <w:right w:type="dxa" w:w="110"/>
            </w:tcMar>
          </w:tcPr>
          <w:p>
            <w:r>
              <w:rPr>
                <w:b w:val="false"/>
                <w:bCs w:val="false"/>
                <w:color w:val="333333"/>
                <w:sz w:val="20"/>
                <w:szCs w:val="20"/>
              </w:rPr>
              <w:t xml:space="preserve">Department or location manager; oversight of assigned resources.</w:t>
            </w:r>
          </w:p>
        </w:tc>
      </w:tr>
      <w:tr>
        <w:tc>
          <w:tcPr>
            <w:tcW w:type="dxa" w:w="2100"/>
            <w:tcMar>
              <w:top w:type="dxa" w:w="60"/>
              <w:left w:type="dxa" w:w="110"/>
              <w:bottom w:type="dxa" w:w="60"/>
              <w:right w:type="dxa" w:w="110"/>
            </w:tcMar>
          </w:tcPr>
          <w:p>
            <w:r>
              <w:rPr>
                <w:b w:val="false"/>
                <w:bCs w:val="false"/>
                <w:color w:val="333333"/>
                <w:sz w:val="20"/>
                <w:szCs w:val="20"/>
              </w:rPr>
              <w:t xml:space="preserve">Auditor</w:t>
            </w:r>
          </w:p>
        </w:tc>
        <w:tc>
          <w:tcPr>
            <w:tcW w:type="dxa" w:w="7260"/>
            <w:tcMar>
              <w:top w:type="dxa" w:w="60"/>
              <w:left w:type="dxa" w:w="110"/>
              <w:bottom w:type="dxa" w:w="60"/>
              <w:right w:type="dxa" w:w="110"/>
            </w:tcMar>
          </w:tcPr>
          <w:p>
            <w:r>
              <w:rPr>
                <w:b w:val="false"/>
                <w:bCs w:val="false"/>
                <w:color w:val="333333"/>
                <w:sz w:val="20"/>
                <w:szCs w:val="20"/>
              </w:rPr>
              <w:t xml:space="preserve">Read-only access for compliance and audit reviews.</w:t>
            </w:r>
          </w:p>
        </w:tc>
      </w:tr>
      <w:tr>
        <w:tc>
          <w:tcPr>
            <w:tcW w:type="dxa" w:w="2100"/>
            <w:shd w:fill="F8FAFC" w:color="auto" w:val="clear"/>
            <w:tcMar>
              <w:top w:type="dxa" w:w="60"/>
              <w:left w:type="dxa" w:w="110"/>
              <w:bottom w:type="dxa" w:w="60"/>
              <w:right w:type="dxa" w:w="110"/>
            </w:tcMar>
          </w:tcPr>
          <w:p>
            <w:r>
              <w:rPr>
                <w:b w:val="false"/>
                <w:bCs w:val="false"/>
                <w:color w:val="333333"/>
                <w:sz w:val="20"/>
                <w:szCs w:val="20"/>
              </w:rPr>
              <w:t xml:space="preserve">Standard User</w:t>
            </w:r>
          </w:p>
        </w:tc>
        <w:tc>
          <w:tcPr>
            <w:tcW w:type="dxa" w:w="7260"/>
            <w:shd w:fill="F8FAFC" w:color="auto" w:val="clear"/>
            <w:tcMar>
              <w:top w:type="dxa" w:w="60"/>
              <w:left w:type="dxa" w:w="110"/>
              <w:bottom w:type="dxa" w:w="60"/>
              <w:right w:type="dxa" w:w="110"/>
            </w:tcMar>
          </w:tcPr>
          <w:p>
            <w:r>
              <w:rPr>
                <w:b w:val="false"/>
                <w:bCs w:val="false"/>
                <w:color w:val="333333"/>
                <w:sz w:val="20"/>
                <w:szCs w:val="20"/>
              </w:rPr>
              <w:t xml:space="preserve">Regular employee with self-service access to their own holdings and profile.</w:t>
            </w:r>
          </w:p>
        </w:tc>
      </w:tr>
    </w:tbl>
    <w:p>
      <w:pPr>
        <w:spacing w:after="60"/>
      </w:pPr>
    </w:p>
    <w:p>
      <w:pPr>
        <w:spacing w:after="120" w:line="276"/>
      </w:pPr>
      <w:r>
        <w:rPr>
          <w:color w:val="333333"/>
          <w:sz w:val="21"/>
          <w:szCs w:val="21"/>
        </w:rPr>
        <w:t xml:space="preserve">Because the menu adapts to your permissions, two users with different roles may see different options. This guide describes the full set of features; you will only be able to use those your role permits.</w:t>
      </w:r>
    </w:p>
    <w:p>
      <w:pPr>
        <w:pStyle w:val="Heading1"/>
        <w:spacing w:after="160" w:before="320"/>
      </w:pPr>
      <w:r>
        <w:rPr>
          <w:color w:val="1F2937"/>
        </w:rPr>
        <w:t xml:space="preserve">5. The Dashboard</w:t>
      </w:r>
    </w:p>
    <w:p>
      <w:pPr>
        <w:spacing w:after="120" w:line="276"/>
      </w:pPr>
      <w:r>
        <w:rPr>
          <w:color w:val="333333"/>
          <w:sz w:val="21"/>
          <w:szCs w:val="21"/>
        </w:rPr>
        <w:t xml:space="preserve">The Dashboard is your landing page. It summarizes the current state of your assets, licenses, and inventory at a glance, using metric cards (KPIs), widgets, and charts. Use it to spot items that need attention — such as assets due for maintenance, licenses nearing renewal, or inventory running low — and to jump straight into the relevant module.</w:t>
      </w:r>
    </w:p>
    <w:p>
      <w:pPr>
        <w:pStyle w:val="Heading3"/>
        <w:spacing w:after="80" w:before="180"/>
      </w:pPr>
      <w:r>
        <w:rPr>
          <w:color w:val="1F2937"/>
        </w:rPr>
        <w:t xml:space="preserve">Working with the Dashboard</w:t>
      </w:r>
    </w:p>
    <w:p>
      <w:pPr>
        <w:pStyle w:val="ListParagraph"/>
        <w:numPr>
          <w:ilvl w:val="0"/>
          <w:numId w:val="2"/>
        </w:numPr>
        <w:spacing w:after="60" w:line="276"/>
      </w:pPr>
      <w:r>
        <w:rPr>
          <w:color w:val="333333"/>
          <w:sz w:val="21"/>
          <w:szCs w:val="21"/>
        </w:rPr>
        <w:t xml:space="preserve">Metric cards show totals such as the number of assets, active licenses, and stock items.</w:t>
      </w:r>
    </w:p>
    <w:p>
      <w:pPr>
        <w:pStyle w:val="ListParagraph"/>
        <w:numPr>
          <w:ilvl w:val="0"/>
          <w:numId w:val="2"/>
        </w:numPr>
        <w:spacing w:after="60" w:line="276"/>
      </w:pPr>
      <w:r>
        <w:rPr>
          <w:color w:val="333333"/>
          <w:sz w:val="21"/>
          <w:szCs w:val="21"/>
        </w:rPr>
        <w:t xml:space="preserve">Widgets and charts highlight trends and breakdowns, for example assets by category or status.</w:t>
      </w:r>
    </w:p>
    <w:p>
      <w:pPr>
        <w:pStyle w:val="ListParagraph"/>
        <w:numPr>
          <w:ilvl w:val="0"/>
          <w:numId w:val="2"/>
        </w:numPr>
        <w:spacing w:after="60" w:line="276"/>
      </w:pPr>
      <w:r>
        <w:rPr>
          <w:color w:val="333333"/>
          <w:sz w:val="21"/>
          <w:szCs w:val="21"/>
        </w:rPr>
        <w:t xml:space="preserve">Click a card or widget to navigate to the underlying list, already filtered where applicable.</w:t>
      </w:r>
    </w:p>
    <w:p>
      <w:pPr>
        <w:pStyle w:val="Heading1"/>
        <w:spacing w:after="160" w:before="320"/>
      </w:pPr>
      <w:r>
        <w:rPr>
          <w:color w:val="1F2937"/>
        </w:rPr>
        <w:t xml:space="preserve">6. Managing Assets</w:t>
      </w:r>
    </w:p>
    <w:p>
      <w:pPr>
        <w:spacing w:after="120" w:line="276"/>
      </w:pPr>
      <w:r>
        <w:rPr>
          <w:color w:val="333333"/>
          <w:sz w:val="21"/>
          <w:szCs w:val="21"/>
        </w:rPr>
        <w:t xml:space="preserve">The Assets module (Assets in the sidebar) is where you register and manage every IT asset. Each asset moves through a lifecycle: it is added, optionally assigned (deployed) to a user, may go into maintenance, and is eventually disposed of.</w:t>
      </w:r>
    </w:p>
    <w:p>
      <w:pPr>
        <w:pStyle w:val="Heading2"/>
        <w:spacing w:after="120" w:before="240"/>
      </w:pPr>
      <w:r>
        <w:rPr>
          <w:color w:val="1E5EFF"/>
        </w:rPr>
        <w:t xml:space="preserve">The asset list</w:t>
      </w:r>
    </w:p>
    <w:p>
      <w:pPr>
        <w:spacing w:after="120" w:line="276"/>
      </w:pPr>
      <w:r>
        <w:rPr>
          <w:color w:val="333333"/>
          <w:sz w:val="21"/>
          <w:szCs w:val="21"/>
        </w:rPr>
        <w:t xml:space="preserve">The Assets page opens on a list of all assets, with summary cards at the top. Above the list you can:</w:t>
      </w:r>
    </w:p>
    <w:p>
      <w:pPr>
        <w:pStyle w:val="ListParagraph"/>
        <w:numPr>
          <w:ilvl w:val="0"/>
          <w:numId w:val="2"/>
        </w:numPr>
        <w:spacing w:after="60" w:line="276"/>
      </w:pPr>
      <w:r>
        <w:rPr>
          <w:color w:val="333333"/>
          <w:sz w:val="21"/>
          <w:szCs w:val="21"/>
        </w:rPr>
        <w:t xml:space="preserve">Switch between tabs — All, Available, Deployed, Maintenance, and Disposed — to filter by lifecycle state.</w:t>
      </w:r>
    </w:p>
    <w:p>
      <w:pPr>
        <w:pStyle w:val="ListParagraph"/>
        <w:numPr>
          <w:ilvl w:val="0"/>
          <w:numId w:val="2"/>
        </w:numPr>
        <w:spacing w:after="60" w:line="276"/>
      </w:pPr>
      <w:r>
        <w:rPr>
          <w:color w:val="333333"/>
          <w:sz w:val="21"/>
          <w:szCs w:val="21"/>
        </w:rPr>
        <w:t xml:space="preserve">Search by name, tag, or other details using the search box.</w:t>
      </w:r>
    </w:p>
    <w:p>
      <w:pPr>
        <w:pStyle w:val="ListParagraph"/>
        <w:numPr>
          <w:ilvl w:val="0"/>
          <w:numId w:val="2"/>
        </w:numPr>
        <w:spacing w:after="60" w:line="276"/>
      </w:pPr>
      <w:r>
        <w:rPr>
          <w:color w:val="333333"/>
          <w:sz w:val="21"/>
          <w:szCs w:val="21"/>
        </w:rPr>
        <w:t xml:space="preserve">Sort columns by clicking their headers.</w:t>
      </w:r>
    </w:p>
    <w:p>
      <w:pPr>
        <w:pStyle w:val="ListParagraph"/>
        <w:numPr>
          <w:ilvl w:val="0"/>
          <w:numId w:val="2"/>
        </w:numPr>
        <w:spacing w:after="60" w:line="276"/>
      </w:pPr>
      <w:r>
        <w:rPr>
          <w:color w:val="333333"/>
          <w:sz w:val="21"/>
          <w:szCs w:val="21"/>
        </w:rPr>
        <w:t xml:space="preserve">Import assets from, or export them to, a spreadsheet (CSV/Excel) using the toolbar options.</w:t>
      </w:r>
    </w:p>
    <w:p>
      <w:pPr>
        <w:pStyle w:val="Heading2"/>
        <w:spacing w:after="120" w:before="240"/>
      </w:pPr>
      <w:r>
        <w:rPr>
          <w:color w:val="1E5EFF"/>
        </w:rPr>
        <w:t xml:space="preserve">Adding an asset</w:t>
      </w:r>
    </w:p>
    <w:p>
      <w:pPr>
        <w:pStyle w:val="ListParagraph"/>
        <w:numPr>
          <w:ilvl w:val="0"/>
          <w:numId w:val="4"/>
        </w:numPr>
        <w:spacing w:after="80" w:line="276"/>
      </w:pPr>
      <w:r>
        <w:rPr>
          <w:color w:val="333333"/>
          <w:sz w:val="21"/>
          <w:szCs w:val="21"/>
        </w:rPr>
        <w:t xml:space="preserve">Click the Add Asset (+) button at the top of the Assets page.</w:t>
      </w:r>
    </w:p>
    <w:p>
      <w:pPr>
        <w:pStyle w:val="ListParagraph"/>
        <w:numPr>
          <w:ilvl w:val="0"/>
          <w:numId w:val="4"/>
        </w:numPr>
        <w:spacing w:after="80" w:line="276"/>
      </w:pPr>
      <w:r>
        <w:rPr>
          <w:color w:val="333333"/>
          <w:sz w:val="21"/>
          <w:szCs w:val="21"/>
        </w:rPr>
        <w:t xml:space="preserve">Fill in the asset details — name, category, brand, vendor, serial number, purchase cost and date, condition, status, and warranty information.</w:t>
      </w:r>
    </w:p>
    <w:p>
      <w:pPr>
        <w:pStyle w:val="ListParagraph"/>
        <w:numPr>
          <w:ilvl w:val="0"/>
          <w:numId w:val="4"/>
        </w:numPr>
        <w:spacing w:after="80" w:line="276"/>
      </w:pPr>
      <w:r>
        <w:rPr>
          <w:color w:val="333333"/>
          <w:sz w:val="21"/>
          <w:szCs w:val="21"/>
        </w:rPr>
        <w:t xml:space="preserve">Optionally attach photos of the asset.</w:t>
      </w:r>
    </w:p>
    <w:p>
      <w:pPr>
        <w:pStyle w:val="ListParagraph"/>
        <w:numPr>
          <w:ilvl w:val="0"/>
          <w:numId w:val="4"/>
        </w:numPr>
        <w:spacing w:after="80" w:line="276"/>
      </w:pPr>
      <w:r>
        <w:rPr>
          <w:color w:val="333333"/>
          <w:sz w:val="21"/>
          <w:szCs w:val="21"/>
        </w:rPr>
        <w:t xml:space="preserve">Click Save. The asset appears in the list with an Available status.</w:t>
      </w:r>
    </w:p>
    <w:p>
      <w:pPr>
        <w:pStyle w:val="Heading2"/>
        <w:spacing w:after="120" w:before="240"/>
      </w:pPr>
      <w:r>
        <w:rPr>
          <w:color w:val="1E5EFF"/>
        </w:rPr>
        <w:t xml:space="preserve">Viewing and editing an asset</w:t>
      </w:r>
    </w:p>
    <w:p>
      <w:pPr>
        <w:spacing w:after="120" w:line="276"/>
      </w:pPr>
      <w:r>
        <w:rPr>
          <w:color w:val="333333"/>
          <w:sz w:val="21"/>
          <w:szCs w:val="21"/>
        </w:rPr>
        <w:t xml:space="preserve">Click an asset (or the Eye / View action) to open its detail page, which shows all recorded information, assignment history, photos, and an audit trail. Use the Edit action to update any field. Changes are recorded in the asset’s audit log.</w:t>
      </w:r>
    </w:p>
    <w:p>
      <w:pPr>
        <w:pStyle w:val="Heading2"/>
        <w:spacing w:after="120" w:before="240"/>
      </w:pPr>
      <w:r>
        <w:rPr>
          <w:color w:val="1E5EFF"/>
        </w:rPr>
        <w:t xml:space="preserve">Assigning (deploying) an asset</w:t>
      </w:r>
    </w:p>
    <w:p>
      <w:pPr>
        <w:spacing w:after="120" w:line="276"/>
      </w:pPr>
      <w:r>
        <w:rPr>
          <w:color w:val="333333"/>
          <w:sz w:val="21"/>
          <w:szCs w:val="21"/>
        </w:rPr>
        <w:t xml:space="preserve">To hand an asset to a user, choose the Deploy action and select the employee it is being assigned to. The asset’s status changes to Deployed. To take it back, use Undeploy, which returns the asset to Available.</w:t>
      </w:r>
    </w:p>
    <w:p>
      <w:pPr>
        <w:pStyle w:val="Heading2"/>
        <w:spacing w:after="120" w:before="240"/>
      </w:pPr>
      <w:r>
        <w:rPr>
          <w:color w:val="1E5EFF"/>
        </w:rPr>
        <w:t xml:space="preserve">Maintenance</w:t>
      </w:r>
    </w:p>
    <w:p>
      <w:pPr>
        <w:spacing w:after="120" w:line="276"/>
      </w:pPr>
      <w:r>
        <w:rPr>
          <w:color w:val="333333"/>
          <w:sz w:val="21"/>
          <w:szCs w:val="21"/>
        </w:rPr>
        <w:t xml:space="preserve">When an asset needs servicing, use the Maintenance action to move it into a Maintenance state and record the reason. When the work is finished, use Complete Maintenance to return it to service.</w:t>
      </w:r>
    </w:p>
    <w:p>
      <w:pPr>
        <w:pStyle w:val="Heading2"/>
        <w:spacing w:after="120" w:before="240"/>
      </w:pPr>
      <w:r>
        <w:rPr>
          <w:color w:val="1E5EFF"/>
        </w:rPr>
        <w:t xml:space="preserve">Disposing of an asset</w:t>
      </w:r>
    </w:p>
    <w:p>
      <w:pPr>
        <w:spacing w:after="120" w:line="276"/>
      </w:pPr>
      <w:r>
        <w:rPr>
          <w:color w:val="333333"/>
          <w:sz w:val="21"/>
          <w:szCs w:val="21"/>
        </w:rPr>
        <w:t xml:space="preserve">At end of life, use the Dispose action, choose a disposal method, and confirm. The asset moves to the Disposed tab and is retained for historical and audit purposes rather than being deleted.</w:t>
      </w:r>
    </w:p>
    <w:p>
      <w:pPr>
        <w:spacing w:after="60"/>
      </w:pPr>
    </w:p>
    <w:tbl>
      <w:tblPr>
        <w:tblW w:type="dxa" w:w="9360"/>
        <w:tblBorders>
          <w:top w:val="single" w:color="1E5EFF" w:sz="4"/>
          <w:left w:val="single" w:color="1E5EFF" w:sz="24"/>
          <w:bottom w:val="single" w:color="1E5EFF" w:sz="4"/>
          <w:right w:val="single" w:color="1E5EFF" w:sz="4"/>
          <w:insideH w:val="none"/>
          <w:insideV w:val="none"/>
        </w:tblBorders>
      </w:tblPr>
      <w:tblGrid>
        <w:gridCol w:w="9360"/>
      </w:tblGrid>
      <w:tr>
        <w:tc>
          <w:tcPr>
            <w:tcW w:type="dxa" w:w="9360"/>
            <w:shd w:fill="F3F6FC" w:color="auto" w:val="clear"/>
            <w:tcMar>
              <w:top w:type="dxa" w:w="100"/>
              <w:left w:type="dxa" w:w="160"/>
              <w:bottom w:type="dxa" w:w="100"/>
              <w:right w:type="dxa" w:w="160"/>
            </w:tcMar>
          </w:tcPr>
          <w:p>
            <w:r>
              <w:rPr>
                <w:b/>
                <w:bCs/>
                <w:color w:val="1E5EFF"/>
                <w:sz w:val="20"/>
                <w:szCs w:val="20"/>
              </w:rPr>
              <w:t xml:space="preserve">Depreciation &amp; warranty:  </w:t>
            </w:r>
            <w:r>
              <w:rPr>
                <w:color w:val="333333"/>
                <w:sz w:val="20"/>
                <w:szCs w:val="20"/>
              </w:rPr>
              <w:t xml:space="preserve">The system tracks each asset’s depreciation automatically from its purchase cost and date, and flags warranties that are approaching expiry so nothing is missed.</w:t>
            </w:r>
          </w:p>
        </w:tc>
      </w:tr>
    </w:tbl>
    <w:p>
      <w:pPr>
        <w:pStyle w:val="Heading1"/>
        <w:spacing w:after="160" w:before="320"/>
      </w:pPr>
      <w:r>
        <w:rPr>
          <w:color w:val="1F2937"/>
        </w:rPr>
        <w:t xml:space="preserve">7. Managing Licenses</w:t>
      </w:r>
    </w:p>
    <w:p>
      <w:pPr>
        <w:spacing w:after="120" w:line="276"/>
      </w:pPr>
      <w:r>
        <w:rPr>
          <w:color w:val="333333"/>
          <w:sz w:val="21"/>
          <w:szCs w:val="21"/>
        </w:rPr>
        <w:t xml:space="preserve">The Licenses module tracks software licenses of all kinds — SaaS, cloud, on-premise, and perpetual — including how many seats are in use versus available, their cost, and when they renew.</w:t>
      </w:r>
    </w:p>
    <w:p>
      <w:pPr>
        <w:pStyle w:val="Heading2"/>
        <w:spacing w:after="120" w:before="240"/>
      </w:pPr>
      <w:r>
        <w:rPr>
          <w:color w:val="1E5EFF"/>
        </w:rPr>
        <w:t xml:space="preserve">The license list</w:t>
      </w:r>
    </w:p>
    <w:p>
      <w:pPr>
        <w:spacing w:after="120" w:line="276"/>
      </w:pPr>
      <w:r>
        <w:rPr>
          <w:color w:val="333333"/>
          <w:sz w:val="21"/>
          <w:szCs w:val="21"/>
        </w:rPr>
        <w:t xml:space="preserve">The Licenses page lists all licenses with their key details and compliance status. Search and filter to find a specific license, and click one to open its details.</w:t>
      </w:r>
    </w:p>
    <w:p>
      <w:pPr>
        <w:pStyle w:val="Heading2"/>
        <w:spacing w:after="120" w:before="240"/>
      </w:pPr>
      <w:r>
        <w:rPr>
          <w:color w:val="1E5EFF"/>
        </w:rPr>
        <w:t xml:space="preserve">Adding a license</w:t>
      </w:r>
    </w:p>
    <w:p>
      <w:pPr>
        <w:pStyle w:val="ListParagraph"/>
        <w:numPr>
          <w:ilvl w:val="0"/>
          <w:numId w:val="5"/>
        </w:numPr>
        <w:spacing w:after="80" w:line="276"/>
      </w:pPr>
      <w:r>
        <w:rPr>
          <w:color w:val="333333"/>
          <w:sz w:val="21"/>
          <w:szCs w:val="21"/>
        </w:rPr>
        <w:t xml:space="preserve">Click Add License.</w:t>
      </w:r>
    </w:p>
    <w:p>
      <w:pPr>
        <w:pStyle w:val="ListParagraph"/>
        <w:numPr>
          <w:ilvl w:val="0"/>
          <w:numId w:val="5"/>
        </w:numPr>
        <w:spacing w:after="80" w:line="276"/>
      </w:pPr>
      <w:r>
        <w:rPr>
          <w:color w:val="333333"/>
          <w:sz w:val="21"/>
          <w:szCs w:val="21"/>
        </w:rPr>
        <w:t xml:space="preserve">Enter the software name, license type (user-based, device-based, site, usage, or concurrent), vendor, and the total number of seats.</w:t>
      </w:r>
    </w:p>
    <w:p>
      <w:pPr>
        <w:pStyle w:val="ListParagraph"/>
        <w:numPr>
          <w:ilvl w:val="0"/>
          <w:numId w:val="5"/>
        </w:numPr>
        <w:spacing w:after="80" w:line="276"/>
      </w:pPr>
      <w:r>
        <w:rPr>
          <w:color w:val="333333"/>
          <w:sz w:val="21"/>
          <w:szCs w:val="21"/>
        </w:rPr>
        <w:t xml:space="preserve">Record the cost, billing cycle, and start / renewal dates.</w:t>
      </w:r>
    </w:p>
    <w:p>
      <w:pPr>
        <w:pStyle w:val="ListParagraph"/>
        <w:numPr>
          <w:ilvl w:val="0"/>
          <w:numId w:val="5"/>
        </w:numPr>
        <w:spacing w:after="80" w:line="276"/>
      </w:pPr>
      <w:r>
        <w:rPr>
          <w:color w:val="333333"/>
          <w:sz w:val="21"/>
          <w:szCs w:val="21"/>
        </w:rPr>
        <w:t xml:space="preserve">Click Save.</w:t>
      </w:r>
    </w:p>
    <w:p>
      <w:pPr>
        <w:pStyle w:val="Heading2"/>
        <w:spacing w:after="120" w:before="240"/>
      </w:pPr>
      <w:r>
        <w:rPr>
          <w:color w:val="1E5EFF"/>
        </w:rPr>
        <w:t xml:space="preserve">Tracking usage and compliance</w:t>
      </w:r>
    </w:p>
    <w:p>
      <w:pPr>
        <w:pStyle w:val="ListParagraph"/>
        <w:numPr>
          <w:ilvl w:val="0"/>
          <w:numId w:val="2"/>
        </w:numPr>
        <w:spacing w:after="60" w:line="276"/>
      </w:pPr>
      <w:r>
        <w:rPr>
          <w:color w:val="333333"/>
          <w:sz w:val="21"/>
          <w:szCs w:val="21"/>
        </w:rPr>
        <w:t xml:space="preserve">Each license shows seats used against seats available, so you can see at a glance whether you are compliant or over-allocated.</w:t>
      </w:r>
    </w:p>
    <w:p>
      <w:pPr>
        <w:pStyle w:val="ListParagraph"/>
        <w:numPr>
          <w:ilvl w:val="0"/>
          <w:numId w:val="2"/>
        </w:numPr>
        <w:spacing w:after="60" w:line="276"/>
      </w:pPr>
      <w:r>
        <w:rPr>
          <w:color w:val="333333"/>
          <w:sz w:val="21"/>
          <w:szCs w:val="21"/>
        </w:rPr>
        <w:t xml:space="preserve">The system surfaces renewal reminders as dates approach, helping you avoid lapses and unexpected charges.</w:t>
      </w:r>
    </w:p>
    <w:p>
      <w:pPr>
        <w:pStyle w:val="ListParagraph"/>
        <w:numPr>
          <w:ilvl w:val="0"/>
          <w:numId w:val="2"/>
        </w:numPr>
        <w:spacing w:after="60" w:line="276"/>
      </w:pPr>
      <w:r>
        <w:rPr>
          <w:color w:val="333333"/>
          <w:sz w:val="21"/>
          <w:szCs w:val="21"/>
        </w:rPr>
        <w:t xml:space="preserve">Costs are tracked per license so you can monitor total licensing spend.</w:t>
      </w:r>
    </w:p>
    <w:p>
      <w:pPr>
        <w:pStyle w:val="Heading1"/>
        <w:spacing w:after="160" w:before="320"/>
      </w:pPr>
      <w:r>
        <w:rPr>
          <w:color w:val="1F2937"/>
        </w:rPr>
        <w:t xml:space="preserve">8. Managing Inventory</w:t>
      </w:r>
    </w:p>
    <w:p>
      <w:pPr>
        <w:spacing w:after="120" w:line="276"/>
      </w:pPr>
      <w:r>
        <w:rPr>
          <w:color w:val="333333"/>
          <w:sz w:val="21"/>
          <w:szCs w:val="21"/>
        </w:rPr>
        <w:t xml:space="preserve">The Inventory module manages consumables and accessories — items such as cables, adapters, peripherals, and supplies — that are tracked by quantity rather than individually. It is organized into tabs for Items, Purchases, and Assignments.</w:t>
      </w:r>
    </w:p>
    <w:p>
      <w:pPr>
        <w:pStyle w:val="Heading2"/>
        <w:spacing w:after="120" w:before="240"/>
      </w:pPr>
      <w:r>
        <w:rPr>
          <w:color w:val="1E5EFF"/>
        </w:rPr>
        <w:t xml:space="preserve">Inventory items</w:t>
      </w:r>
    </w:p>
    <w:p>
      <w:pPr>
        <w:spacing w:after="120" w:line="276"/>
      </w:pPr>
      <w:r>
        <w:rPr>
          <w:color w:val="333333"/>
          <w:sz w:val="21"/>
          <w:szCs w:val="21"/>
        </w:rPr>
        <w:t xml:space="preserve">The Items tab lists each inventory product with its category, current stock level, and reorder threshold. From here you can add a new item, edit an existing one, and see which items are running low.</w:t>
      </w:r>
    </w:p>
    <w:p>
      <w:pPr>
        <w:pStyle w:val="ListParagraph"/>
        <w:numPr>
          <w:ilvl w:val="0"/>
          <w:numId w:val="6"/>
        </w:numPr>
        <w:spacing w:after="80" w:line="276"/>
      </w:pPr>
      <w:r>
        <w:rPr>
          <w:color w:val="333333"/>
          <w:sz w:val="21"/>
          <w:szCs w:val="21"/>
        </w:rPr>
        <w:t xml:space="preserve">Click Add Item and enter the item name, category, unit, and low-stock threshold.</w:t>
      </w:r>
    </w:p>
    <w:p>
      <w:pPr>
        <w:pStyle w:val="ListParagraph"/>
        <w:numPr>
          <w:ilvl w:val="0"/>
          <w:numId w:val="6"/>
        </w:numPr>
        <w:spacing w:after="80" w:line="276"/>
      </w:pPr>
      <w:r>
        <w:rPr>
          <w:color w:val="333333"/>
          <w:sz w:val="21"/>
          <w:szCs w:val="21"/>
        </w:rPr>
        <w:t xml:space="preserve">Save the item. It now appears in the list and can receive stock through a purchase.</w:t>
      </w:r>
    </w:p>
    <w:p>
      <w:pPr>
        <w:pStyle w:val="Heading2"/>
        <w:spacing w:after="120" w:before="240"/>
      </w:pPr>
      <w:r>
        <w:rPr>
          <w:color w:val="1E5EFF"/>
        </w:rPr>
        <w:t xml:space="preserve">Recording purchases</w:t>
      </w:r>
    </w:p>
    <w:p>
      <w:pPr>
        <w:spacing w:after="120" w:line="276"/>
      </w:pPr>
      <w:r>
        <w:rPr>
          <w:color w:val="333333"/>
          <w:sz w:val="21"/>
          <w:szCs w:val="21"/>
        </w:rPr>
        <w:t xml:space="preserve">Use the Purchases tab to record incoming stock. Adding a purchase increases the on-hand quantity for the item and captures the vendor, quantity, and cost for reporting.</w:t>
      </w:r>
    </w:p>
    <w:p>
      <w:pPr>
        <w:pStyle w:val="Heading2"/>
        <w:spacing w:after="120" w:before="240"/>
      </w:pPr>
      <w:r>
        <w:rPr>
          <w:color w:val="1E5EFF"/>
        </w:rPr>
        <w:t xml:space="preserve">Assigning inventory</w:t>
      </w:r>
    </w:p>
    <w:p>
      <w:pPr>
        <w:spacing w:after="120" w:line="276"/>
      </w:pPr>
      <w:r>
        <w:rPr>
          <w:color w:val="333333"/>
          <w:sz w:val="21"/>
          <w:szCs w:val="21"/>
        </w:rPr>
        <w:t xml:space="preserve">The Assignments tab records inventory handed out to employees. Assigning stock reduces the on-hand quantity. Depending on the item, quantities may be returnable or consumed permanently.</w:t>
      </w:r>
    </w:p>
    <w:p>
      <w:pPr>
        <w:spacing w:after="60"/>
      </w:pPr>
    </w:p>
    <w:tbl>
      <w:tblPr>
        <w:tblW w:type="dxa" w:w="9360"/>
        <w:tblBorders>
          <w:top w:val="single" w:color="1E5EFF" w:sz="4"/>
          <w:left w:val="single" w:color="1E5EFF" w:sz="24"/>
          <w:bottom w:val="single" w:color="1E5EFF" w:sz="4"/>
          <w:right w:val="single" w:color="1E5EFF" w:sz="4"/>
          <w:insideH w:val="none"/>
          <w:insideV w:val="none"/>
        </w:tblBorders>
      </w:tblPr>
      <w:tblGrid>
        <w:gridCol w:w="9360"/>
      </w:tblGrid>
      <w:tr>
        <w:tc>
          <w:tcPr>
            <w:tcW w:type="dxa" w:w="9360"/>
            <w:shd w:fill="F3F6FC" w:color="auto" w:val="clear"/>
            <w:tcMar>
              <w:top w:type="dxa" w:w="100"/>
              <w:left w:type="dxa" w:w="160"/>
              <w:bottom w:type="dxa" w:w="100"/>
              <w:right w:type="dxa" w:w="160"/>
            </w:tcMar>
          </w:tcPr>
          <w:p>
            <w:r>
              <w:rPr>
                <w:b/>
                <w:bCs/>
                <w:color w:val="1E5EFF"/>
                <w:sz w:val="20"/>
                <w:szCs w:val="20"/>
              </w:rPr>
              <w:t xml:space="preserve">Low-stock alerts:  </w:t>
            </w:r>
            <w:r>
              <w:rPr>
                <w:color w:val="333333"/>
                <w:sz w:val="20"/>
                <w:szCs w:val="20"/>
              </w:rPr>
              <w:t xml:space="preserve">When an item’s quantity falls to or below its threshold, it is flagged so you can reorder before running out.</w:t>
            </w:r>
          </w:p>
        </w:tc>
      </w:tr>
    </w:tbl>
    <w:p>
      <w:pPr>
        <w:pStyle w:val="Heading1"/>
        <w:spacing w:after="160" w:before="320"/>
      </w:pPr>
      <w:r>
        <w:rPr>
          <w:color w:val="1F2937"/>
        </w:rPr>
        <w:t xml:space="preserve">9. Issuing &amp; Returning Items</w:t>
      </w:r>
    </w:p>
    <w:p>
      <w:pPr>
        <w:spacing w:after="120" w:line="276"/>
      </w:pPr>
      <w:r>
        <w:rPr>
          <w:color w:val="333333"/>
          <w:sz w:val="21"/>
          <w:szCs w:val="21"/>
        </w:rPr>
        <w:t xml:space="preserve">The Issue &amp; Return workflow is a unified way to give items to employees and take them back. The form adapts to the type of item being handled:</w:t>
      </w:r>
    </w:p>
    <w:p>
      <w:pPr>
        <w:pStyle w:val="ListParagraph"/>
        <w:numPr>
          <w:ilvl w:val="0"/>
          <w:numId w:val="2"/>
        </w:numPr>
        <w:spacing w:after="60" w:line="276"/>
      </w:pPr>
      <w:r>
        <w:rPr>
          <w:b/>
          <w:bCs/>
          <w:color w:val="333333"/>
          <w:sz w:val="21"/>
          <w:szCs w:val="21"/>
        </w:rPr>
        <w:t xml:space="preserve">Serialized items </w:t>
      </w:r>
      <w:r>
        <w:rPr>
          <w:color w:val="333333"/>
          <w:sz w:val="21"/>
          <w:szCs w:val="21"/>
        </w:rPr>
        <w:t xml:space="preserve">(such as a specific laptop) — you pick the exact unit by scanning or searching its asset tag.</w:t>
      </w:r>
    </w:p>
    <w:p>
      <w:pPr>
        <w:pStyle w:val="ListParagraph"/>
        <w:numPr>
          <w:ilvl w:val="0"/>
          <w:numId w:val="2"/>
        </w:numPr>
        <w:spacing w:after="60" w:line="276"/>
      </w:pPr>
      <w:r>
        <w:rPr>
          <w:b/>
          <w:bCs/>
          <w:color w:val="333333"/>
          <w:sz w:val="21"/>
          <w:szCs w:val="21"/>
        </w:rPr>
        <w:t xml:space="preserve">Bulk-quantity items </w:t>
      </w:r>
      <w:r>
        <w:rPr>
          <w:color w:val="333333"/>
          <w:sz w:val="21"/>
          <w:szCs w:val="21"/>
        </w:rPr>
        <w:t xml:space="preserve">— you enter a quantity and a location.</w:t>
      </w:r>
    </w:p>
    <w:p>
      <w:pPr>
        <w:pStyle w:val="ListParagraph"/>
        <w:numPr>
          <w:ilvl w:val="0"/>
          <w:numId w:val="2"/>
        </w:numPr>
        <w:spacing w:after="60" w:line="276"/>
      </w:pPr>
      <w:r>
        <w:rPr>
          <w:b/>
          <w:bCs/>
          <w:color w:val="333333"/>
          <w:sz w:val="21"/>
          <w:szCs w:val="21"/>
        </w:rPr>
        <w:t xml:space="preserve">Returnable items </w:t>
      </w:r>
      <w:r>
        <w:rPr>
          <w:color w:val="333333"/>
          <w:sz w:val="21"/>
          <w:szCs w:val="21"/>
        </w:rPr>
        <w:t xml:space="preserve">— you set a due date for the return.</w:t>
      </w:r>
    </w:p>
    <w:p>
      <w:pPr>
        <w:pStyle w:val="ListParagraph"/>
        <w:numPr>
          <w:ilvl w:val="0"/>
          <w:numId w:val="2"/>
        </w:numPr>
        <w:spacing w:after="60" w:line="276"/>
      </w:pPr>
      <w:r>
        <w:rPr>
          <w:b/>
          <w:bCs/>
          <w:color w:val="333333"/>
          <w:sz w:val="21"/>
          <w:szCs w:val="21"/>
        </w:rPr>
        <w:t xml:space="preserve">Consumable items </w:t>
      </w:r>
      <w:r>
        <w:rPr>
          <w:color w:val="333333"/>
          <w:sz w:val="21"/>
          <w:szCs w:val="21"/>
        </w:rPr>
        <w:t xml:space="preserve">— no return is expected.</w:t>
      </w:r>
    </w:p>
    <w:p>
      <w:pPr>
        <w:pStyle w:val="Heading2"/>
        <w:spacing w:after="120" w:before="240"/>
      </w:pPr>
      <w:r>
        <w:rPr>
          <w:color w:val="1E5EFF"/>
        </w:rPr>
        <w:t xml:space="preserve">Issuing an item</w:t>
      </w:r>
    </w:p>
    <w:p>
      <w:pPr>
        <w:pStyle w:val="ListParagraph"/>
        <w:numPr>
          <w:ilvl w:val="0"/>
          <w:numId w:val="7"/>
        </w:numPr>
        <w:spacing w:after="80" w:line="276"/>
      </w:pPr>
      <w:r>
        <w:rPr>
          <w:color w:val="333333"/>
          <w:sz w:val="21"/>
          <w:szCs w:val="21"/>
        </w:rPr>
        <w:t xml:space="preserve">Open Issue &amp; Return and make sure Issue mode is selected.</w:t>
      </w:r>
    </w:p>
    <w:p>
      <w:pPr>
        <w:pStyle w:val="ListParagraph"/>
        <w:numPr>
          <w:ilvl w:val="0"/>
          <w:numId w:val="7"/>
        </w:numPr>
        <w:spacing w:after="80" w:line="276"/>
      </w:pPr>
      <w:r>
        <w:rPr>
          <w:color w:val="333333"/>
          <w:sz w:val="21"/>
          <w:szCs w:val="21"/>
        </w:rPr>
        <w:t xml:space="preserve">Search for and select the catalog item to issue. The form adjusts to the item type.</w:t>
      </w:r>
    </w:p>
    <w:p>
      <w:pPr>
        <w:pStyle w:val="ListParagraph"/>
        <w:numPr>
          <w:ilvl w:val="0"/>
          <w:numId w:val="7"/>
        </w:numPr>
        <w:spacing w:after="80" w:line="276"/>
      </w:pPr>
      <w:r>
        <w:rPr>
          <w:color w:val="333333"/>
          <w:sz w:val="21"/>
          <w:szCs w:val="21"/>
        </w:rPr>
        <w:t xml:space="preserve">Choose the employee (and, for serialized items, the specific unit; for bulk items, the quantity and location).</w:t>
      </w:r>
    </w:p>
    <w:p>
      <w:pPr>
        <w:pStyle w:val="ListParagraph"/>
        <w:numPr>
          <w:ilvl w:val="0"/>
          <w:numId w:val="7"/>
        </w:numPr>
        <w:spacing w:after="80" w:line="276"/>
      </w:pPr>
      <w:r>
        <w:rPr>
          <w:color w:val="333333"/>
          <w:sz w:val="21"/>
          <w:szCs w:val="21"/>
        </w:rPr>
        <w:t xml:space="preserve">Set a due date if the item is returnable, then confirm to record the assignment.</w:t>
      </w:r>
    </w:p>
    <w:p>
      <w:pPr>
        <w:pStyle w:val="Heading2"/>
        <w:spacing w:after="120" w:before="240"/>
      </w:pPr>
      <w:r>
        <w:rPr>
          <w:color w:val="1E5EFF"/>
        </w:rPr>
        <w:t xml:space="preserve">Returning an item</w:t>
      </w:r>
    </w:p>
    <w:p>
      <w:pPr>
        <w:pStyle w:val="ListParagraph"/>
        <w:numPr>
          <w:ilvl w:val="0"/>
          <w:numId w:val="8"/>
        </w:numPr>
        <w:spacing w:after="80" w:line="276"/>
      </w:pPr>
      <w:r>
        <w:rPr>
          <w:color w:val="333333"/>
          <w:sz w:val="21"/>
          <w:szCs w:val="21"/>
        </w:rPr>
        <w:t xml:space="preserve">Switch to Return mode.</w:t>
      </w:r>
    </w:p>
    <w:p>
      <w:pPr>
        <w:pStyle w:val="ListParagraph"/>
        <w:numPr>
          <w:ilvl w:val="0"/>
          <w:numId w:val="8"/>
        </w:numPr>
        <w:spacing w:after="80" w:line="276"/>
      </w:pPr>
      <w:r>
        <w:rPr>
          <w:color w:val="333333"/>
          <w:sz w:val="21"/>
          <w:szCs w:val="21"/>
        </w:rPr>
        <w:t xml:space="preserve">Search active assignments by employee name or asset tag and select the one being returned.</w:t>
      </w:r>
    </w:p>
    <w:p>
      <w:pPr>
        <w:pStyle w:val="ListParagraph"/>
        <w:numPr>
          <w:ilvl w:val="0"/>
          <w:numId w:val="8"/>
        </w:numPr>
        <w:spacing w:after="80" w:line="276"/>
      </w:pPr>
      <w:r>
        <w:rPr>
          <w:color w:val="333333"/>
          <w:sz w:val="21"/>
          <w:szCs w:val="21"/>
        </w:rPr>
        <w:t xml:space="preserve">Assess the item’s condition, enter a partial quantity if only some units are coming back, and confirm the return.</w:t>
      </w:r>
    </w:p>
    <w:p>
      <w:pPr>
        <w:pStyle w:val="Heading2"/>
        <w:spacing w:after="120" w:before="240"/>
      </w:pPr>
      <w:r>
        <w:rPr>
          <w:color w:val="1E5EFF"/>
        </w:rPr>
        <w:t xml:space="preserve">Holdings and overdue items</w:t>
      </w:r>
    </w:p>
    <w:p>
      <w:pPr>
        <w:pStyle w:val="ListParagraph"/>
        <w:numPr>
          <w:ilvl w:val="0"/>
          <w:numId w:val="2"/>
        </w:numPr>
        <w:spacing w:after="60" w:line="276"/>
      </w:pPr>
      <w:r>
        <w:rPr>
          <w:b/>
          <w:bCs/>
          <w:color w:val="333333"/>
          <w:sz w:val="21"/>
          <w:szCs w:val="21"/>
        </w:rPr>
        <w:t xml:space="preserve">Holdings </w:t>
      </w:r>
      <w:r>
        <w:rPr>
          <w:color w:val="333333"/>
          <w:sz w:val="21"/>
          <w:szCs w:val="21"/>
        </w:rPr>
        <w:t xml:space="preserve">shows everything currently assigned to a given employee — useful when someone changes role or leaves.</w:t>
      </w:r>
    </w:p>
    <w:p>
      <w:pPr>
        <w:pStyle w:val="ListParagraph"/>
        <w:numPr>
          <w:ilvl w:val="0"/>
          <w:numId w:val="2"/>
        </w:numPr>
        <w:spacing w:after="60" w:line="276"/>
      </w:pPr>
      <w:r>
        <w:rPr>
          <w:b/>
          <w:bCs/>
          <w:color w:val="333333"/>
          <w:sz w:val="21"/>
          <w:szCs w:val="21"/>
        </w:rPr>
        <w:t xml:space="preserve">Overdue </w:t>
      </w:r>
      <w:r>
        <w:rPr>
          <w:color w:val="333333"/>
          <w:sz w:val="21"/>
          <w:szCs w:val="21"/>
        </w:rPr>
        <w:t xml:space="preserve">lists items that are past their return due date so you can follow up.</w:t>
      </w:r>
    </w:p>
    <w:p>
      <w:pPr>
        <w:pStyle w:val="Heading1"/>
        <w:spacing w:after="160" w:before="320"/>
      </w:pPr>
      <w:r>
        <w:rPr>
          <w:color w:val="1F2937"/>
        </w:rPr>
        <w:t xml:space="preserve">10. Analytics</w:t>
      </w:r>
    </w:p>
    <w:p>
      <w:pPr>
        <w:spacing w:after="120" w:line="276"/>
      </w:pPr>
      <w:r>
        <w:rPr>
          <w:color w:val="333333"/>
          <w:sz w:val="21"/>
          <w:szCs w:val="21"/>
        </w:rPr>
        <w:t xml:space="preserve">The Analytics page presents visual dashboards — charts and graphs — that summarize your assets, licenses, and inventory. Use it to understand distribution and trends, such as assets by category or status, license utilization, and inventory value. Charts are interactive; hover over segments to see exact figures.</w:t>
      </w:r>
    </w:p>
    <w:p>
      <w:pPr>
        <w:pStyle w:val="Heading1"/>
        <w:spacing w:after="160" w:before="320"/>
      </w:pPr>
      <w:r>
        <w:rPr>
          <w:color w:val="1F2937"/>
        </w:rPr>
        <w:t xml:space="preserve">11. Audit &amp; Reports</w:t>
      </w:r>
    </w:p>
    <w:p>
      <w:pPr>
        <w:spacing w:after="120" w:line="276"/>
      </w:pPr>
      <w:r>
        <w:rPr>
          <w:color w:val="333333"/>
          <w:sz w:val="21"/>
          <w:szCs w:val="21"/>
        </w:rPr>
        <w:t xml:space="preserve">The application keeps a complete audit trail of changes, and provides reporting across every module.</w:t>
      </w:r>
    </w:p>
    <w:p>
      <w:pPr>
        <w:pStyle w:val="Heading2"/>
        <w:spacing w:after="120" w:before="240"/>
      </w:pPr>
      <w:r>
        <w:rPr>
          <w:color w:val="1E5EFF"/>
        </w:rPr>
        <w:t xml:space="preserve">Audit views</w:t>
      </w:r>
    </w:p>
    <w:p>
      <w:pPr>
        <w:spacing w:after="120" w:line="276"/>
      </w:pPr>
      <w:r>
        <w:rPr>
          <w:color w:val="333333"/>
          <w:sz w:val="21"/>
          <w:szCs w:val="21"/>
        </w:rPr>
        <w:t xml:space="preserve">Under Audit in the sidebar you will find an Audit Overview plus dedicated Asset, License, and Inventory audit views. These show who changed what and when, which is essential for compliance reviews. Individual assets also carry their own audit log, reachable from the asset detail page.</w:t>
      </w:r>
    </w:p>
    <w:p>
      <w:pPr>
        <w:pStyle w:val="Heading2"/>
        <w:spacing w:after="120" w:before="240"/>
      </w:pPr>
      <w:r>
        <w:rPr>
          <w:color w:val="1E5EFF"/>
        </w:rPr>
        <w:t xml:space="preserve">Reports and exporting</w:t>
      </w:r>
    </w:p>
    <w:p>
      <w:pPr>
        <w:spacing w:after="120" w:line="276"/>
      </w:pPr>
      <w:r>
        <w:rPr>
          <w:color w:val="333333"/>
          <w:sz w:val="21"/>
          <w:szCs w:val="21"/>
        </w:rPr>
        <w:t xml:space="preserve">Reports let you produce and export data for assets, licenses, inventory, and audits. Where an export option is offered, you can download the data as CSV/Excel for further analysis or record-keeping. Look for the Export or Download button on the relevant list or report page.</w:t>
      </w:r>
    </w:p>
    <w:p>
      <w:pPr>
        <w:pStyle w:val="Heading1"/>
        <w:spacing w:after="160" w:before="320"/>
      </w:pPr>
      <w:r>
        <w:rPr>
          <w:color w:val="1F2937"/>
        </w:rPr>
        <w:t xml:space="preserve">12. Administration</w:t>
      </w:r>
    </w:p>
    <w:p>
      <w:pPr>
        <w:spacing w:after="120" w:line="276"/>
      </w:pPr>
      <w:r>
        <w:rPr>
          <w:color w:val="333333"/>
          <w:sz w:val="21"/>
          <w:szCs w:val="21"/>
        </w:rPr>
        <w:t xml:space="preserve">The Admin section (visible to administrators) is where the system is configured. It contains user and access management as well as the master data that the rest of the application draws on.</w:t>
      </w:r>
    </w:p>
    <w:p>
      <w:pPr>
        <w:pStyle w:val="Heading2"/>
        <w:spacing w:after="120" w:before="240"/>
      </w:pPr>
      <w:r>
        <w:rPr>
          <w:color w:val="1E5EFF"/>
        </w:rPr>
        <w:t xml:space="preserve">Users</w:t>
      </w:r>
    </w:p>
    <w:p>
      <w:pPr>
        <w:spacing w:after="120" w:line="276"/>
      </w:pPr>
      <w:r>
        <w:rPr>
          <w:color w:val="333333"/>
          <w:sz w:val="21"/>
          <w:szCs w:val="21"/>
        </w:rPr>
        <w:t xml:space="preserve">Admin ▸ Users lets you create, edit, deactivate, and manage user accounts, and assign each user a role. This is where new team members are added after the first administrator signs in.</w:t>
      </w:r>
    </w:p>
    <w:p>
      <w:pPr>
        <w:pStyle w:val="Heading2"/>
        <w:spacing w:after="120" w:before="240"/>
      </w:pPr>
      <w:r>
        <w:rPr>
          <w:color w:val="1E5EFF"/>
        </w:rPr>
        <w:t xml:space="preserve">Roles &amp; Permissions</w:t>
      </w:r>
    </w:p>
    <w:p>
      <w:pPr>
        <w:spacing w:after="120" w:line="276"/>
      </w:pPr>
      <w:r>
        <w:rPr>
          <w:color w:val="333333"/>
          <w:sz w:val="21"/>
          <w:szCs w:val="21"/>
        </w:rPr>
        <w:t xml:space="preserve">Admin ▸ Roles defines the roles available in the system, and Admin ▸ Permissions shows the individual permissions. Together they control what each role can see and do through a permission matrix, so you can tailor access precisely.</w:t>
      </w:r>
    </w:p>
    <w:p>
      <w:pPr>
        <w:pStyle w:val="Heading2"/>
        <w:spacing w:after="120" w:before="240"/>
      </w:pPr>
      <w:r>
        <w:rPr>
          <w:color w:val="1E5EFF"/>
        </w:rPr>
        <w:t xml:space="preserve">Master data</w:t>
      </w:r>
    </w:p>
    <w:p>
      <w:pPr>
        <w:spacing w:after="120" w:line="276"/>
      </w:pPr>
      <w:r>
        <w:rPr>
          <w:color w:val="333333"/>
          <w:sz w:val="21"/>
          <w:szCs w:val="21"/>
        </w:rPr>
        <w:t xml:space="preserve">Master data are the reusable lists that keep records consistent. Manage them under Admin:</w:t>
      </w:r>
    </w:p>
    <w:p>
      <w:pPr>
        <w:spacing w:after="60"/>
      </w:pPr>
    </w:p>
    <w:tbl>
      <w:tblPr>
        <w:tblW w:type="dxa" w:w="9360"/>
        <w:tblBorders>
          <w:top w:val="single" w:color="D1D9E6" w:sz="4"/>
          <w:left w:val="single" w:color="D1D9E6" w:sz="4"/>
          <w:bottom w:val="single" w:color="D1D9E6" w:sz="4"/>
          <w:right w:val="single" w:color="D1D9E6" w:sz="4"/>
          <w:insideH w:val="single" w:color="D1D9E6" w:sz="4"/>
          <w:insideV w:val="single" w:color="D1D9E6" w:sz="4"/>
        </w:tblBorders>
      </w:tblPr>
      <w:tblGrid>
        <w:gridCol w:w="2700"/>
        <w:gridCol w:w="6660"/>
      </w:tblGrid>
      <w:tr>
        <w:trPr>
          <w:tblHeader/>
        </w:trPr>
        <w:tc>
          <w:tcPr>
            <w:tcW w:type="dxa" w:w="2700"/>
            <w:shd w:fill="1E5EFF" w:color="auto" w:val="clear"/>
            <w:tcMar>
              <w:top w:type="dxa" w:w="60"/>
              <w:left w:type="dxa" w:w="110"/>
              <w:bottom w:type="dxa" w:w="60"/>
              <w:right w:type="dxa" w:w="110"/>
            </w:tcMar>
          </w:tcPr>
          <w:p>
            <w:r>
              <w:rPr>
                <w:b/>
                <w:bCs/>
                <w:color w:val="FFFFFF"/>
                <w:sz w:val="20"/>
                <w:szCs w:val="20"/>
              </w:rPr>
              <w:t xml:space="preserve">Master list</w:t>
            </w:r>
          </w:p>
        </w:tc>
        <w:tc>
          <w:tcPr>
            <w:tcW w:type="dxa" w:w="6660"/>
            <w:shd w:fill="1E5EFF" w:color="auto" w:val="clear"/>
            <w:tcMar>
              <w:top w:type="dxa" w:w="60"/>
              <w:left w:type="dxa" w:w="110"/>
              <w:bottom w:type="dxa" w:w="60"/>
              <w:right w:type="dxa" w:w="110"/>
            </w:tcMar>
          </w:tcPr>
          <w:p>
            <w:r>
              <w:rPr>
                <w:b/>
                <w:bCs/>
                <w:color w:val="FFFFFF"/>
                <w:sz w:val="20"/>
                <w:szCs w:val="20"/>
              </w:rPr>
              <w:t xml:space="preserve">Purpose</w:t>
            </w:r>
          </w:p>
        </w:tc>
      </w:tr>
      <w:tr>
        <w:tc>
          <w:tcPr>
            <w:tcW w:type="dxa" w:w="2700"/>
            <w:tcMar>
              <w:top w:type="dxa" w:w="60"/>
              <w:left w:type="dxa" w:w="110"/>
              <w:bottom w:type="dxa" w:w="60"/>
              <w:right w:type="dxa" w:w="110"/>
            </w:tcMar>
          </w:tcPr>
          <w:p>
            <w:r>
              <w:rPr>
                <w:b w:val="false"/>
                <w:bCs w:val="false"/>
                <w:color w:val="333333"/>
                <w:sz w:val="20"/>
                <w:szCs w:val="20"/>
              </w:rPr>
              <w:t xml:space="preserve">Asset Categories</w:t>
            </w:r>
          </w:p>
        </w:tc>
        <w:tc>
          <w:tcPr>
            <w:tcW w:type="dxa" w:w="6660"/>
            <w:tcMar>
              <w:top w:type="dxa" w:w="60"/>
              <w:left w:type="dxa" w:w="110"/>
              <w:bottom w:type="dxa" w:w="60"/>
              <w:right w:type="dxa" w:w="110"/>
            </w:tcMar>
          </w:tcPr>
          <w:p>
            <w:r>
              <w:rPr>
                <w:b w:val="false"/>
                <w:bCs w:val="false"/>
                <w:color w:val="333333"/>
                <w:sz w:val="20"/>
                <w:szCs w:val="20"/>
              </w:rPr>
              <w:t xml:space="preserve">Types of assets (e.g. laptop, server, monitor).</w:t>
            </w:r>
          </w:p>
        </w:tc>
      </w:tr>
      <w:tr>
        <w:tc>
          <w:tcPr>
            <w:tcW w:type="dxa" w:w="2700"/>
            <w:shd w:fill="F8FAFC" w:color="auto" w:val="clear"/>
            <w:tcMar>
              <w:top w:type="dxa" w:w="60"/>
              <w:left w:type="dxa" w:w="110"/>
              <w:bottom w:type="dxa" w:w="60"/>
              <w:right w:type="dxa" w:w="110"/>
            </w:tcMar>
          </w:tcPr>
          <w:p>
            <w:r>
              <w:rPr>
                <w:b w:val="false"/>
                <w:bCs w:val="false"/>
                <w:color w:val="333333"/>
                <w:sz w:val="20"/>
                <w:szCs w:val="20"/>
              </w:rPr>
              <w:t xml:space="preserve">Inventory Categories</w:t>
            </w:r>
          </w:p>
        </w:tc>
        <w:tc>
          <w:tcPr>
            <w:tcW w:type="dxa" w:w="6660"/>
            <w:shd w:fill="F8FAFC" w:color="auto" w:val="clear"/>
            <w:tcMar>
              <w:top w:type="dxa" w:w="60"/>
              <w:left w:type="dxa" w:w="110"/>
              <w:bottom w:type="dxa" w:w="60"/>
              <w:right w:type="dxa" w:w="110"/>
            </w:tcMar>
          </w:tcPr>
          <w:p>
            <w:r>
              <w:rPr>
                <w:b w:val="false"/>
                <w:bCs w:val="false"/>
                <w:color w:val="333333"/>
                <w:sz w:val="20"/>
                <w:szCs w:val="20"/>
              </w:rPr>
              <w:t xml:space="preserve">Groupings for consumable inventory items.</w:t>
            </w:r>
          </w:p>
        </w:tc>
      </w:tr>
      <w:tr>
        <w:tc>
          <w:tcPr>
            <w:tcW w:type="dxa" w:w="2700"/>
            <w:tcMar>
              <w:top w:type="dxa" w:w="60"/>
              <w:left w:type="dxa" w:w="110"/>
              <w:bottom w:type="dxa" w:w="60"/>
              <w:right w:type="dxa" w:w="110"/>
            </w:tcMar>
          </w:tcPr>
          <w:p>
            <w:r>
              <w:rPr>
                <w:b w:val="false"/>
                <w:bCs w:val="false"/>
                <w:color w:val="333333"/>
                <w:sz w:val="20"/>
                <w:szCs w:val="20"/>
              </w:rPr>
              <w:t xml:space="preserve">Brands</w:t>
            </w:r>
          </w:p>
        </w:tc>
        <w:tc>
          <w:tcPr>
            <w:tcW w:type="dxa" w:w="6660"/>
            <w:tcMar>
              <w:top w:type="dxa" w:w="60"/>
              <w:left w:type="dxa" w:w="110"/>
              <w:bottom w:type="dxa" w:w="60"/>
              <w:right w:type="dxa" w:w="110"/>
            </w:tcMar>
          </w:tcPr>
          <w:p>
            <w:r>
              <w:rPr>
                <w:b w:val="false"/>
                <w:bCs w:val="false"/>
                <w:color w:val="333333"/>
                <w:sz w:val="20"/>
                <w:szCs w:val="20"/>
              </w:rPr>
              <w:t xml:space="preserve">Manufacturers of assets and inventory.</w:t>
            </w:r>
          </w:p>
        </w:tc>
      </w:tr>
      <w:tr>
        <w:tc>
          <w:tcPr>
            <w:tcW w:type="dxa" w:w="2700"/>
            <w:shd w:fill="F8FAFC" w:color="auto" w:val="clear"/>
            <w:tcMar>
              <w:top w:type="dxa" w:w="60"/>
              <w:left w:type="dxa" w:w="110"/>
              <w:bottom w:type="dxa" w:w="60"/>
              <w:right w:type="dxa" w:w="110"/>
            </w:tcMar>
          </w:tcPr>
          <w:p>
            <w:r>
              <w:rPr>
                <w:b w:val="false"/>
                <w:bCs w:val="false"/>
                <w:color w:val="333333"/>
                <w:sz w:val="20"/>
                <w:szCs w:val="20"/>
              </w:rPr>
              <w:t xml:space="preserve">Vendors</w:t>
            </w:r>
          </w:p>
        </w:tc>
        <w:tc>
          <w:tcPr>
            <w:tcW w:type="dxa" w:w="6660"/>
            <w:shd w:fill="F8FAFC" w:color="auto" w:val="clear"/>
            <w:tcMar>
              <w:top w:type="dxa" w:w="60"/>
              <w:left w:type="dxa" w:w="110"/>
              <w:bottom w:type="dxa" w:w="60"/>
              <w:right w:type="dxa" w:w="110"/>
            </w:tcMar>
          </w:tcPr>
          <w:p>
            <w:r>
              <w:rPr>
                <w:b w:val="false"/>
                <w:bCs w:val="false"/>
                <w:color w:val="333333"/>
                <w:sz w:val="20"/>
                <w:szCs w:val="20"/>
              </w:rPr>
              <w:t xml:space="preserve">Suppliers you purchase from.</w:t>
            </w:r>
          </w:p>
        </w:tc>
      </w:tr>
      <w:tr>
        <w:tc>
          <w:tcPr>
            <w:tcW w:type="dxa" w:w="2700"/>
            <w:tcMar>
              <w:top w:type="dxa" w:w="60"/>
              <w:left w:type="dxa" w:w="110"/>
              <w:bottom w:type="dxa" w:w="60"/>
              <w:right w:type="dxa" w:w="110"/>
            </w:tcMar>
          </w:tcPr>
          <w:p>
            <w:r>
              <w:rPr>
                <w:b w:val="false"/>
                <w:bCs w:val="false"/>
                <w:color w:val="333333"/>
                <w:sz w:val="20"/>
                <w:szCs w:val="20"/>
              </w:rPr>
              <w:t xml:space="preserve">License Plans</w:t>
            </w:r>
          </w:p>
        </w:tc>
        <w:tc>
          <w:tcPr>
            <w:tcW w:type="dxa" w:w="6660"/>
            <w:tcMar>
              <w:top w:type="dxa" w:w="60"/>
              <w:left w:type="dxa" w:w="110"/>
              <w:bottom w:type="dxa" w:w="60"/>
              <w:right w:type="dxa" w:w="110"/>
            </w:tcMar>
          </w:tcPr>
          <w:p>
            <w:r>
              <w:rPr>
                <w:b w:val="false"/>
                <w:bCs w:val="false"/>
                <w:color w:val="333333"/>
                <w:sz w:val="20"/>
                <w:szCs w:val="20"/>
              </w:rPr>
              <w:t xml:space="preserve">Predefined license plan options.</w:t>
            </w:r>
          </w:p>
        </w:tc>
      </w:tr>
      <w:tr>
        <w:tc>
          <w:tcPr>
            <w:tcW w:type="dxa" w:w="2700"/>
            <w:shd w:fill="F8FAFC" w:color="auto" w:val="clear"/>
            <w:tcMar>
              <w:top w:type="dxa" w:w="60"/>
              <w:left w:type="dxa" w:w="110"/>
              <w:bottom w:type="dxa" w:w="60"/>
              <w:right w:type="dxa" w:w="110"/>
            </w:tcMar>
          </w:tcPr>
          <w:p>
            <w:r>
              <w:rPr>
                <w:b w:val="false"/>
                <w:bCs w:val="false"/>
                <w:color w:val="333333"/>
                <w:sz w:val="20"/>
                <w:szCs w:val="20"/>
              </w:rPr>
              <w:t xml:space="preserve">Conditions</w:t>
            </w:r>
          </w:p>
        </w:tc>
        <w:tc>
          <w:tcPr>
            <w:tcW w:type="dxa" w:w="6660"/>
            <w:shd w:fill="F8FAFC" w:color="auto" w:val="clear"/>
            <w:tcMar>
              <w:top w:type="dxa" w:w="60"/>
              <w:left w:type="dxa" w:w="110"/>
              <w:bottom w:type="dxa" w:w="60"/>
              <w:right w:type="dxa" w:w="110"/>
            </w:tcMar>
          </w:tcPr>
          <w:p>
            <w:r>
              <w:rPr>
                <w:b w:val="false"/>
                <w:bCs w:val="false"/>
                <w:color w:val="333333"/>
                <w:sz w:val="20"/>
                <w:szCs w:val="20"/>
              </w:rPr>
              <w:t xml:space="preserve">Physical condition values for assets.</w:t>
            </w:r>
          </w:p>
        </w:tc>
      </w:tr>
      <w:tr>
        <w:tc>
          <w:tcPr>
            <w:tcW w:type="dxa" w:w="2700"/>
            <w:tcMar>
              <w:top w:type="dxa" w:w="60"/>
              <w:left w:type="dxa" w:w="110"/>
              <w:bottom w:type="dxa" w:w="60"/>
              <w:right w:type="dxa" w:w="110"/>
            </w:tcMar>
          </w:tcPr>
          <w:p>
            <w:r>
              <w:rPr>
                <w:b w:val="false"/>
                <w:bCs w:val="false"/>
                <w:color w:val="333333"/>
                <w:sz w:val="20"/>
                <w:szCs w:val="20"/>
              </w:rPr>
              <w:t xml:space="preserve">Statuses</w:t>
            </w:r>
          </w:p>
        </w:tc>
        <w:tc>
          <w:tcPr>
            <w:tcW w:type="dxa" w:w="6660"/>
            <w:tcMar>
              <w:top w:type="dxa" w:w="60"/>
              <w:left w:type="dxa" w:w="110"/>
              <w:bottom w:type="dxa" w:w="60"/>
              <w:right w:type="dxa" w:w="110"/>
            </w:tcMar>
          </w:tcPr>
          <w:p>
            <w:r>
              <w:rPr>
                <w:b w:val="false"/>
                <w:bCs w:val="false"/>
                <w:color w:val="333333"/>
                <w:sz w:val="20"/>
                <w:szCs w:val="20"/>
              </w:rPr>
              <w:t xml:space="preserve">Lifecycle status values.</w:t>
            </w:r>
          </w:p>
        </w:tc>
      </w:tr>
      <w:tr>
        <w:tc>
          <w:tcPr>
            <w:tcW w:type="dxa" w:w="2700"/>
            <w:shd w:fill="F8FAFC" w:color="auto" w:val="clear"/>
            <w:tcMar>
              <w:top w:type="dxa" w:w="60"/>
              <w:left w:type="dxa" w:w="110"/>
              <w:bottom w:type="dxa" w:w="60"/>
              <w:right w:type="dxa" w:w="110"/>
            </w:tcMar>
          </w:tcPr>
          <w:p>
            <w:r>
              <w:rPr>
                <w:b w:val="false"/>
                <w:bCs w:val="false"/>
                <w:color w:val="333333"/>
                <w:sz w:val="20"/>
                <w:szCs w:val="20"/>
              </w:rPr>
              <w:t xml:space="preserve">Disposal Methods</w:t>
            </w:r>
          </w:p>
        </w:tc>
        <w:tc>
          <w:tcPr>
            <w:tcW w:type="dxa" w:w="6660"/>
            <w:shd w:fill="F8FAFC" w:color="auto" w:val="clear"/>
            <w:tcMar>
              <w:top w:type="dxa" w:w="60"/>
              <w:left w:type="dxa" w:w="110"/>
              <w:bottom w:type="dxa" w:w="60"/>
              <w:right w:type="dxa" w:w="110"/>
            </w:tcMar>
          </w:tcPr>
          <w:p>
            <w:r>
              <w:rPr>
                <w:b w:val="false"/>
                <w:bCs w:val="false"/>
                <w:color w:val="333333"/>
                <w:sz w:val="20"/>
                <w:szCs w:val="20"/>
              </w:rPr>
              <w:t xml:space="preserve">How assets are retired at end of life.</w:t>
            </w:r>
          </w:p>
        </w:tc>
      </w:tr>
    </w:tbl>
    <w:p>
      <w:pPr>
        <w:spacing w:after="60"/>
      </w:pPr>
    </w:p>
    <w:p>
      <w:pPr>
        <w:pStyle w:val="Heading2"/>
        <w:spacing w:after="120" w:before="240"/>
      </w:pPr>
      <w:r>
        <w:rPr>
          <w:color w:val="1E5EFF"/>
        </w:rPr>
        <w:t xml:space="preserve">System settings</w:t>
      </w:r>
    </w:p>
    <w:p>
      <w:pPr>
        <w:spacing w:after="120" w:line="276"/>
      </w:pPr>
      <w:r>
        <w:rPr>
          <w:color w:val="333333"/>
          <w:sz w:val="21"/>
          <w:szCs w:val="21"/>
        </w:rPr>
        <w:t xml:space="preserve">Admin ▸ System Settings holds application-wide options, such as the default display currency and other organizational preferences.</w:t>
      </w:r>
    </w:p>
    <w:p>
      <w:pPr>
        <w:pStyle w:val="Heading1"/>
        <w:spacing w:after="160" w:before="320"/>
      </w:pPr>
      <w:r>
        <w:rPr>
          <w:color w:val="1F2937"/>
        </w:rPr>
        <w:t xml:space="preserve">13. Your Profile &amp; Settings</w:t>
      </w:r>
    </w:p>
    <w:p>
      <w:pPr>
        <w:spacing w:after="120" w:line="276"/>
      </w:pPr>
      <w:r>
        <w:rPr>
          <w:color w:val="333333"/>
          <w:sz w:val="21"/>
          <w:szCs w:val="21"/>
        </w:rPr>
        <w:t xml:space="preserve">Every user can manage their own account from the user menu in the top-right corner:</w:t>
      </w:r>
    </w:p>
    <w:p>
      <w:pPr>
        <w:pStyle w:val="ListParagraph"/>
        <w:numPr>
          <w:ilvl w:val="0"/>
          <w:numId w:val="2"/>
        </w:numPr>
        <w:spacing w:after="60" w:line="276"/>
      </w:pPr>
      <w:r>
        <w:rPr>
          <w:b/>
          <w:bCs/>
          <w:color w:val="333333"/>
          <w:sz w:val="21"/>
          <w:szCs w:val="21"/>
        </w:rPr>
        <w:t xml:space="preserve">Profile </w:t>
      </w:r>
      <w:r>
        <w:rPr>
          <w:color w:val="333333"/>
          <w:sz w:val="21"/>
          <w:szCs w:val="21"/>
        </w:rPr>
        <w:t xml:space="preserve">— view and update your personal details.</w:t>
      </w:r>
    </w:p>
    <w:p>
      <w:pPr>
        <w:pStyle w:val="ListParagraph"/>
        <w:numPr>
          <w:ilvl w:val="0"/>
          <w:numId w:val="2"/>
        </w:numPr>
        <w:spacing w:after="60" w:line="276"/>
      </w:pPr>
      <w:r>
        <w:rPr>
          <w:b/>
          <w:bCs/>
          <w:color w:val="333333"/>
          <w:sz w:val="21"/>
          <w:szCs w:val="21"/>
        </w:rPr>
        <w:t xml:space="preserve">Settings </w:t>
      </w:r>
      <w:r>
        <w:rPr>
          <w:color w:val="333333"/>
          <w:sz w:val="21"/>
          <w:szCs w:val="21"/>
        </w:rPr>
        <w:t xml:space="preserve">— adjust personal preferences, including changing your password.</w:t>
      </w:r>
    </w:p>
    <w:p>
      <w:pPr>
        <w:spacing w:after="60"/>
      </w:pPr>
    </w:p>
    <w:tbl>
      <w:tblPr>
        <w:tblW w:type="dxa" w:w="9360"/>
        <w:tblBorders>
          <w:top w:val="single" w:color="1E5EFF" w:sz="4"/>
          <w:left w:val="single" w:color="1E5EFF" w:sz="24"/>
          <w:bottom w:val="single" w:color="1E5EFF" w:sz="4"/>
          <w:right w:val="single" w:color="1E5EFF" w:sz="4"/>
          <w:insideH w:val="none"/>
          <w:insideV w:val="none"/>
        </w:tblBorders>
      </w:tblPr>
      <w:tblGrid>
        <w:gridCol w:w="9360"/>
      </w:tblGrid>
      <w:tr>
        <w:tc>
          <w:tcPr>
            <w:tcW w:type="dxa" w:w="9360"/>
            <w:shd w:fill="F3F6FC" w:color="auto" w:val="clear"/>
            <w:tcMar>
              <w:top w:type="dxa" w:w="100"/>
              <w:left w:type="dxa" w:w="160"/>
              <w:bottom w:type="dxa" w:w="100"/>
              <w:right w:type="dxa" w:w="160"/>
            </w:tcMar>
          </w:tcPr>
          <w:p>
            <w:r>
              <w:rPr>
                <w:b/>
                <w:bCs/>
                <w:color w:val="1E5EFF"/>
                <w:sz w:val="20"/>
                <w:szCs w:val="20"/>
              </w:rPr>
              <w:t xml:space="preserve">Security tip:  </w:t>
            </w:r>
            <w:r>
              <w:rPr>
                <w:color w:val="333333"/>
                <w:sz w:val="20"/>
                <w:szCs w:val="20"/>
              </w:rPr>
              <w:t xml:space="preserve">Choose a strong, unique password and change it if you suspect it has been shared. If your organization uses Azure AD sign-in, your account may be managed centrally instead.</w:t>
            </w:r>
          </w:p>
        </w:tc>
      </w:tr>
    </w:tbl>
    <w:p>
      <w:pPr>
        <w:pStyle w:val="Heading1"/>
        <w:spacing w:after="160" w:before="320"/>
      </w:pPr>
      <w:r>
        <w:rPr>
          <w:color w:val="1F2937"/>
        </w:rPr>
        <w:t xml:space="preserve">14. Tips &amp; Troubleshooting</w:t>
      </w:r>
    </w:p>
    <w:p>
      <w:pPr>
        <w:spacing w:after="60"/>
      </w:pPr>
    </w:p>
    <w:tbl>
      <w:tblPr>
        <w:tblW w:type="dxa" w:w="9360"/>
        <w:tblBorders>
          <w:top w:val="single" w:color="D1D9E6" w:sz="4"/>
          <w:left w:val="single" w:color="D1D9E6" w:sz="4"/>
          <w:bottom w:val="single" w:color="D1D9E6" w:sz="4"/>
          <w:right w:val="single" w:color="D1D9E6" w:sz="4"/>
          <w:insideH w:val="single" w:color="D1D9E6" w:sz="4"/>
          <w:insideV w:val="single" w:color="D1D9E6" w:sz="4"/>
        </w:tblBorders>
      </w:tblPr>
      <w:tblGrid>
        <w:gridCol w:w="3400"/>
        <w:gridCol w:w="5960"/>
      </w:tblGrid>
      <w:tr>
        <w:trPr>
          <w:tblHeader/>
        </w:trPr>
        <w:tc>
          <w:tcPr>
            <w:tcW w:type="dxa" w:w="3400"/>
            <w:shd w:fill="1E5EFF" w:color="auto" w:val="clear"/>
            <w:tcMar>
              <w:top w:type="dxa" w:w="60"/>
              <w:left w:type="dxa" w:w="110"/>
              <w:bottom w:type="dxa" w:w="60"/>
              <w:right w:type="dxa" w:w="110"/>
            </w:tcMar>
          </w:tcPr>
          <w:p>
            <w:r>
              <w:rPr>
                <w:b/>
                <w:bCs/>
                <w:color w:val="FFFFFF"/>
                <w:sz w:val="20"/>
                <w:szCs w:val="20"/>
              </w:rPr>
              <w:t xml:space="preserve">Question / Issue</w:t>
            </w:r>
          </w:p>
        </w:tc>
        <w:tc>
          <w:tcPr>
            <w:tcW w:type="dxa" w:w="5960"/>
            <w:shd w:fill="1E5EFF" w:color="auto" w:val="clear"/>
            <w:tcMar>
              <w:top w:type="dxa" w:w="60"/>
              <w:left w:type="dxa" w:w="110"/>
              <w:bottom w:type="dxa" w:w="60"/>
              <w:right w:type="dxa" w:w="110"/>
            </w:tcMar>
          </w:tcPr>
          <w:p>
            <w:r>
              <w:rPr>
                <w:b/>
                <w:bCs/>
                <w:color w:val="FFFFFF"/>
                <w:sz w:val="20"/>
                <w:szCs w:val="20"/>
              </w:rPr>
              <w:t xml:space="preserve">What to do</w:t>
            </w:r>
          </w:p>
        </w:tc>
      </w:tr>
      <w:tr>
        <w:tc>
          <w:tcPr>
            <w:tcW w:type="dxa" w:w="3400"/>
            <w:tcMar>
              <w:top w:type="dxa" w:w="60"/>
              <w:left w:type="dxa" w:w="110"/>
              <w:bottom w:type="dxa" w:w="60"/>
              <w:right w:type="dxa" w:w="110"/>
            </w:tcMar>
          </w:tcPr>
          <w:p>
            <w:r>
              <w:rPr>
                <w:b w:val="false"/>
                <w:bCs w:val="false"/>
                <w:color w:val="333333"/>
                <w:sz w:val="20"/>
                <w:szCs w:val="20"/>
              </w:rPr>
              <w:t xml:space="preserve">I can’t see a menu item mentioned in this guide.</w:t>
            </w:r>
          </w:p>
        </w:tc>
        <w:tc>
          <w:tcPr>
            <w:tcW w:type="dxa" w:w="5960"/>
            <w:tcMar>
              <w:top w:type="dxa" w:w="60"/>
              <w:left w:type="dxa" w:w="110"/>
              <w:bottom w:type="dxa" w:w="60"/>
              <w:right w:type="dxa" w:w="110"/>
            </w:tcMar>
          </w:tcPr>
          <w:p>
            <w:r>
              <w:rPr>
                <w:b w:val="false"/>
                <w:bCs w:val="false"/>
                <w:color w:val="333333"/>
                <w:sz w:val="20"/>
                <w:szCs w:val="20"/>
              </w:rPr>
              <w:t xml:space="preserve">Your role lacks the required permission. Ask an administrator for access.</w:t>
            </w:r>
          </w:p>
        </w:tc>
      </w:tr>
      <w:tr>
        <w:tc>
          <w:tcPr>
            <w:tcW w:type="dxa" w:w="3400"/>
            <w:shd w:fill="F8FAFC" w:color="auto" w:val="clear"/>
            <w:tcMar>
              <w:top w:type="dxa" w:w="60"/>
              <w:left w:type="dxa" w:w="110"/>
              <w:bottom w:type="dxa" w:w="60"/>
              <w:right w:type="dxa" w:w="110"/>
            </w:tcMar>
          </w:tcPr>
          <w:p>
            <w:r>
              <w:rPr>
                <w:b w:val="false"/>
                <w:bCs w:val="false"/>
                <w:color w:val="333333"/>
                <w:sz w:val="20"/>
                <w:szCs w:val="20"/>
              </w:rPr>
              <w:t xml:space="preserve">I forgot my password.</w:t>
            </w:r>
          </w:p>
        </w:tc>
        <w:tc>
          <w:tcPr>
            <w:tcW w:type="dxa" w:w="5960"/>
            <w:shd w:fill="F8FAFC" w:color="auto" w:val="clear"/>
            <w:tcMar>
              <w:top w:type="dxa" w:w="60"/>
              <w:left w:type="dxa" w:w="110"/>
              <w:bottom w:type="dxa" w:w="60"/>
              <w:right w:type="dxa" w:w="110"/>
            </w:tcMar>
          </w:tcPr>
          <w:p>
            <w:r>
              <w:rPr>
                <w:b w:val="false"/>
                <w:bCs w:val="false"/>
                <w:color w:val="333333"/>
                <w:sz w:val="20"/>
                <w:szCs w:val="20"/>
              </w:rPr>
              <w:t xml:space="preserve">Use Forgot Password? on the login screen, or ask an administrator to reset it.</w:t>
            </w:r>
          </w:p>
        </w:tc>
      </w:tr>
      <w:tr>
        <w:tc>
          <w:tcPr>
            <w:tcW w:type="dxa" w:w="3400"/>
            <w:tcMar>
              <w:top w:type="dxa" w:w="60"/>
              <w:left w:type="dxa" w:w="110"/>
              <w:bottom w:type="dxa" w:w="60"/>
              <w:right w:type="dxa" w:w="110"/>
            </w:tcMar>
          </w:tcPr>
          <w:p>
            <w:r>
              <w:rPr>
                <w:b w:val="false"/>
                <w:bCs w:val="false"/>
                <w:color w:val="333333"/>
                <w:sz w:val="20"/>
                <w:szCs w:val="20"/>
              </w:rPr>
              <w:t xml:space="preserve">A page won’t load or looks broken.</w:t>
            </w:r>
          </w:p>
        </w:tc>
        <w:tc>
          <w:tcPr>
            <w:tcW w:type="dxa" w:w="5960"/>
            <w:tcMar>
              <w:top w:type="dxa" w:w="60"/>
              <w:left w:type="dxa" w:w="110"/>
              <w:bottom w:type="dxa" w:w="60"/>
              <w:right w:type="dxa" w:w="110"/>
            </w:tcMar>
          </w:tcPr>
          <w:p>
            <w:r>
              <w:rPr>
                <w:b w:val="false"/>
                <w:bCs w:val="false"/>
                <w:color w:val="333333"/>
                <w:sz w:val="20"/>
                <w:szCs w:val="20"/>
              </w:rPr>
              <w:t xml:space="preserve">Refresh the browser. If it persists, sign out and back in, and clear your browser cache.</w:t>
            </w:r>
          </w:p>
        </w:tc>
      </w:tr>
      <w:tr>
        <w:tc>
          <w:tcPr>
            <w:tcW w:type="dxa" w:w="3400"/>
            <w:shd w:fill="F8FAFC" w:color="auto" w:val="clear"/>
            <w:tcMar>
              <w:top w:type="dxa" w:w="60"/>
              <w:left w:type="dxa" w:w="110"/>
              <w:bottom w:type="dxa" w:w="60"/>
              <w:right w:type="dxa" w:w="110"/>
            </w:tcMar>
          </w:tcPr>
          <w:p>
            <w:r>
              <w:rPr>
                <w:b w:val="false"/>
                <w:bCs w:val="false"/>
                <w:color w:val="333333"/>
                <w:sz w:val="20"/>
                <w:szCs w:val="20"/>
              </w:rPr>
              <w:t xml:space="preserve">I need to bulk-load many assets.</w:t>
            </w:r>
          </w:p>
        </w:tc>
        <w:tc>
          <w:tcPr>
            <w:tcW w:type="dxa" w:w="5960"/>
            <w:shd w:fill="F8FAFC" w:color="auto" w:val="clear"/>
            <w:tcMar>
              <w:top w:type="dxa" w:w="60"/>
              <w:left w:type="dxa" w:w="110"/>
              <w:bottom w:type="dxa" w:w="60"/>
              <w:right w:type="dxa" w:w="110"/>
            </w:tcMar>
          </w:tcPr>
          <w:p>
            <w:r>
              <w:rPr>
                <w:b w:val="false"/>
                <w:bCs w:val="false"/>
                <w:color w:val="333333"/>
                <w:sz w:val="20"/>
                <w:szCs w:val="20"/>
              </w:rPr>
              <w:t xml:space="preserve">Use the Import option on the Assets page with a CSV/Excel file.</w:t>
            </w:r>
          </w:p>
        </w:tc>
      </w:tr>
      <w:tr>
        <w:tc>
          <w:tcPr>
            <w:tcW w:type="dxa" w:w="3400"/>
            <w:tcMar>
              <w:top w:type="dxa" w:w="60"/>
              <w:left w:type="dxa" w:w="110"/>
              <w:bottom w:type="dxa" w:w="60"/>
              <w:right w:type="dxa" w:w="110"/>
            </w:tcMar>
          </w:tcPr>
          <w:p>
            <w:r>
              <w:rPr>
                <w:b w:val="false"/>
                <w:bCs w:val="false"/>
                <w:color w:val="333333"/>
                <w:sz w:val="20"/>
                <w:szCs w:val="20"/>
              </w:rPr>
              <w:t xml:space="preserve">Amounts show the wrong currency.</w:t>
            </w:r>
          </w:p>
        </w:tc>
        <w:tc>
          <w:tcPr>
            <w:tcW w:type="dxa" w:w="5960"/>
            <w:tcMar>
              <w:top w:type="dxa" w:w="60"/>
              <w:left w:type="dxa" w:w="110"/>
              <w:bottom w:type="dxa" w:w="60"/>
              <w:right w:type="dxa" w:w="110"/>
            </w:tcMar>
          </w:tcPr>
          <w:p>
            <w:r>
              <w:rPr>
                <w:b w:val="false"/>
                <w:bCs w:val="false"/>
                <w:color w:val="333333"/>
                <w:sz w:val="20"/>
                <w:szCs w:val="20"/>
              </w:rPr>
              <w:t xml:space="preserve">An administrator can set the default currency under Admin ▸ System Settings.</w:t>
            </w:r>
          </w:p>
        </w:tc>
      </w:tr>
      <w:tr>
        <w:tc>
          <w:tcPr>
            <w:tcW w:type="dxa" w:w="3400"/>
            <w:shd w:fill="F8FAFC" w:color="auto" w:val="clear"/>
            <w:tcMar>
              <w:top w:type="dxa" w:w="60"/>
              <w:left w:type="dxa" w:w="110"/>
              <w:bottom w:type="dxa" w:w="60"/>
              <w:right w:type="dxa" w:w="110"/>
            </w:tcMar>
          </w:tcPr>
          <w:p>
            <w:r>
              <w:rPr>
                <w:b w:val="false"/>
                <w:bCs w:val="false"/>
                <w:color w:val="333333"/>
                <w:sz w:val="20"/>
                <w:szCs w:val="20"/>
              </w:rPr>
              <w:t xml:space="preserve">I disposed of / deleted the wrong record.</w:t>
            </w:r>
          </w:p>
        </w:tc>
        <w:tc>
          <w:tcPr>
            <w:tcW w:type="dxa" w:w="5960"/>
            <w:shd w:fill="F8FAFC" w:color="auto" w:val="clear"/>
            <w:tcMar>
              <w:top w:type="dxa" w:w="60"/>
              <w:left w:type="dxa" w:w="110"/>
              <w:bottom w:type="dxa" w:w="60"/>
              <w:right w:type="dxa" w:w="110"/>
            </w:tcMar>
          </w:tcPr>
          <w:p>
            <w:r>
              <w:rPr>
                <w:b w:val="false"/>
                <w:bCs w:val="false"/>
                <w:color w:val="333333"/>
                <w:sz w:val="20"/>
                <w:szCs w:val="20"/>
              </w:rPr>
              <w:t xml:space="preserve">Disposed assets are retained and can be reviewed in the Disposed tab; contact an administrator for corrections.</w:t>
            </w:r>
          </w:p>
        </w:tc>
      </w:tr>
    </w:tbl>
    <w:p>
      <w:pPr>
        <w:spacing w:after="60"/>
      </w:pPr>
    </w:p>
    <w:p>
      <w:pPr>
        <w:pStyle w:val="Heading2"/>
        <w:spacing w:after="120" w:before="240"/>
      </w:pPr>
      <w:r>
        <w:rPr>
          <w:color w:val="1E5EFF"/>
        </w:rPr>
        <w:t xml:space="preserve">Getting more help</w:t>
      </w:r>
    </w:p>
    <w:p>
      <w:pPr>
        <w:spacing w:after="120" w:line="276"/>
      </w:pPr>
      <w:r>
        <w:rPr>
          <w:color w:val="333333"/>
          <w:sz w:val="21"/>
          <w:szCs w:val="21"/>
        </w:rPr>
        <w:t xml:space="preserve">For questions this guide does not cover, contact your system administrator or IT team. Technical and installation details are available in the project README and the docs folder that ship with the application.</w:t>
      </w:r>
    </w:p>
    <w:p>
      <w:pPr>
        <w:spacing w:after="60"/>
      </w:pPr>
    </w:p>
    <w:p>
      <w:pPr>
        <w:spacing w:before="400"/>
        <w:jc w:val="center"/>
      </w:pPr>
      <w:r>
        <w:rPr>
          <w:i/>
          <w:iCs/>
          <w:color w:val="6B7280"/>
          <w:sz w:val="20"/>
          <w:szCs w:val="20"/>
        </w:rPr>
        <w:t xml:space="preserve">— End of User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6" w:sz="4" w:space="4"/>
      </w:pBdr>
      <w:jc w:val="right"/>
    </w:pPr>
    <w:r>
      <w:rPr>
        <w:color w:val="6B7280"/>
        <w:sz w:val="16"/>
        <w:szCs w:val="16"/>
      </w:rPr>
      <w:t xml:space="preserve">IT Asset Management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2937"/>
      <w:sz w:val="30"/>
      <w:szCs w:val="30"/>
    </w:rPr>
  </w:style>
  <w:style w:type="paragraph" w:styleId="Heading2">
    <w:name w:val="Heading 2"/>
    <w:basedOn w:val="Normal"/>
    <w:next w:val="Normal"/>
    <w:qFormat/>
    <w:pPr>
      <w:spacing w:after="120" w:before="240"/>
    </w:pPr>
    <w:rPr>
      <w:rFonts w:ascii="Calibri" w:cs="Calibri" w:eastAsia="Calibri" w:hAnsi="Calibri"/>
      <w:b/>
      <w:bCs/>
      <w:color w:val="1E5EFF"/>
      <w:sz w:val="25"/>
      <w:szCs w:val="25"/>
    </w:rPr>
  </w:style>
  <w:style w:type="paragraph" w:styleId="Heading3">
    <w:name w:val="Heading 3"/>
    <w:basedOn w:val="Normal"/>
    <w:next w:val="Normal"/>
    <w:qFormat/>
    <w:pPr>
      <w:spacing w:after="80" w:before="180"/>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Asset Management System — User Guide</dc:title>
  <dc:creator>IT Asset Management System</dc:creator>
  <dc:description>End-user guide for the IT Asset Management System</dc:description>
  <cp:lastModifiedBy>Un-named</cp:lastModifiedBy>
  <cp:revision>1</cp:revision>
  <dcterms:created xsi:type="dcterms:W3CDTF">2026-07-13T19:17:38.742Z</dcterms:created>
  <dcterms:modified xsi:type="dcterms:W3CDTF">2026-07-13T19:17:38.743Z</dcterms:modified>
</cp:coreProperties>
</file>

<file path=docProps/custom.xml><?xml version="1.0" encoding="utf-8"?>
<Properties xmlns="http://schemas.openxmlformats.org/officeDocument/2006/custom-properties" xmlns:vt="http://schemas.openxmlformats.org/officeDocument/2006/docPropsVTypes"/>
</file>