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21D91" w14:textId="73A8D625" w:rsidR="007D3929" w:rsidRDefault="007D3929">
      <w:pPr>
        <w:rPr>
          <w:bCs/>
        </w:rPr>
      </w:pPr>
      <w:r>
        <w:rPr>
          <w:b/>
          <w:u w:val="single"/>
        </w:rPr>
        <w:t>Conclusions</w:t>
      </w:r>
    </w:p>
    <w:p w14:paraId="5045F9CB" w14:textId="799D5022" w:rsidR="007D3929" w:rsidRDefault="006D39BE" w:rsidP="007D392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Crowdfunding goals created in the </w:t>
      </w:r>
      <w:r w:rsidR="00980448">
        <w:rPr>
          <w:bCs/>
        </w:rPr>
        <w:t xml:space="preserve">early to </w:t>
      </w:r>
      <w:r w:rsidR="00352604">
        <w:rPr>
          <w:bCs/>
        </w:rPr>
        <w:t>mid-summer</w:t>
      </w:r>
      <w:r>
        <w:rPr>
          <w:bCs/>
        </w:rPr>
        <w:t xml:space="preserve"> tend to be more successful</w:t>
      </w:r>
      <w:r w:rsidR="00980448">
        <w:rPr>
          <w:bCs/>
        </w:rPr>
        <w:t xml:space="preserve">, compared to those starting at the end of it. June and July see the most successful </w:t>
      </w:r>
      <w:r w:rsidR="00352604">
        <w:rPr>
          <w:bCs/>
        </w:rPr>
        <w:t>starting</w:t>
      </w:r>
      <w:r w:rsidR="00980448">
        <w:rPr>
          <w:bCs/>
        </w:rPr>
        <w:t xml:space="preserve"> times for crowdfunding goals, with a steep decline</w:t>
      </w:r>
      <w:r w:rsidR="006172F5">
        <w:rPr>
          <w:bCs/>
        </w:rPr>
        <w:t xml:space="preserve"> in</w:t>
      </w:r>
      <w:r w:rsidR="00980448">
        <w:rPr>
          <w:bCs/>
        </w:rPr>
        <w:t xml:space="preserve"> success and rise in </w:t>
      </w:r>
      <w:r w:rsidR="00352604">
        <w:rPr>
          <w:bCs/>
        </w:rPr>
        <w:t>failure</w:t>
      </w:r>
      <w:r w:rsidR="006172F5">
        <w:rPr>
          <w:bCs/>
        </w:rPr>
        <w:t xml:space="preserve"> in August</w:t>
      </w:r>
      <w:r w:rsidR="003B0CA2">
        <w:rPr>
          <w:bCs/>
        </w:rPr>
        <w:t xml:space="preserve">. This decline </w:t>
      </w:r>
      <w:r w:rsidR="00FA7358">
        <w:rPr>
          <w:bCs/>
        </w:rPr>
        <w:t>continues</w:t>
      </w:r>
      <w:r w:rsidR="00980448">
        <w:rPr>
          <w:bCs/>
        </w:rPr>
        <w:t xml:space="preserve"> all the way to the end of the year. </w:t>
      </w:r>
      <w:r w:rsidR="00352604">
        <w:rPr>
          <w:bCs/>
        </w:rPr>
        <w:t>It is p</w:t>
      </w:r>
      <w:r w:rsidR="00A30A0B">
        <w:rPr>
          <w:bCs/>
        </w:rPr>
        <w:t xml:space="preserve">ossible that </w:t>
      </w:r>
      <w:r w:rsidR="00352604">
        <w:rPr>
          <w:bCs/>
        </w:rPr>
        <w:t>summertime</w:t>
      </w:r>
      <w:r w:rsidR="00A30A0B">
        <w:rPr>
          <w:bCs/>
        </w:rPr>
        <w:t xml:space="preserve"> provides crowdfunding </w:t>
      </w:r>
      <w:r w:rsidR="00352604">
        <w:rPr>
          <w:bCs/>
        </w:rPr>
        <w:t>campaigns with</w:t>
      </w:r>
      <w:r w:rsidR="00A30A0B">
        <w:rPr>
          <w:bCs/>
        </w:rPr>
        <w:t xml:space="preserve"> a more captive audience with </w:t>
      </w:r>
      <w:r w:rsidR="00352604">
        <w:rPr>
          <w:bCs/>
        </w:rPr>
        <w:t>students’</w:t>
      </w:r>
      <w:r w:rsidR="00A30A0B">
        <w:rPr>
          <w:bCs/>
        </w:rPr>
        <w:t xml:space="preserve"> home from </w:t>
      </w:r>
      <w:r w:rsidR="00352604">
        <w:rPr>
          <w:bCs/>
        </w:rPr>
        <w:t>school.</w:t>
      </w:r>
      <w:r w:rsidR="00292ECE">
        <w:rPr>
          <w:bCs/>
        </w:rPr>
        <w:t xml:space="preserve"> Once students return to school in August/September and people get back to their annual routines, the attentiveness goes away.</w:t>
      </w:r>
      <w:r w:rsidR="00371C4A">
        <w:rPr>
          <w:bCs/>
        </w:rPr>
        <w:t xml:space="preserve"> The holidays see deep decline as well as people likely spend more time focusing on family and saving money for </w:t>
      </w:r>
      <w:r w:rsidR="00352604">
        <w:rPr>
          <w:bCs/>
        </w:rPr>
        <w:t>presents/vacations.</w:t>
      </w:r>
    </w:p>
    <w:p w14:paraId="335D42C7" w14:textId="0BBD611E" w:rsidR="00342B52" w:rsidRDefault="00B74F13" w:rsidP="007D3929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>There are two</w:t>
      </w:r>
      <w:r w:rsidR="00DF05AB">
        <w:rPr>
          <w:bCs/>
        </w:rPr>
        <w:t xml:space="preserve"> ranges</w:t>
      </w:r>
      <w:r>
        <w:rPr>
          <w:bCs/>
        </w:rPr>
        <w:t xml:space="preserve"> where crowdfunding goals had a 100% success rate: the 15,000</w:t>
      </w:r>
      <w:r w:rsidR="009B2667">
        <w:rPr>
          <w:bCs/>
        </w:rPr>
        <w:t xml:space="preserve"> to 24,000 range, and the 30,000 to 34,999 range. This suggests that there may be some “sweet spots” where a goal is not too large to be unreasonable, </w:t>
      </w:r>
      <w:r w:rsidR="001919EE">
        <w:rPr>
          <w:bCs/>
        </w:rPr>
        <w:t>or</w:t>
      </w:r>
      <w:r w:rsidR="009B2667">
        <w:rPr>
          <w:bCs/>
        </w:rPr>
        <w:t xml:space="preserve"> not </w:t>
      </w:r>
      <w:r w:rsidR="00937487">
        <w:rPr>
          <w:bCs/>
        </w:rPr>
        <w:t>too</w:t>
      </w:r>
      <w:r w:rsidR="009B2667">
        <w:rPr>
          <w:bCs/>
        </w:rPr>
        <w:t xml:space="preserve"> small </w:t>
      </w:r>
      <w:r w:rsidR="0085314E">
        <w:rPr>
          <w:bCs/>
        </w:rPr>
        <w:t>to</w:t>
      </w:r>
      <w:r w:rsidR="009B2667">
        <w:rPr>
          <w:bCs/>
        </w:rPr>
        <w:t xml:space="preserve"> not be taken very seriously.</w:t>
      </w:r>
    </w:p>
    <w:p w14:paraId="6EC7D666" w14:textId="06A78D1A" w:rsidR="000B577B" w:rsidRDefault="00AE26E8" w:rsidP="000B577B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The </w:t>
      </w:r>
      <w:r w:rsidR="00BD02A7">
        <w:rPr>
          <w:bCs/>
        </w:rPr>
        <w:t xml:space="preserve">existence of sweet spots also suggests the existence of </w:t>
      </w:r>
      <w:r w:rsidR="00704D15">
        <w:rPr>
          <w:bCs/>
        </w:rPr>
        <w:t>the</w:t>
      </w:r>
      <w:r w:rsidR="00BD02A7">
        <w:rPr>
          <w:bCs/>
        </w:rPr>
        <w:t xml:space="preserve"> opposite. There are two areas where successful campaigns were outnumbered by failed ones: </w:t>
      </w:r>
      <w:r w:rsidR="00AB3CB8">
        <w:rPr>
          <w:bCs/>
        </w:rPr>
        <w:t>the ~10,000 to 14,999 range, and the greater than or equal to 50,000.</w:t>
      </w:r>
      <w:r w:rsidR="00A61B94">
        <w:rPr>
          <w:bCs/>
        </w:rPr>
        <w:t xml:space="preserve"> This is highlighted</w:t>
      </w:r>
      <w:r w:rsidR="000B577B">
        <w:rPr>
          <w:bCs/>
        </w:rPr>
        <w:t xml:space="preserve"> in the picture below, </w:t>
      </w:r>
      <w:r w:rsidR="00A61B94">
        <w:rPr>
          <w:bCs/>
        </w:rPr>
        <w:t xml:space="preserve">where the circle indicates the existence </w:t>
      </w:r>
      <w:r w:rsidR="003B0CA2">
        <w:rPr>
          <w:bCs/>
        </w:rPr>
        <w:t>of</w:t>
      </w:r>
      <w:r w:rsidR="00A61B94">
        <w:rPr>
          <w:bCs/>
        </w:rPr>
        <w:t xml:space="preserve"> a </w:t>
      </w:r>
      <w:r w:rsidR="000B577B">
        <w:rPr>
          <w:bCs/>
        </w:rPr>
        <w:t>“failure valley” in the increase of funding goals</w:t>
      </w:r>
      <w:r w:rsidR="00341C52">
        <w:rPr>
          <w:bCs/>
        </w:rPr>
        <w:t>.</w:t>
      </w:r>
    </w:p>
    <w:p w14:paraId="115D5B80" w14:textId="771978EC" w:rsidR="00527990" w:rsidRPr="007D3929" w:rsidRDefault="00527990" w:rsidP="00527990">
      <w:pPr>
        <w:pStyle w:val="ListParagraph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0FF88" wp14:editId="4FA6A9FE">
                <wp:simplePos x="0" y="0"/>
                <wp:positionH relativeFrom="column">
                  <wp:posOffset>2053988</wp:posOffset>
                </wp:positionH>
                <wp:positionV relativeFrom="paragraph">
                  <wp:posOffset>556914</wp:posOffset>
                </wp:positionV>
                <wp:extent cx="866633" cy="293427"/>
                <wp:effectExtent l="19050" t="19050" r="10160" b="11430"/>
                <wp:wrapNone/>
                <wp:docPr id="17668586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33" cy="29342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B436B" id="Oval 1" o:spid="_x0000_s1026" style="position:absolute;margin-left:161.75pt;margin-top:43.85pt;width:68.2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" filled="f" strokecolor="white [3212]" strokeweight="2.25pt">
                <v:stroke dashstyle="1 1"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50CCFC7" wp14:editId="25AB3873">
            <wp:extent cx="5943600" cy="2271395"/>
            <wp:effectExtent l="0" t="0" r="0" b="14605"/>
            <wp:docPr id="18890844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ECCF94-F5D5-CFB6-D03A-51063C50A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A1CDBB" w14:textId="77777777" w:rsidR="007D3929" w:rsidRDefault="007D3929">
      <w:pPr>
        <w:rPr>
          <w:b/>
          <w:u w:val="single"/>
        </w:rPr>
      </w:pPr>
    </w:p>
    <w:p w14:paraId="191CDC5C" w14:textId="49C53C29" w:rsidR="00252B56" w:rsidRDefault="007D3929">
      <w:pPr>
        <w:rPr>
          <w:b/>
          <w:u w:val="single"/>
        </w:rPr>
      </w:pPr>
      <w:r w:rsidRPr="007D3929">
        <w:rPr>
          <w:b/>
          <w:u w:val="single"/>
        </w:rPr>
        <w:t>Limitations</w:t>
      </w:r>
    </w:p>
    <w:p w14:paraId="4035C34E" w14:textId="06519536" w:rsidR="007D3929" w:rsidRDefault="007D3929" w:rsidP="007D3929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There should be a more even dispersion of the categories in the data. Right now, it is heavily skewed towards music and film/video. I believe this throws off some of the data. Since there</w:t>
      </w:r>
      <w:r w:rsidR="00333E75">
        <w:rPr>
          <w:bCs/>
        </w:rPr>
        <w:t xml:space="preserve"> are so many</w:t>
      </w:r>
      <w:r>
        <w:rPr>
          <w:bCs/>
        </w:rPr>
        <w:t xml:space="preserve"> music and film crowdfunding campaigns in the data set, </w:t>
      </w:r>
      <w:r w:rsidR="00333E75">
        <w:rPr>
          <w:bCs/>
        </w:rPr>
        <w:t xml:space="preserve">there is </w:t>
      </w:r>
      <w:r>
        <w:rPr>
          <w:bCs/>
        </w:rPr>
        <w:t>much more attention</w:t>
      </w:r>
      <w:r w:rsidR="00333E75">
        <w:rPr>
          <w:bCs/>
        </w:rPr>
        <w:t xml:space="preserve"> drawn</w:t>
      </w:r>
      <w:r>
        <w:rPr>
          <w:bCs/>
        </w:rPr>
        <w:t xml:space="preserve"> to those categories when put into a bar graph. In a future data set I would recommend getting the same </w:t>
      </w:r>
      <w:r w:rsidR="00DB3DAD">
        <w:rPr>
          <w:bCs/>
        </w:rPr>
        <w:t>sample size</w:t>
      </w:r>
      <w:r>
        <w:rPr>
          <w:bCs/>
        </w:rPr>
        <w:t xml:space="preserve"> of campaigns in each category.</w:t>
      </w:r>
    </w:p>
    <w:p w14:paraId="16A82ADD" w14:textId="2B0AAA16" w:rsidR="000B0132" w:rsidRDefault="008E068D" w:rsidP="000B013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Currency types</w:t>
      </w:r>
      <w:r w:rsidR="00CF3D6D">
        <w:rPr>
          <w:bCs/>
        </w:rPr>
        <w:t xml:space="preserve"> need to be consistent across the board. </w:t>
      </w:r>
      <w:r w:rsidR="008A5761">
        <w:rPr>
          <w:bCs/>
        </w:rPr>
        <w:t xml:space="preserve">Not having all the data into </w:t>
      </w:r>
      <w:r w:rsidR="003F33DE">
        <w:rPr>
          <w:bCs/>
        </w:rPr>
        <w:t>the same</w:t>
      </w:r>
      <w:r w:rsidR="008A5761">
        <w:rPr>
          <w:bCs/>
        </w:rPr>
        <w:t xml:space="preserve"> currency almost makes the data seem somewhat unusable. </w:t>
      </w:r>
      <w:r w:rsidR="003F33DE">
        <w:rPr>
          <w:bCs/>
        </w:rPr>
        <w:t xml:space="preserve">For example, </w:t>
      </w:r>
      <w:r w:rsidR="00DD3B92">
        <w:rPr>
          <w:bCs/>
        </w:rPr>
        <w:t xml:space="preserve">108,400 AUD is an immensely higher number than its USD conversion, </w:t>
      </w:r>
      <w:r w:rsidR="0019219E">
        <w:rPr>
          <w:bCs/>
        </w:rPr>
        <w:t xml:space="preserve">69,631. Putting flat numbers </w:t>
      </w:r>
      <w:r w:rsidR="00630116">
        <w:rPr>
          <w:bCs/>
        </w:rPr>
        <w:t xml:space="preserve">meaning to represent currency </w:t>
      </w:r>
      <w:r w:rsidR="0019219E">
        <w:rPr>
          <w:bCs/>
        </w:rPr>
        <w:t xml:space="preserve">in the data without first converting them to a single currency </w:t>
      </w:r>
      <w:r w:rsidR="00606360">
        <w:rPr>
          <w:bCs/>
        </w:rPr>
        <w:t xml:space="preserve">skews the validity of any analysis using the </w:t>
      </w:r>
      <w:r w:rsidR="0045018D">
        <w:rPr>
          <w:bCs/>
        </w:rPr>
        <w:t xml:space="preserve">funding </w:t>
      </w:r>
      <w:r w:rsidR="00606360">
        <w:rPr>
          <w:bCs/>
        </w:rPr>
        <w:t>goal as a data point.</w:t>
      </w:r>
    </w:p>
    <w:p w14:paraId="388B30A9" w14:textId="302894FE" w:rsidR="000B0132" w:rsidRPr="000B0132" w:rsidRDefault="00FA7358" w:rsidP="000B0132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There may need to be a better </w:t>
      </w:r>
      <w:r w:rsidR="000B0132">
        <w:rPr>
          <w:bCs/>
        </w:rPr>
        <w:t>explanation of what the outcomes mean</w:t>
      </w:r>
      <w:r>
        <w:rPr>
          <w:bCs/>
        </w:rPr>
        <w:t>.</w:t>
      </w:r>
      <w:r w:rsidR="00E63D1C">
        <w:rPr>
          <w:bCs/>
        </w:rPr>
        <w:t xml:space="preserve"> Does “failed”</w:t>
      </w:r>
      <w:r w:rsidR="000B0132">
        <w:rPr>
          <w:bCs/>
        </w:rPr>
        <w:t xml:space="preserve"> mean </w:t>
      </w:r>
      <w:r w:rsidR="0047201F">
        <w:rPr>
          <w:bCs/>
        </w:rPr>
        <w:t>failed to launch, or failed after</w:t>
      </w:r>
      <w:r w:rsidR="00E63D1C">
        <w:rPr>
          <w:bCs/>
        </w:rPr>
        <w:t xml:space="preserve"> launch</w:t>
      </w:r>
      <w:r w:rsidR="0047201F">
        <w:rPr>
          <w:bCs/>
        </w:rPr>
        <w:t>, or both</w:t>
      </w:r>
      <w:r w:rsidR="00D86069">
        <w:rPr>
          <w:bCs/>
        </w:rPr>
        <w:t>?</w:t>
      </w:r>
      <w:r w:rsidR="0052759A">
        <w:rPr>
          <w:bCs/>
        </w:rPr>
        <w:t xml:space="preserve"> For example, some crowdfunded video games </w:t>
      </w:r>
      <w:r w:rsidR="0052759A">
        <w:rPr>
          <w:bCs/>
        </w:rPr>
        <w:lastRenderedPageBreak/>
        <w:t xml:space="preserve">will meet their goal, launch the game, but then eventually shut down </w:t>
      </w:r>
      <w:r w:rsidR="00B64798">
        <w:rPr>
          <w:bCs/>
        </w:rPr>
        <w:t>if it does not get enough engagement from players to keep it alive.</w:t>
      </w:r>
    </w:p>
    <w:p w14:paraId="3E7A3BAE" w14:textId="5E1438A5" w:rsidR="00205A9E" w:rsidRDefault="00205A9E" w:rsidP="00205A9E">
      <w:pPr>
        <w:rPr>
          <w:b/>
          <w:u w:val="single"/>
        </w:rPr>
      </w:pPr>
      <w:r w:rsidRPr="00205A9E">
        <w:rPr>
          <w:b/>
          <w:u w:val="single"/>
        </w:rPr>
        <w:t>Further Data Visualization</w:t>
      </w:r>
    </w:p>
    <w:p w14:paraId="0532B804" w14:textId="48AC087E" w:rsidR="00E6221F" w:rsidRPr="00725DDB" w:rsidRDefault="007F66C7" w:rsidP="00E6221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</w:t>
      </w:r>
      <w:r w:rsidR="00AE30C4">
        <w:rPr>
          <w:bCs/>
        </w:rPr>
        <w:t>nother graph that could be useful would be one</w:t>
      </w:r>
      <w:r>
        <w:rPr>
          <w:bCs/>
        </w:rPr>
        <w:t xml:space="preserve"> that displays </w:t>
      </w:r>
      <w:r w:rsidR="0085314E">
        <w:rPr>
          <w:bCs/>
        </w:rPr>
        <w:t>the number</w:t>
      </w:r>
      <w:r>
        <w:rPr>
          <w:bCs/>
        </w:rPr>
        <w:t xml:space="preserve"> of successful, failed, and canceled campaigns by the percentage it was funded.</w:t>
      </w:r>
      <w:r w:rsidR="00E63D1C">
        <w:rPr>
          <w:bCs/>
        </w:rPr>
        <w:t xml:space="preserve"> There was at least one campaign that was 100% funded to its goal</w:t>
      </w:r>
      <w:r w:rsidR="004F0F21">
        <w:rPr>
          <w:bCs/>
        </w:rPr>
        <w:t>,</w:t>
      </w:r>
      <w:r w:rsidR="00E63D1C">
        <w:rPr>
          <w:bCs/>
        </w:rPr>
        <w:t xml:space="preserve"> but </w:t>
      </w:r>
      <w:r w:rsidR="004F0F21">
        <w:rPr>
          <w:bCs/>
        </w:rPr>
        <w:t xml:space="preserve">still </w:t>
      </w:r>
      <w:r w:rsidR="00E63D1C">
        <w:rPr>
          <w:bCs/>
        </w:rPr>
        <w:t>failed. This goes back to the limitation of the data with the term “failed” being nebulous.</w:t>
      </w:r>
    </w:p>
    <w:sectPr w:rsidR="00E6221F" w:rsidRPr="0072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A9"/>
    <w:multiLevelType w:val="hybridMultilevel"/>
    <w:tmpl w:val="36E2D38E"/>
    <w:lvl w:ilvl="0" w:tplc="6BA2B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24AA6"/>
    <w:multiLevelType w:val="hybridMultilevel"/>
    <w:tmpl w:val="B6B2453A"/>
    <w:lvl w:ilvl="0" w:tplc="30301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148684">
    <w:abstractNumId w:val="0"/>
  </w:num>
  <w:num w:numId="2" w16cid:durableId="34016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29"/>
    <w:rsid w:val="000B0132"/>
    <w:rsid w:val="000B577B"/>
    <w:rsid w:val="001919EE"/>
    <w:rsid w:val="0019219E"/>
    <w:rsid w:val="001A3A17"/>
    <w:rsid w:val="00205A9E"/>
    <w:rsid w:val="00234392"/>
    <w:rsid w:val="00252B56"/>
    <w:rsid w:val="00292ECE"/>
    <w:rsid w:val="00333E75"/>
    <w:rsid w:val="00341C52"/>
    <w:rsid w:val="00342B52"/>
    <w:rsid w:val="00352604"/>
    <w:rsid w:val="00371C4A"/>
    <w:rsid w:val="003B0CA2"/>
    <w:rsid w:val="003F33DE"/>
    <w:rsid w:val="0045018D"/>
    <w:rsid w:val="0047201F"/>
    <w:rsid w:val="004F0F21"/>
    <w:rsid w:val="0052759A"/>
    <w:rsid w:val="00527990"/>
    <w:rsid w:val="00606360"/>
    <w:rsid w:val="006172F5"/>
    <w:rsid w:val="00617BFC"/>
    <w:rsid w:val="00630116"/>
    <w:rsid w:val="006D39BE"/>
    <w:rsid w:val="00704D15"/>
    <w:rsid w:val="00725DDB"/>
    <w:rsid w:val="00780E67"/>
    <w:rsid w:val="007D3929"/>
    <w:rsid w:val="007E23F6"/>
    <w:rsid w:val="007F66C7"/>
    <w:rsid w:val="0085314E"/>
    <w:rsid w:val="008A5761"/>
    <w:rsid w:val="008E068D"/>
    <w:rsid w:val="00937487"/>
    <w:rsid w:val="00980448"/>
    <w:rsid w:val="009B2667"/>
    <w:rsid w:val="00A30A0B"/>
    <w:rsid w:val="00A61B94"/>
    <w:rsid w:val="00AB3CB8"/>
    <w:rsid w:val="00AE26E8"/>
    <w:rsid w:val="00AE30C4"/>
    <w:rsid w:val="00B21850"/>
    <w:rsid w:val="00B64798"/>
    <w:rsid w:val="00B74F13"/>
    <w:rsid w:val="00BD02A7"/>
    <w:rsid w:val="00CF3D6D"/>
    <w:rsid w:val="00D8364D"/>
    <w:rsid w:val="00D86069"/>
    <w:rsid w:val="00DB3DAD"/>
    <w:rsid w:val="00DD3B92"/>
    <w:rsid w:val="00DF05AB"/>
    <w:rsid w:val="00E6221F"/>
    <w:rsid w:val="00E63D1C"/>
    <w:rsid w:val="00EC6EDF"/>
    <w:rsid w:val="00FA6DEB"/>
    <w:rsid w:val="00FA7358"/>
    <w:rsid w:val="00FD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4990C"/>
  <w15:chartTrackingRefBased/>
  <w15:docId w15:val="{D2B88212-6848-4818-B663-9867EB68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4e1cf90b61954fb/Desktop/UNC/excel-challenge/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Outcomes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'Crowdfunding Goal Analysis'!$F$1</c:f>
              <c:strCache>
                <c:ptCount val="1"/>
                <c:pt idx="0">
                  <c:v>Percentange Successful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strRef>
              <c:f>'Crowdfunding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'Crowdfunding Goal Analysis'!$F$2:$F$13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8E-4BF1-A8E6-6CFEA4702EF8}"/>
            </c:ext>
          </c:extLst>
        </c:ser>
        <c:ser>
          <c:idx val="1"/>
          <c:order val="1"/>
          <c:tx>
            <c:strRef>
              <c:f>'Crowdfunding Goal Analysis'!$G$1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'Crowdfunding Goal Analysis'!$G$2:$G$13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8E-4BF1-A8E6-6CFEA4702EF8}"/>
            </c:ext>
          </c:extLst>
        </c:ser>
        <c:ser>
          <c:idx val="2"/>
          <c:order val="2"/>
          <c:tx>
            <c:strRef>
              <c:f>'Crowdfunding Goal Analysis'!$H$1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cat>
            <c:strRef>
              <c:f>'Crowdfunding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'Crowdfunding Goal Analysis'!$H$2:$H$13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8E-4BF1-A8E6-6CFEA4702E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6591920"/>
        <c:axId val="876596144"/>
      </c:lineChart>
      <c:catAx>
        <c:axId val="8765919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Funding Goal Amount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96144"/>
        <c:crosses val="autoZero"/>
        <c:auto val="1"/>
        <c:lblAlgn val="ctr"/>
        <c:lblOffset val="100"/>
        <c:noMultiLvlLbl val="0"/>
      </c:catAx>
      <c:valAx>
        <c:axId val="87659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9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E1486-AB5B-494A-92D2-0408C89A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58</cp:revision>
  <dcterms:created xsi:type="dcterms:W3CDTF">2023-10-01T21:24:00Z</dcterms:created>
  <dcterms:modified xsi:type="dcterms:W3CDTF">2023-10-04T03:22:00Z</dcterms:modified>
</cp:coreProperties>
</file>