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по предмету «АСОИиУ»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Д. С. Шипицин</w:t>
            </w:r>
          </w:p>
          <w:p>
            <w:pPr>
              <w:spacing w:before="1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2026 г.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Печать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студент гр. ИСИб-23-1 ИРНИТУ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Л. А. Демонов</w:t>
            </w:r>
          </w:p>
          <w:p>
            <w:pPr>
              <w:spacing w:before="1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2026 г.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Печать</w:t>
            </w:r>
          </w:p>
        </w:tc>
      </w:tr>
    </w:tbl>
    <w:p>
      <w:pPr>
        <w:spacing w:before="600" w:line="276"/>
        <w:jc w:val="center"/>
      </w:pPr>
    </w:p>
    <w:p>
      <w:pPr>
        <w:pBdr>
          <w:bottom w:val="single" w:color="000000" w:sz="6" w:space="1"/>
        </w:pBdr>
        <w:spacing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ИРНИТУ, институт ИТиАД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организации - разработчика ТП на АС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мультиагентной системы ситуативного обучения с динамическим синтезом и верификацией адаптивных образовательных сценариев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вида АС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Автономная цифровая среда интеллектуального тренинга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объекта автоматизации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МАССО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сокращенное наименование АС</w:t>
      </w:r>
    </w:p>
    <w:p>
      <w:pPr>
        <w:spacing w:before="9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ТЕХНИЧЕСКИЙ ПРОЕКТ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Редакция 3 (по результатам реализации первой очереди)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На 81 листах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Действует с «___» ____________ 2026 г.</w:t>
      </w:r>
    </w:p>
    <w:p>
      <w:pPr>
        <w:spacing w:before="1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</w:t>
      </w:r>
    </w:p>
    <w:p>
      <w:pPr>
        <w:spacing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</w:t>
      </w:r>
    </w:p>
    <w:p>
      <w:pPr>
        <w:spacing w:before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Д. С. Шипицин</w:t>
      </w:r>
    </w:p>
    <w:p>
      <w:pPr>
        <w:spacing w:before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 2026 г.</w:t>
      </w:r>
    </w:p>
    <w:p>
      <w:pPr>
        <w:spacing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Печать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Постановка проектных решений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3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Модель сущность-связь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7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Модели процессов To-Be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10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Диаграммы последовательности функциональностей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17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Модели данных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29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Архитектура системы в нотации C4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39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Модели информационных потоков данных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47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Шаблоны справочников и НСИ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51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Проектирование API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54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Модель структуры интерфейса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58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Макеты интерфейсов системы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60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Контрольные проектные сценарии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79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Вывод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80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Постановка проектных решений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Технический проект разработан для автоматизированной системы «МАССО» - мультиагентной системы ситуативного обучения с динамическим синтезом и верификацией адаптивных образовательных сценариев. Проектные решения синхронизированы с техническим заданием (редакция 3) и с реализованным опытным образцом: сохраняются роли пользователей, трехагентная схема, гибридный LLM-контур, изолированные учебные среды Docker, автоматическая верификация и отчетность.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Объект проектирования - цифровая среда практического обучения, в которой обучающийся получает индивидуальный сценарий, работает в изолированной среде, документном тренажере или редакторе задачи на код, получает теорию по навыкам сценария, а система фиксирует цифровой след, выдает ограниченные подсказки, проверяет результат и обновляет граф компетенций.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Настоящая редакция описывает первую очередь создания системы (пункт 1.9 ТЗ) в том виде, в котором она реализована. Все компоненты реализуются в одном приложении Backend/API (модульный монолит), все данные - включая граф компетенций, векторные представления и состояния фоновых задач - хранятся в PostgreSQL 18 с расширением pgvector, фоновые задачи выполняет worker - асинхронная задача того же процесса. Решения второй очереди (выделение агентов, Sandbox Manager и Verification Engine в отдельные сервисы, сетевой allowlist учебных сред) указаны в тексте как направления развития и не меняют публичного API и модели данных. Хранилище в обеих очередях одно - PostgreSQL с pgvector, учебные среды работают на Docker Engine.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Назначение проектных артефактов.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Артефакты технического проекта используются для перехода от требований к реализации: модель сущность-связь задает границы предметной области, To-Be модели уточняют работу модулей, диаграммы последовательности закрепляют взаимодействия, модели данных определяют структуру хранилища, C4 фиксирует архитектуру, DFD описывает информационные потоки, а макеты показывают интерфейс системы.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 таблице 1 приведена трассировка между требованиями ТЗ и решениями настоящего ТП.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1 - Трассировка ТЗ и технического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662"/>
        <w:gridCol w:w="1928"/>
        <w:gridCol w:w="2120"/>
      </w:tblGrid>
      <w:tr>
        <w:trPr>
          <w:cantSplit/>
          <w:tblHeader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Требование ТЗ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Проектное решение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Где раскрыто в ТП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Артефакты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Очередность создания (1.9)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Модульный монолит, одно хранилище PostgreSQL + pgvector, фоновый worker в процессе Backend/API; во второй очереди компоненты выделяются в сервисы без смены хранилища.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1, 5, 6.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22-24, Рис. 27, Рис. 28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Ролевая модель и RBAC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JWT, ротируемый refresh-токен в HttpOnly-cookie, блокировка перебора паролей, матрица прав и аудит изменения ролей.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4, 8, 9.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2, Рис. 9, Рис. 48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Граф компетенций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Таблицы domains, skills, skill_requires, user_skills, track_targets; обход prerequisite-связей в ProfileAgent; карта компетенций обучающегося.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2, 3, 5,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1, Рис. 3, Рис. 23, Рис. 42, Рис. 45, Рис. 47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Генерация сценариев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ScenarioAgent формирует легенду и параметры, выбирает инциденты из пула шаблона, проверяет уникальность через pgvector и достижимость прогоном.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4, 5, 8.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4, Рис. 11, Рис. 16, Рис. 46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Учебные сессии и sandbox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Sandbox Manager запускает контейнер «учебный сервер» без сети и привилегий, с лимитами ресурсов; пауза, лимит времени и автоотправка.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4, 5, 6.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5, Рис. 12, Рис. 25, Рис. 31, Рис. 38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Документный тренажер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Пакет документов и дефекты формируются программно по параметрам шаблона, ответ сохраняется автоматически, проверка по ключу варианта.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4, 8,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4, Рис. 6, Рис. 39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Задачи на программирование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Редактор кода, запуск кода в одноразовом контейнере песочницы, скрытые тесты по группам, проверка собственных тестов на эталоне и типичных ошибках.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4, 6, 8, 9,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19, Рис. 29, Рис. 40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Подсказки, инциденты, теория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Worker вносит инцидент по сроку, AssessmentAgent выдает не более 3 подсказок со штрафом 10 %, самопроверка без штрафа, теория по навыкам сценария.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4, 8,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6, Рис. 13, Рис. 38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Автоматическая проверка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Verification Engine выполняет checks, AssessmentAgent рассчитывает балл и обновляет профиль.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4, 5, 8.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6, Рис. 14, Рис. 41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Отчеты и экспертная оценка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Отчеты с обязательным периодом, экспорт CSV/JSON, печатная форма отчета, корректировка с причиной.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4, 9,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7, Рис. 15, Рис. 18, Рис. 43, Рис. 44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Гибридный LLM-контур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LLM Gateway с OpenAI-совместимым API (GigaChat - через адаптер gpt2giga) переключает внешний, локальный и шаблонный режимы без остановки сессий.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4, 6,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8, Рис. 17, Рис. 49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Мониторинг и безопасность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Метрики /metrics, журналы аудита и security_events, HTTPS/WSS в эксплуатационном режиме, ручная очистка сред.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Разделы 3, 6,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Рис. 8, Рис. 31, Рис. 50</w:t>
            </w:r>
          </w:p>
        </w:tc>
      </w:tr>
    </w:tbl>
    <w:p>
      <w:pPr>
        <w:spacing w:line="240"/>
        <w:sectPr>
          <w:type w:val="nextPage"/>
          <w:pgSz w:w="11906" w:h="16838"/>
          <w:pgMar w:top="1134" w:right="567" w:bottom="1134" w:left="1701" w:header="708" w:footer="567" w:gutter="0"/>
          <w:titlePg/>
          <w:docGrid w:linePitch="360"/>
        </w:sectPr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Модель сущность-связь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Модель сущность-связь определяет основные объекты МАССО: пользователей, роли, предметные области, компетенции, сценарии, назначения, сессии, события, подсказки, результаты проверки, отчеты и эксплуатационные настройки. Центральной операционной сущностью является учебная сессия: она связывает обучающегося, индивидуальный запуск сценария, цифровой след, проверки и итоговый отчет.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ER-модель представлена на Рис. 1. Справочные данные отделены от операционных: роли, предметные области, профили песочниц и настройки LLM ведутся отдельно, а события сессии и результаты проверки имеют обязательные корреляционные идентификаторы.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8749566" cy="4680000"/>
            <wp:effectExtent t="0" r="0" b="0" l="0"/>
            <wp:docPr id="1" name="Рис. 1. Модель сущность-связь МАССО" descr="Рис. 1. Модель сущность-связь МАССО" title="Рис. 1. Модель сущность-связь МАСС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56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1. Модель сущность-связь МАССО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Связи модели: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один пользователь может иметь несколько ролей через связующую сущность UserRole;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предметная область (Domain) объединяет навыки и шаблоны сценариев и задает направление обучения с целевыми уровнями навыков (TrackTarget, таблица track_targets);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навыки связаны между собой отношением REQUIRES (таблица skill_requires) с весом от 0 до 1; навык содержит теорию для обучающегося;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пользователь и навык связаны отношением HAS_SKILL (таблица user_skills) с уровнем и счетчиками подтверждений;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шаблон сценария связан с навыками отношением TARGETS (таблица template_skills) и имеет несколько индивидуальных запусков ScenarioRun;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назначение (Assignment) связывает шаблон сценария с группой или обучающимся и сроком выполнения;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один запуск сценария порождает одну или несколько учебных сессий;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одна учебная сессия содержит события, подсказки, результат проверки и итоговый отчет;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подтвержденное альтернативное решение (AcceptedSolution) связано с шаблоном сценария и сессией, в которой оно получено;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изменения оценок, ролей, LLM-режима, sandbox-профилей, справочника предметных областей и шаблонов фиксируются в журнале аудита.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Модели процессов To-Be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Процессы To-Be описывают целевую работу каждого ключевого модуля системы. В отличие от ТЗ, где сформулированы требования, здесь зафиксирован проектный порядок обработки данных, ответственности модулей и точки сохранения состояния.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Процесс аутентификации и разграничения прав приведен на Рис. 2. Пользователь проходит вход, модуль Auth/RBAC проверяет учетные данные и временную блокировку после серии неудачных попыток, выдает токены и набор ролей, затем клиентское приложение открывает только те разделы, которые разрешены назначенными ролями.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2682556"/>
            <wp:effectExtent t="0" r="0" b="0" l="0"/>
            <wp:docPr id="2" name="Рис. 2. To-Be процесс аутентификации и RBAC" descr="Рис. 2. To-Be процесс аутентификации и RBAC" title="Рис. 2. To-Be процесс аутентификации и R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268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2. To-Be процесс аутентификации и RBAC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Процесс формирования профиля компетенций приведен на Рис. 3. ProfileAgent читает уровни навыков из user_skills и целевые уровни направления из track_targets, обходом графа skill_requires (с учетом транзитивных связей) определяет зависимые навыки, вычисляет и ранжирует дефициты и возвращает рекомендации по сценариям; тот же профиль отображается обучающемуся в карте компетенций.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2668577"/>
            <wp:effectExtent t="0" r="0" b="0" l="0"/>
            <wp:docPr id="3" name="Рис. 3. To-Be процесс формирования профиля компетенций" descr="Рис. 3. To-Be процесс формирования профиля компетенций" title="Рис. 3. To-Be процесс формирования профиля компетен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26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3. To-Be процесс формирования профиля компетенций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Процесс генерации сценария приведен на Рис. 4. ScenarioAgent выбирает параметры варианта: для контейнерного сценария - начальный сбой и инциденты из пула шаблона, для документного - пакет документов с дефектами, для задачи на код - параметры условия и тестовые данные; получает легенду через LLM Gateway, исключает повторы по векторному сходству (pgvector) и до публикации подтверждает путь решения прогоном.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3530934"/>
            <wp:effectExtent t="0" r="0" b="0" l="0"/>
            <wp:docPr id="4" name="Рис. 4. To-Be процесс генерации и валидации сценария" descr="Рис. 4. To-Be процесс генерации и валидации сценария" title="Рис. 4. To-Be процесс генерации и валидации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353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4. To-Be процесс генерации и валидации сценария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Процесс запуска учебной среды приведен на Рис. 5. Модуль сессий создает запись сессии, Sandbox Manager запускает контейнер «учебный сервер» с ограничениями и применяет начальный сбой либо открывается документный тренажер или редактор задачи на код, а клиентское приложение получает статус по WebSocket и открывает рабочее место.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2821315"/>
            <wp:effectExtent t="0" r="0" b="0" l="0"/>
            <wp:docPr id="5" name="Рис. 5. To-Be процесс запуска учебной среды" descr="Рис. 5. To-Be процесс запуска учебной среды" title="Рис. 5. To-Be процесс запуска учебной сре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282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5. To-Be процесс запуска учебной среды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Процесс сопровождения и проверки приведен на Рис. 6. Worker вносит инцидент по сроку, контролирует бездействие и лимит времени; обучающийся может запустить промежуточную самопроверку, AssessmentAgent выдает не более трех подсказок, по отправке запускает Verification Engine, рассчитывает балл и сохраняет результат и обновленный профиль в PostgreSQL.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3186307"/>
            <wp:effectExtent t="0" r="0" b="0" l="0"/>
            <wp:docPr id="6" name="Рис. 6. To-Be процесс сопровождения и автоматической проверки" descr="Рис. 6. To-Be процесс сопровождения и автоматической проверки" title="Рис. 6. To-Be процесс сопровождения и автоматической провер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318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6. To-Be процесс сопровождения и автоматической проверки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Процесс отчетности и экспертной корректировки приведен на Рис. 7. Преподаватель задает группу и период, анализирует цифровой след и при необходимости корректирует оценку с обязательной причиной.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2504156"/>
            <wp:effectExtent t="0" r="0" b="0" l="0"/>
            <wp:docPr id="7" name="Рис. 7. To-Be процесс отчетности и экспертной корректировки" descr="Рис. 7. To-Be процесс отчетности и экспертной корректировки" title="Рис. 7. To-Be процесс отчетности и экспертной корректир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250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7. To-Be процесс отчетности и экспертной корректировки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Процесс администрирования и мониторинга приведен на Рис. 8. Администратор управляет пользователями, LLM-провайдерами и профилями песочниц, системный администратор контролирует состояние компонентов, учебные среды с ручной очисткой и события безопасности.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4660153"/>
            <wp:effectExtent t="0" r="0" b="0" l="0"/>
            <wp:docPr id="8" name="Рис. 8. To-Be процесс администрирования и мониторинга" descr="Рис. 8. To-Be процесс администрирования и мониторинга" title="Рис. 8. To-Be процесс администрирования и монитор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466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sectPr>
          <w:type w:val="nextPage"/>
          <w:pgSz w:w="16838" w:h="11906" w:orient="landscape"/>
          <w:pgMar w:top="1134" w:right="567" w:bottom="1134" w:left="1701" w:header="708" w:footer="567" w:gutter="0"/>
          <w:titlePg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Рис. 8. To-Be процесс администрирования и мониторинга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Диаграммы последовательности функциональностей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Диаграммы последовательности уточняют вызовы между пользователем, клиентским приложением, модулями Backend/API, агентами, PostgreSQL и Docker Engine. Каждая диаграмма соответствует функциональности из ТЗ; номера сообщений и обозначения выполнены в нотации UML: синхронный вызов - закрашенная стрелка, асинхронный - открытая, ответ - пунктир, REST-вызовы подписаны методом и URL.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Последовательность входа пользователя показана на Рис. 9. После проверки учетных данных система сохраняет хеш refresh-токена и возвращает access-токен, refresh-cookie и набор ролей; неуспешная попытка фиксируется в security_events, серия неудачных попыток временно блокирует вход.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6895298"/>
            <wp:effectExtent t="0" r="0" b="0" l="0"/>
            <wp:docPr id="9" name="Рис. 9. Диаграмма последовательности входа пользователя" descr="Рис. 9. Диаграмма последовательности входа пользователя" title="Рис. 9. Диаграмма последовательности входа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89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9. Диаграмма последовательности входа пользователя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Подбор сценария по профилю компетенций показан на Рис. 10. Вызов начинается с запроса рекомендаций и завершается списком дефицитов навыков с приоритетами и подходящими шаблонами.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4940286"/>
            <wp:effectExtent t="0" r="0" b="0" l="0"/>
            <wp:docPr id="10" name="Рис. 10. Диаграмма последовательности подбора сценария по профилю" descr="Рис. 10. Диаграмма последовательности подбора сценария по профилю" title="Рис. 10. Диаграмма последовательности подбора сценария по профил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94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10. Диаграмма последовательности подбора сценария по профилю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Генерация сценария показана на Рис. 11. ScenarioAgent обращается к LLM Gateway за легендой, проверяет сходство с ранее выданными легендами в pgvector, подтверждает путь решения прогоном в Sandbox Manager и сохраняет запуск с отчетом валидации.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7871854"/>
            <wp:effectExtent t="0" r="0" b="0" l="0"/>
            <wp:docPr id="11" name="Рис. 11. Диаграмма последовательности генерации сценария" descr="Рис. 11. Диаграмма последовательности генерации сценария" title="Рис. 11. Диаграмма последовательности генерации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787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11. Диаграмма последовательности генерации сценария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Запуск учебной сессии показан на Рис. 12. Backend создает session_id, Sandbox Manager создает и запускает контейнер через Docker API, применяет начальный сбой, после чего клиентское приложение открывает каналы терминала и событий по краткоживущему токену. При паузе и возобновлении сроки started_at и incident_due_at сдвигаются на длительность паузы.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982004" cy="8280000"/>
            <wp:effectExtent t="0" r="0" b="0" l="0"/>
            <wp:docPr id="12" name="Рис. 12. Диаграмма последовательности запуска учебной сессии" descr="Рис. 12. Диаграмма последовательности запуска учебной сессии" title="Рис. 12. Диаграмма последовательности запуска учебной се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004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12. Диаграмма последовательности запуска учебной сессии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Внесение инцидента и выдача подсказки показаны на Рис. 13. Worker по сроку incident_due_at применяет сбой и публикует событие; подсказка формируется по проваленным проверкам, проходит фильтр и сохраняется с номером и штрафом. Запрос с попыткой prompt injection фиксируется в security_events и в LLM Gateway не передается: выдается очередная ступень лестницы подсказок.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6818029"/>
            <wp:effectExtent t="0" r="0" b="0" l="0"/>
            <wp:docPr id="13" name="Рис. 13. Диаграмма последовательности обработки инцидента и подсказки" descr="Рис. 13. Диаграмма последовательности обработки инцидента и подсказки" title="Рис. 13. Диаграмма последовательности обработки инцидента и подска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8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13. Диаграмма последовательности обработки инцидента и подсказки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Проверка результата и формирование отчета показаны на Рис. 14. Отправку инициирует обучающийся или worker по истечении лимита времени; Verification Engine выполняет checks, AssessmentAgent рассчитывает балл, ProfileAgent обновляет user_skills (повышение уровня записывается в audit_logs), формируется отчет, после чего среда удаляется.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6321467"/>
            <wp:effectExtent t="0" r="0" b="0" l="0"/>
            <wp:docPr id="14" name="Рис. 14. Диаграмма последовательности проверки результата и отчета" descr="Рис. 14. Диаграмма последовательности проверки результата и отчета" title="Рис. 14. Диаграмма последовательности проверки результата и отч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32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14. Диаграмма последовательности проверки результата и отчета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Экспертная проверка преподавателем показана на Рис. 15. При корректировке оценки причина изменения обязательна и попадает в audit_logs.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6610000"/>
            <wp:effectExtent t="0" r="0" b="0" l="0"/>
            <wp:docPr id="15" name="Рис. 15. Диаграмма последовательности экспертной проверки преподавателем" descr="Рис. 15. Диаграмма последовательности экспертной проверки преподавателем" title="Рис. 15. Диаграмма последовательности экспертной проверки преподавател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15. Диаграмма последовательности экспертной проверки преподавателем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Создание шаблона сценария методистом показано на Рис. 16. Методист задает навык и prerequisite-связи, сбои и пул инцидентов, checks и правила подсказок; публикация возможна только после успешной валидации прогоном.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7885214"/>
            <wp:effectExtent t="0" r="0" b="0" l="0"/>
            <wp:docPr id="16" name="Рис. 16. Диаграмма последовательности создания шаблона сценария" descr="Рис. 16. Диаграмма последовательности создания шаблона сценария" title="Рис. 16. Диаграмма последовательности создания шаблона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788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16. Диаграмма последовательности создания шаблона сценария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Переключение LLM-контура показано на Рис. 17. Новые задачи переводятся на выбранный режим, активные учебные сессии не останавливаются, преподаватели получают предупреждение.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4565742"/>
            <wp:effectExtent t="0" r="0" b="0" l="0"/>
            <wp:docPr id="17" name="Рис. 17. Диаграмма последовательности переключения LLM-контура" descr="Рис. 17. Диаграмма последовательности переключения LLM-контура" title="Рис. 17. Диаграмма последовательности переключения LLM-кон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56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17. Диаграмма последовательности переключения LLM-контура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Экспорт отчетности показан на Рис. 18. Обязательными входными параметрами являются начало и конец периода, а также формат выгрузки (CSV или JSON).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4811351"/>
            <wp:effectExtent t="0" r="0" b="0" l="0"/>
            <wp:docPr id="18" name="Рис. 18. Диаграмма последовательности экспорта отчетности" descr="Рис. 18. Диаграмма последовательности экспорта отчетности" title="Рис. 18. Диаграмма последовательности экспорта отчет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81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18. Диаграмма последовательности экспорта отчетности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Выполнение задачи на программирование показано на Рис. 19. Файлы решения и тестов сохраняются автоматически; запуск примеров и собственных тестов выполняется в одноразовом контейнере песочницы без начисления баллов; самопроверка возвращает только названия критериев и результат; при отправке Verification Engine прогоняет решение на скрытых тестах (ожидаемые значения вычисляет эталонное решение на backend) и проверяет собственные тесты обучающегося на эталоне и типичных ошибочных решениях.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177378" cy="8280000"/>
            <wp:effectExtent t="0" r="0" b="0" l="0"/>
            <wp:docPr id="19" name="Рис. 19. Диаграмма последовательности выполнения задачи на код" descr="Рис. 19. Диаграмма последовательности выполнения задачи на код" title="Рис. 19. Диаграмма последовательности выполнения задачи на к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378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sectPr>
          <w:type w:val="nextPage"/>
          <w:pgSz w:w="11906" w:h="16838"/>
          <w:pgMar w:top="1134" w:right="567" w:bottom="1134" w:left="1701" w:header="708" w:footer="567" w:gutter="0"/>
          <w:titlePg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Рис. 19. Диаграмма последовательности выполнения задачи на код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Модели данных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Модели данных представлены на трех уровнях: концептуальном, логическом и физическом. В первой очереди физический уровень реализуется в одной СУБД PostgreSQL 18 с расширением pgvector, поэтому физическая модель разделена не по хранилищам, а по предметным группам таблиц.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Концептуальная модель на Рис. 20 показывает крупные классы данных: субъекты, обучение, оценивание и эксплуатацию.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8006550" cy="4680000"/>
            <wp:effectExtent t="0" r="0" b="0" l="0"/>
            <wp:docPr id="20" name="Рис. 20. Концептуальная модель данных" descr="Рис. 20. Концептуальная модель данных" title="Рис. 20. Концептуальная модель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655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20. Концептуальная модель данных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Логическая модель на Рис. 21 показывает состав сущностей, ключей и связей, которые затем уточняются в физической модели.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7428988" cy="4680000"/>
            <wp:effectExtent t="0" r="0" b="0" l="0"/>
            <wp:docPr id="21" name="Рис. 21. Логическая модель данных" descr="Рис. 21. Логическая модель данных" title="Рис. 21. Логическая модель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898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21. Логическая модель данных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Физическая модель ядра приведена на Рис. 22: пользователи, роли, refresh-токены, назначения, учебные сессии, цифровой след, подсказки, результаты проверки и отчеты.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8925184" cy="4680000"/>
            <wp:effectExtent t="0" r="0" b="0" l="0"/>
            <wp:docPr id="22" name="Рис. 22. Физическая модель PostgreSQL: пользователи, сессии и оценивание" descr="Рис. 22. Физическая модель PostgreSQL: пользователи, сессии и оценивание" title="Рис. 22. Физическая модель PostgreSQL: пользователи, сессии и оцени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518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22. Физическая модель PostgreSQL: пользователи, сессии и оценивание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Физическая модель графа компетенций и сценариев приведена на Рис. 23. Граф хранится таблицами domains, skills (с теорией навыка) и skill_requires, профиль обучающегося - таблицей user_skills, целевые уровни направления - таблицей track_targets; векторные представления легенд хранятся в колонке legend_embedding типа vector(1024), подтвержденные решения - в accepted_solutions.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4646103"/>
            <wp:effectExtent t="0" r="0" b="0" l="0"/>
            <wp:docPr id="23" name="Рис. 23. Физическая модель PostgreSQL: граф компетенций и сценарии" descr="Рис. 23. Физическая модель PostgreSQL: граф компетенций и сценарии" title="Рис. 23. Физическая модель PostgreSQL: граф компетенций и сцена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464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23. Физическая модель PostgreSQL: граф компетенций и сценарии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Физическая модель эксплуатационных таблиц приведена на Рис. 24: провайдеры и режим LLM, профили песочниц, журналы аудита, событий безопасности и вызовов агентов.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7063797" cy="4680000"/>
            <wp:effectExtent t="0" r="0" b="0" l="0"/>
            <wp:docPr id="24" name="Рис. 24. Физическая модель PostgreSQL: настройки и журналы" descr="Рис. 24. Физическая модель PostgreSQL: настройки и журналы" title="Рис. 24. Физическая модель PostgreSQL: настройки и журна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79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24. Физическая модель PostgreSQL: настройки и журналы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Жизненный цикл учебной сессии приведен на Рис. 25. Переходы между статусами выполняют модуль сессий (запуск, пауза, возобновление, отправка), worker (пауза при бездействии, автоотправка по истечении лимита времени, истечение срока) и AssessmentAgent (проверка и завершение).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4635730"/>
            <wp:effectExtent t="0" r="0" b="0" l="0"/>
            <wp:docPr id="25" name="Рис. 25. Диаграмма состояний учебной сессии" descr="Рис. 25. Диаграмма состояний учебной сессии" title="Рис. 25. Диаграмма состояний учебной се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46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25. Диаграмма состояний учебной сессии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Состав основных сущностей приведен в таблице 2. Граф компетенций, векторные представления и состояния фоновых задач хранятся в PostgreSQL; отдельные графовая и векторная СУБД и брокер очередей не используются.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2 - Основные сущности API и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506"/>
        <w:gridCol w:w="3470"/>
        <w:gridCol w:w="1927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Сущность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Ключевые поля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Таблица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User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Учетная запись пользователя.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email, full_name, password_hash, group_code, status, last_login_at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users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Role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Роль доступа.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code, name, permissions; user_roles: user_id, role_id, assigned_at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roles, user_roles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RefreshToken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Ротация и отзыв refresh-токенов.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user_id, token_hash, expires_at, revoked_at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refresh_tokens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Domain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Предметная область (направление обучения).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code, name, description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domains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Skill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Компетенция предметной области.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code, domain_code, name, description, theory, level_max, status, created_by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skills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Competency Graph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Prerequisite-связи, уровни и целевые уровни навыков.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REQUIRES.weight; HAS_SKILL.level, last_confirmed, success_streak, success_count, fail_count; TARGET.required_level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skill_requires, user_skills, track_targets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Scenario Template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Утвержденный шаблон сценария.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code, domain_code, kind, title, version, status, spec, validation_report, published_at; TARGETS.weight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scenario_templates, template_skills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Scenario Run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Индивидуальный запуск сценария.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template_id, user_id, generated_spec, generation_mode, legend_embedding, validation_report, status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scenario_runs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Assignment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Назначение сценария группе или обучающемуся.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template_id, group_code, user_id, due_at, created_by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assignments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Learning Session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Факт выполнения задания.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run_id, user_id, kind, status, sandbox_container_id, trace_id, started_at, paused_at, finished_at, time_limit_min, incident_due_at, incident_applied_at, last_activity_at, cmd_log_offset, documents_state, error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sessions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Session Event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Цифровой след действий.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session_id, user_id, scenario_id, type, severity, payload, trace_id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environment_events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Hint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Ограниченная подсказка.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session_id, number, question, text, penalty_percent, source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hints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Verification Result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Результат автоматической проверки.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session_id, checks, base_score, final_score, status, errors, corrected_by, corrected_score, correction_reason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verification_results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Report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Итоговый отчет.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session_id, payload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reports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Accepted Solution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Подтвержденное альтернативное решение.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template_id, session_id, trace, embedding, approved_by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accepted_solutions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LLM Provider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Провайдер генерации и режим.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id, code, mode, base_url, chat_model, embeddings_model, api_key_env, priority, status, rate_limit, last_error, last_error_at; llm_settings: generation_mode, reason, updated_by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llm_providers, llm_settings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Sandbox Profile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Лимиты и сетевая политика среды.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code, image, cpu, mem_mb, pids_limit, storage_mb, network_policy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sandbox_profiles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Audit / Security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Аудит действий и события безопасности.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actor_id, action, object_type, object_id, before, after, reason, request_id; user_id, session_id, kind, severity, details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audit_logs, security_events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Agent Log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Трассировка вызовов агентов и LLM.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agent, task, run_id, session_id, mode, provider, tokens_in, tokens_out, duration_ms, ok, error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agent_logs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Архитектура системы в нотации C4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Архитектура проектируется как модульный монолит с четкими границами компонентов: клиентское веб-приложение, Backend/API, агенты на LangGraph, LLM Gateway, Sandbox Manager, Verification Engine, фоновый worker и слой данных. Границы модулей совпадают с компонентами C4, что позволяет во второй очереди выделить их в отдельные сервисы.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Контекстная диаграмма C4 приведена на Рис. 26. Она показывает пользователей системы по ролям, внешнего LLM-провайдера (GigaChat через адаптер gpt2giga или другой OpenAI-совместимый API), локальную модель и среду исполнения учебных контейнеров.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8152114" cy="4680000"/>
            <wp:effectExtent t="0" r="0" b="0" l="0"/>
            <wp:docPr id="26" name="Рис. 26. C4 Context: МАССО во внешней среде" descr="Рис. 26. C4 Context: МАССО во внешней среде" title="Рис. 26. C4 Context: МАССО во внешней сре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211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26. C4 Context: МАССО во внешней среде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Диаграмма контейнеров приведена на Рис. 27. В ней закреплены контейнеры Frontend (SPA за Nginx), Backend/API (включая фоновый worker как задачу того же процесса), PostgreSQL с pgvector, учебные среды, создаваемые через Docker Engine, а также необязательные контейнеры gpt2giga (адаптер GigaChat) и Ollama (локальная модель).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8959117" cy="4680000"/>
            <wp:effectExtent t="0" r="0" b="0" l="0"/>
            <wp:docPr id="27" name="Рис. 27. C4 Container: контейнеры системы" descr="Рис. 27. C4 Container: контейнеры системы" title="Рис. 27. C4 Container: контейнеры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911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27. C4 Container: контейнеры системы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Соотношение первой очереди и целевой архитектуры приведено на Рис. 28. Во второй очереди агенты, Sandbox Manager и Verification Engine выделяются в отдельные сервисы, а учебные среды получают сетевой allowlist и Sysbox; хранилище PostgreSQL с pgvector, Docker Engine и мониторинг через /metrics остаются прежними.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7091893" cy="4680000"/>
            <wp:effectExtent t="0" r="0" b="0" l="0"/>
            <wp:docPr id="28" name="Рис. 28. Первая очередь и целевая архитектура" descr="Рис. 28. Первая очередь и целевая архитектура" title="Рис. 28. Первая очередь и целевая 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89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28. Первая очередь и целевая архитектура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Компонентные диаграммы Backend/API и агентов приведены на Рис. 29 и Рис. 30. Они показывают модули API, сервисный слой, агенты, модуль запуска кода и адаптеры к данным и инфраструктуре.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740848" cy="4680000"/>
            <wp:effectExtent t="0" r="0" b="0" l="0"/>
            <wp:docPr id="29" name="Рис. 29. C4 Component: Backend/API" descr="Рис. 29. C4 Component: Backend/API" title="Рис. 29. C4 Component: Backend/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84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29. C4 Component: Backend/API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4126695"/>
            <wp:effectExtent t="0" r="0" b="0" l="0"/>
            <wp:docPr id="30" name="Рис. 30. C4 Component: агенты и LLM Gateway" descr="Рис. 30. C4 Component: агенты и LLM Gateway" title="Рис. 30. C4 Component: агенты и LLM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41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30. C4 Component: агенты и LLM Gateway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Диаграмма размещения приведена на Рис. 31. Она разделяет клиентскую зону, прикладной сервер с контейнерами системы и учебными средами, а также внешние LLM-провайдеры; в эксплуатационном режиме браузер обращается к системе по HTTPS/WSS, в тестовом - по HTTP на localhost.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3418287"/>
            <wp:effectExtent t="0" r="0" b="0" l="0"/>
            <wp:docPr id="31" name="Рис. 31. C4 Deployment: размещение системы" descr="Рис. 31. C4 Deployment: размещение системы" title="Рис. 31. C4 Deployment: размещение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34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31. C4 Deployment: размещение системы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Архитектурные решения.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Frontend реализуется как одностраничное приложение на Vite, React 19 и TypeScript с интерфейсами обучающегося, преподавателя, методиста, администратора и системного администратора; веб-терминал - xterm.js, графы - React Flow, редактор кода - CodeMirror 6, светлая и темная тема оформления.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Backend/API реализуется на FastAPI как модульный монолит и предоставляет REST, WebSocket и OpenAPI-спецификацию; модули взаимодействуют через сервисные интерфейсы, а не через HTTP.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Внешний периметр - Nginx в контейнере frontend: в эксплуатационном режиме он завершает TLS (HTTPS и WSS, TLS 1.2 и 1.3, HSTS), перенаправляет HTTP на HTTPS и передает backend адрес клиента и схему (X-Forwarded-For, X-Forwarded-Proto). Порты backend и PostgreSQL наружу не публикуются, трафик между контейнерами идет во внутренней сети Docker. Тестовый режим опытного образца работает по HTTP на localhost; режим включается конфигурацией развертывания без изменения кода.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LangGraph используется для графов ScenarioAgent (генерация и валидация) и AssessmentAgent (проверка, балл, отчет); ProfileAgent реализован как сервис.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LLM Gateway обращается ко всем провайдерам через OpenAI-совместимый API и скрывает различия внешнего провайдера, локальной модели и шаблонного режима деградации. Ошибки провайдеров записываются в llm_providers отдельной короткой транзакцией, не чаще раза в 30 с, чтобы при недоступном провайдере параллельные генерации не блокировали друг друга. Внешний провайдер GigaChat подключается через контейнер-адаптер gpt2giga во внутренней сети Docker (обновление OAuth-токена, преобразование запросов в OpenAI-совместимый формат); в эксплуатационном режиме адаптер проверяет сертификат GigaChat по корневому сертификату НУЦ Минцифры. Режим JSON mode включается для каждого провайдера параметром конфигурации; число одновременных запросов к модели ограничивается адаптером по тарифу провайдера (для физических лиц - один), остальные запросы ждут в очереди.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Sandbox Manager создает учебные среды через Docker API без привилегированного режима, от пользователя student, с cap-drop ALL, no-new-privileges, файловой системой только для чтения и отключенной сетью. Контейнеры помечаются метками masso.session, masso.user, masso.kind и masso.instance; очистка осиротевших контейнеров учитывает только метку своей установки.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Модуль запуска кода (coderun) выполняет код обучающегося в одноразовом контейнере образа песочницы с теми же флагами безопасности и профилем code; в контейнер передаются только файлы обучающегося и проверочные скрипты, ожидаемые значения скрытых тестов вычисляет эталонное решение на backend, крупные результаты сравниваются по хешу.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Verification Engine выполняет проверки контейнерных, документных сценариев и задач на код; команды проверок передаются в среду в момент выполнения и не хранятся в образе.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Фоновый worker вносит инциденты, контролирует бездействие, лимит времени и объем диска учебных сред, удаляет среды и устаревшие данные; состояние задач хранится только в PostgreSQL.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Наблюдаемость обеспечивают эндпоинты /health и /metrics, журналы audit_logs, security_events и agent_logs.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Модели информационных потоков данных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Модели информационных потоков выполнены в нотации DFD. Они фиксируют внешние сущности, процессы, хранилища и направления движения данных; хранилища D1-D7 соответствуют группам таблиц PostgreSQL.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Контекстная DFD приведена на Рис. 32. На ней система МАССО показана единым процессом, взаимодействующим с пользователями, LLM-провайдером и средой исполнения учебных контейнеров.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4335077"/>
            <wp:effectExtent t="0" r="0" b="0" l="0"/>
            <wp:docPr id="32" name="Рис. 32. Контекстная DFD МАССО" descr="Рис. 32. Контекстная DFD МАССО" title="Рис. 32. Контекстная DFD МАСС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433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32. Контекстная DFD МАССО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DFD уровня 1 для жизненного цикла обучения приведена на Рис. 33. Поток начинается с профиля компетенций, проходит генерацию сценария, выполнение задания с теорией, самопроверкой и запуском кода и завершается автоматической проверкой.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4357465"/>
            <wp:effectExtent t="0" r="0" b="0" l="0"/>
            <wp:docPr id="33" name="Рис. 33. DFD уровня 1: жизненный цикл обучения" descr="Рис. 33. DFD уровня 1: жизненный цикл обучения" title="Рис. 33. DFD уровня 1: жизненный цикл обу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43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33. DFD уровня 1: жизненный цикл обучения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DFD уровня 2 для отчетности и администрирования приведена на Рис. 34. На ней выделены фильтры периода, выгрузка отчетов, экспертная корректировка, настройка LLM и песочниц.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9000000" cy="4019651"/>
            <wp:effectExtent t="0" r="0" b="0" l="0"/>
            <wp:docPr id="34" name="Рис. 34. DFD уровня 2: отчетность и администрирование" descr="Рис. 34. DFD уровня 2: отчетность и администрирование" title="Рис. 34. DFD уровня 2: отчетность и администр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40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sectPr>
          <w:type w:val="nextPage"/>
          <w:pgSz w:w="16838" w:h="11906" w:orient="landscape"/>
          <w:pgMar w:top="1134" w:right="567" w:bottom="1134" w:left="1701" w:header="708" w:footer="567" w:gutter="0"/>
          <w:titlePg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Рис. 34. DFD уровня 2: отчетность и администрирование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Шаблоны справочников и НСИ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Справочники используются при вводе и фильтрации информации, чтобы снизить число ошибок, обеспечить единообразие данных и выполнить требования методических рекомендаций к техническому проекту. Справочники, которые ведутся в интерфейсе, хранятся в таблицах: domains (code, name, description), roles (code, name, permissions), sandbox_profiles (code и лимиты), llm_providers; статусы, типы и severity - фиксированные перечисления системы. Права ролей закреплены в системе. Изменения предметных областей и профилей песочниц аудитируются.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3 - Роли и права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506"/>
        <w:gridCol w:w="5397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Код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Основные права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student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Обучающийся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Запуск назначенных сценариев, работа в среде, запрос подсказок, самопроверка, отправка результата, теория, свои отчеты и карта компетенций.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teacher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Просмотр своей группы (поле group_code учетной записи; без группы - все группы), цифрового следа, отчетов, экспертное подтверждение или корректировка оценки, назначение сценариев, экспорт отчетов.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methodist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Методист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Справочник предметных областей, граф компетенций и теория навыков, целевые уровни, шаблоны сценариев, checks, правила подсказок.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admin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Администратор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Пользователи, роли, отзыв сессий входа, LLM-провайдеры и режим, лимиты sandbox-профилей, аудит и события безопасности; доступ к экранам методиста и состоянию системы.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sysadmin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Мониторинг инфраструктуры, учебных сред и событий безопасности, ручная очистка сред, резервное копирование, обновление сервисов.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>Таблица 4 - Предметные области и виды сценариев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3084"/>
        <w:gridCol w:w="4819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Код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Название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Пример использования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devops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DevOps и администрирование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Контейнерный движок: восстановление веб-сервиса (nginx, приложение, PostgreSQL) на учебном сервере с инцидентами из пула.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security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Информационная безопасность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Направление справочника для шаблонов контейнерного движка (анализ активности, ограничение прав); шаблоны направления создает методист.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legal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Юриспруденция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Документный движок: поиск противоречий в договоре и учет новой нормативной вводной.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audit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Экономика и аудит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Документный движок: сверка первичных документов, обнаружение расхождения, расчет суммы.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algorithms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Алгоритмы и структуры данных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Движок задач на код: решение и собственные тесты (поиск, разбор вложенности, обход графа).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5 - Статусы и события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277"/>
        <w:gridCol w:w="4241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Справочник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Значения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Статусы навыка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draft, active, deprecated, archived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Управление жизненным циклом навыков в графе компетенций.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Статусы шаблона и запуска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шаблон: draft, published, archived; запуск сценария: published, rejected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Контроль публикации и версии шаблона; результат валидации варианта.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Статусы сессии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starting, active, paused, checking, completed, failed, expired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Отображение состояния учебной сессии (рис. 25).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Типы событий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command, answer, incident, hint, check, status, security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Классификация цифрового следа; status - смена состояния сессии (ошибки среды - status с severity error).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Severity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события: info, warning, error, critical; события безопасности: info, warning, medium, high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Фильтрация событий и сообщений в интерфейсе.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Результат и экспертная проверка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status: passed, failed; статус экспертной проверки (вычисляется): pending, confirmed, corrected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Отображение статуса оценки и отбор сессий с расхождением автоматической и экспертной оценки.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Виды событий безопасности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privilege_escalation, sandbox_escape, network_scan, forbidden_file, prompt_injection, log_tampering, sandbox_quota, login_failed, refresh_reuse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Классификация security_events и фильтр журнала безопасности.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Статусы пользователя и провайдера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пользователь: active, blocked; LLM-провайдер: active, standby, disabled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Блокировка учетной записи; участие провайдера в цепочке external → local → template.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6 - Проверки, подсказки, отчеты и инфраструктура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662"/>
        <w:gridCol w:w="3856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Справочник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Значения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Использование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Политики подсказок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none, limited_3, teacher_allowed (в первой очереди действует как limited_3); лестница из 3 ступеней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Ограничение числа подсказок и расчет штрафа.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Типы проверок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docker_inspect, docker_exec, http_health, file_diff, rule_match, semantic_similarity, numeric_match, code_cases, code_student_tests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Запуск Verification Engine; numeric_match - сравнение суммы с эталоном с допуском; code_cases - скрытые тесты задачи на код по группам; code_student_tests - проверка собственных тестов обучающегося на эталоне и типичных ошибках.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Критерии оценки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вес проверки, признак critical (в шаблоне не менее одной критической проверки), порог зачета (по умолчанию 75)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Расчет итогового балла; провал critical ограничивает базовый балл значением 49.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Приоритеты дефицитов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critical, high, medium, low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Ранжирование рекомендаций ProfileAgent.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Каталог сбоев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код сбоя, команда внесения, эталонное исправление; для документов - тип дефекта и ключ ответа; пул инцидентов и число инцидентов варианта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Начальный сбой и инциденты сценария; скрыт от обучающегося.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Виды сценариев (движки)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container, document, code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Учебный сервер в контейнере, документный тренажер, задача на код.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Форматы отчетов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csv, json; печатная форма - средствами браузера; импорт графа - json, csv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Экспорт отчетности с обязательными хронологическими фильтрами.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LLM-режимы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external, local, template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Выбор режима генерации и деградации.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Sandbox-профили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small (1 CPU, 1024 МБ, 128 процессов, 512 МБ), medium (2 CPU, 2048 МБ, 256, 1024 МБ), document, code (1 CPU, 512 МБ, 64, 64 МБ)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Лимиты CPU/RAM/процессов/storage и вид учебной среды; code - одноразовые контейнеры запуска кода.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Сетевые политики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deny_all (единственная политика первой очереди); allowlist - вторая очередь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Ограничение сетевого доступа учебных сред.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Проектирование API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Публичный API проектируется в REST-стиле с префиксом /api. Все ответы возвращаются в JSON и содержат request_id, status, data или error. Для терминала и потока событий сессии используется WebSocket (WSS в эксплуатационном режиме) с краткоживущим токеном (60 секунд), привязанным к сессии и пользователю. Все обращения к API в эксплуатационном режиме выполняются по HTTPS.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7 - Общий формат REST-ответа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2506"/>
        <w:gridCol w:w="4819"/>
      </w:tblGrid>
      <w:tr>
        <w:trPr>
          <w:cantSplit/>
          <w:tblHeader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Поле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request_id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string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Корреляционный идентификатор запроса.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status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success | error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Результат обработки.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data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object | array | null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Полезная нагрузка успешного ответа.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error.code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string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Машинно-читаемый код ошибки.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error.message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string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Понятное сообщение на русском языке.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error.details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object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Дополнительные сведения без раскрытия секретов.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8 - REST-контуры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2699"/>
        <w:gridCol w:w="5397"/>
      </w:tblGrid>
      <w:tr>
        <w:trPr>
          <w:cantSplit/>
          <w:tblHeader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Контур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Операции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/auth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Аутентификация и сессии доступа.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POST /login, POST /refresh, POST /logout, GET /me.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/users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Пользователи, группы, роли.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/users, POST /users, PATCH /users/{id}, PUT /users/{id}/roles, POST /users/{id}/revoke-sessions (отзыв всех refresh-токенов), GET /users/{id}/audit.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/skills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Предметные области, граф компетенций и уровни навыков.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/graph?domain, GET /domains, POST /domains, PATCH /domains/{code}, POST /, PATCH /{id}, POST /import, PUT /targets (целевые уровни направления), GET /me, GET /recommendations.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/scenarios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Шаблоны, генерация, назначения.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/templates, POST /templates, GET /templates/{id}, PATCH /templates/{id}, POST /templates/{id}/validate, POST /templates/{id}/publish, POST /templates/{id}/archive, GET /spec-schema (JSON Schema спецификации для редактора), POST /generate, GET /runs/{id}, GET /assignments, POST /assignments, GET /assignments/me.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/sessions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Учебные сессии.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POST /, GET /mine, GET /{id}, POST /{id}/pause, POST /{id}/resume, POST /{id}/answers, POST /{id}/run (запуск примеров и тестов задачи на код), POST /{id}/ws-token, POST /{id}/hints, POST /{id}/self-check (самопроверка: названия критериев и результат), POST /{id}/submit.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/events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Цифровой след.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?session_id&amp;from&amp;to&amp;type&amp;severity, GET /export?session_id&amp;format.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/verification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Результат проверки и экспертная оценка.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/{session_id}, PATCH /{session_id} (оценка и обязательная причина).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/reports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Отчеты и аналитика.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?group&amp;from&amp;to, GET /mine, GET /by-session/{session_id}, GET /groups/list, GET /{id}, GET /export?from&amp;to&amp;format=csv|json.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/llm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Состояние LLM-контура для всех ролей.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/status (режим генерации и причина переключения).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/admin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LLM, песочницы, аудит, состояние.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/llm/providers, PATCH /llm/providers/{id}, POST /llm/switch-mode, GET /llm/health, GET /sandbox/profiles, PATCH /sandbox/profiles/{code}, GET /audit?from&amp;to, GET /security-events, GET /logs/export, GET /background, POST /sandboxes/{container_id}/cleanup, GET /health, GET /openapi.json.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служебные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Наблюдаемость.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GET /api/health, GET /metrics.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9 - WebSocket-каналы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891"/>
        <w:gridCol w:w="3856"/>
      </w:tblGrid>
      <w:tr>
        <w:trPr>
          <w:cantSplit/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Канал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Сообщения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/ws/sessions/{id}/terminal?token=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двоичные кадры stdin/stdout или JSON {"type":"input"}, JSON-кадр resize; подключение возобновляет сессию на паузе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Интерактивный терминал контейнерной среды.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/ws/sessions/{id}/events?token=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status, incident, hint, security, check_status; служебное сообщение {"type":"ping"} после 25 с без событий. Коды закрытия: 4401 - токен недействителен, 4403 - нет доступа, 4409 - сессия не готова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Поток событий и статусов учебной сессии.</w:t>
            </w:r>
          </w:p>
        </w:tc>
      </w:tr>
    </w:tbl>
    <w:p>
      <w:pPr>
        <w:spacing w:line="240"/>
      </w:pP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Основные ошибки API.</w:t>
      </w:r>
    </w:p>
    <w:p>
      <w:pPr>
        <w:spacing w:after="0" w:before="0" w:line="360"/>
        <w:ind w:left="0" w:firstLine="709"/>
        <w:jc w:val="both"/>
        <w:sectPr>
          <w:type w:val="nextPage"/>
          <w:pgSz w:w="11906" w:h="16838"/>
          <w:pgMar w:top="1134" w:right="567" w:bottom="1134" w:left="1701" w:header="708" w:footer="567" w:gutter="0"/>
          <w:titlePg/>
          <w:docGrid w:linePitch="360"/>
        </w:sectPr>
      </w:pPr>
      <w:r>
        <w:rPr>
          <w:rFonts w:ascii="Times New Roman" w:cs="Times New Roman" w:eastAsia="Times New Roman" w:hAnsi="Times New Roman"/>
        </w:rPr>
        <w:t>Система возвращает единые коды ошибок (в скобках - HTTP-статус): AUTH_INVALID_CREDENTIALS (401, в том числе при временной блокировке входа), AUTH_FORBIDDEN (403), SCENARIO_NOT_VALID (422), SESSION_NOT_READY (409), HINT_LIMIT_EXCEEDED (409), VERIFICATION_FAILED (500), LLM_PROVIDER_UNAVAILABLE (503; при недоступности провайдеров генерация переходит в шаблонный режим, поэтому код зарезервирован), SANDBOX_LIMIT_EXCEEDED (503), REPORT_PERIOD_REQUIRED (422), VALIDATION_ERROR (422), NOT_FOUND (404). Непредвиденная ошибка сервера возвращается с HTTP 500 и кодом VERIFICATION_FAILED с общим сообщением без внутренних деталей.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Модель структуры интерфейса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Модель структуры интерфейса показана на Рис. 35. Она разделяет общие экраны и рабочие области по ролям: обучающийся, преподаватель, методист, администратор и системный администратор; навигация по разделам роли - верхнее меню.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828575" cy="4680000"/>
            <wp:effectExtent t="0" r="0" b="0" l="0"/>
            <wp:docPr id="35" name="Рис. 35. Модель структуры интерфейса системы" descr="Рис. 35. Модель структуры интерфейса системы" title="Рис. 35. Модель структуры интерфейса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57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35. Модель структуры интерфейса системы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Обязательные интерфейсные решения.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Метафора интерфейса: учебная диспетчерская, где сценарий выглядит как назначение, рабочая среда - как рабочее место, а отчет - как протокол прохождения.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Оформление «мягкий современный»: верхнее меню разделов роли в виде вкладок-«пилюль», карточки со скругленными углами, теплая нейтральная основа и оранжевый акцент для основных действий; зеленый - для успешных проверок, желтый - для предупреждений, красный - для ошибок и событий безопасности. Интерфейс поддерживает светлую и темную тему; по умолчанию тема выбирается по настройке операционной системы, переключатель - в шапке.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При вводе информации используются справочники: роли, группы, предметные области, типы сценариев, статусы, severity, форматы отчетов, LLM-режимы, sandbox-профили.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Сообщения состояния обязательны для генерации, запуска среды, ожидания проверки, экспорта отчета и переключения LLM-контура.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Сообщения об ошибках должны быть понятны пользователю и не раскрывать системные промпты, секреты провайдеров, внутренние checks и пути хостовой файловой системы.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 формах ввода сохраняется пропорция: подпись занимает около 30-35 % ширины строки, поле ввода - 65-70 %.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Отчетность всегда содержит хронологические фильтры «Дата начала» и «Дата окончания»; без периода экспорт не запускается.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Макеты интерфейсов системы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Макеты экранов выполнены в Claude Design как интерактивный холст с артбордами: экраны связаны переходами по пунктам меню и кнопкам, для каждого артборда доступно переключение светлой и темной темы. Макеты являются эталоном внешнего вида реализации. Общий стиль: верхнее меню разделов роли, карточки на теплой нейтральной основе, оранжевый акцент действий, статусные метки в цветах из раздела 10. Макеты показывают состав элементов и сообщения состояния на обобщенных данных: вместо конкретных значений используются заполнители (N и NN - числа, ДД.ММ.ГГГГ и ЧЧ:ММ - дата и время, «Сценарий N», «Навык N», «Пользователь N» и т. п.). Исходные файлы холста и изображения экранов приложены к проекту.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входа показан на Рис. 36. Он содержит поля учетных данных, сообщение об ошибке входа (в том числе о временной блокировке после серии неудачных попыток) и переключатель темы.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7488000" cy="4680000"/>
            <wp:effectExtent t="0" r="0" b="0" l="0"/>
            <wp:docPr id="36" name="Рис. 36. Макет интерфейса входа в систему" descr="Рис. 36. Макет интерфейса входа в систему" title="Рис. 36. Макет интерфейса входа в систе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36. Макет интерфейса входа в систему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Панель обучающегося показана на Рис. 37. В ней отображаются назначенные сценарии со сроками и статусами, рекомендации ProfileAgent с сообщением о ходе генерации и последние протоколы.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349748" cy="4680000"/>
            <wp:effectExtent t="0" r="0" b="0" l="0"/>
            <wp:docPr id="37" name="Рис. 37. Макет панели обучающегося" descr="Рис. 37. Макет панели обучающегося" title="Рис. 37. Макет панели обучающего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74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37. Макет панели обучающегося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Рабочая область сценария с учебным сервером показана на Рис. 38. Она объединяет легенду, критерии оценивания с результатами самопроверки и теорию по навыкам сценария, веб-терминал учебного сервера, журнал инцидентов и подсказок, таймер с кнопкой «Пауза/Продолжить» и действие «Завершить и отправить на проверку».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137704" cy="4680000"/>
            <wp:effectExtent t="0" r="0" b="0" l="0"/>
            <wp:docPr id="38" name="Рис. 38. Макет рабочей области: сценарий с учебным сервером" descr="Рис. 38. Макет рабочей области: сценарий с учебным сервером" title="Рис. 38. Макет рабочей области: сценарий с учебным сервер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70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38. Макет рабочей области: сценарий с учебным сервером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Рабочая область документного сценария показана на Рис. 39. Слева - пакет документов, справа - форма замечаний с выбором типа дефекта; ответ сохраняется автоматически через 1,5 с после изменения, о чем сообщает отметка «Сохранено».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734800" cy="4680000"/>
            <wp:effectExtent t="0" r="0" b="0" l="0"/>
            <wp:docPr id="39" name="Рис. 39. Макет рабочей области: документный сценарий" descr="Рис. 39. Макет рабочей области: документный сценарий" title="Рис. 39. Макет рабочей области: документный сценар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8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39. Макет рабочей области: документный сценарий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Рабочая область задачи на код показана на Рис. 40. Она содержит условие с публичными примерами, редактор с файлами solution.py и test_solution.py и кнопку «Запустить тесты» с результатами по примерам и тестам обучающегося; критерии, самопроверка, подсказки и теория - как в других сценариях.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542105" cy="4680000"/>
            <wp:effectExtent t="0" r="0" b="0" l="0"/>
            <wp:docPr id="40" name="Рис. 40. Макет рабочей области: задача на код" descr="Рис. 40. Макет рабочей области: задача на код" title="Рис. 40. Макет рабочей области: задача на к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10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40. Макет рабочей области: задача на код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Протокол прохождения показан на Рис. 41. На экране выводятся балл с расчетом, результаты проверок с весами, ошибки, изменения профиля, рекомендация и блок «Повторить теорию» по навыкам с непройденными проверками; печатная форма сохраняется в PDF средствами браузера.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115426" cy="4680000"/>
            <wp:effectExtent t="0" r="0" b="0" l="0"/>
            <wp:docPr id="41" name="Рис. 41. Макет протокола прохождения" descr="Рис. 41. Макет протокола прохождения" title="Рис. 41. Макет протокола прохожд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42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41. Макет протокола прохождения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«Мои навыки» показан на Рис. 42. Он показывает карту компетенций направления: граф навыков с prerequisite-связями, где каждый навык отмечен состоянием (освоен, изучается, доступен для изучения, закрыт до освоения предыдущих), выделены дефициты и указан процент освоения направления; по выбору навыка выводятся его описание, текущий и требуемый уровни, серия успешных прохождений, связанные навыки и теория.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141253" cy="4680000"/>
            <wp:effectExtent t="0" r="0" b="0" l="0"/>
            <wp:docPr id="42" name="Рис. 42. Макет карты компетенций обучающегося" descr="Рис. 42. Макет карты компетенций обучающегося" title="Рис. 42. Макет карты компетенций обучающего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25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42. Макет карты компетенций обучающегося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Панель группы показана на Рис. 43. Обязательными являются фильтры группы и периода; экран содержит агрегаты, список сессий со статусом оценки (строка открывается целиком, ссылка «Открыть»), проблемные навыки и баннер режима LLM.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7411143" cy="4680000"/>
            <wp:effectExtent t="0" r="0" b="0" l="0"/>
            <wp:docPr id="43" name="Рис. 43. Макет панели группы" descr="Рис. 43. Макет панели группы" title="Рис. 43. Макет панели групп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114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43. Макет панели группы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цифрового следа показан на Рис. 44. Он позволяет фильтровать события по времени, типу и severity, анализировать проверки, отмечать альтернативное решение и корректировать оценку с обязательной причиной.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581250" cy="4680000"/>
            <wp:effectExtent t="0" r="0" b="0" l="0"/>
            <wp:docPr id="44" name="Рис. 44. Макет просмотра цифрового следа преподавателем" descr="Рис. 44. Макет просмотра цифрового следа преподавателем" title="Рис. 44. Макет просмотра цифрового следа преподавател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25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44. Макет просмотра цифрового следа преподавателем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графа компетенций показан на Рис. 45. Он содержит выбор предметной области с созданием и редактированием доменов, граф навыков с весами связей, свойства выбранного навыка с полем «Теория (Markdown)» и предпросмотром и импорт CSV/JSON; контроль ацикличности отображается постоянно.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56865" cy="4680000"/>
            <wp:effectExtent t="0" r="0" b="0" l="0"/>
            <wp:docPr id="45" name="Рис. 45. Макет управления графом компетенций" descr="Рис. 45. Макет управления графом компетенций" title="Рис. 45. Макет управления графом компетен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6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45. Макет управления графом компетенций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шаблона сценария показан на Рис. 46. Методист задает параметры, каталог сбоев с эталонными исправлениями, пул инцидентов и checks, запускает валидацию прогоном и публикует шаблон после успешного отчета валидации.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34838" cy="4680000"/>
            <wp:effectExtent t="0" r="0" b="0" l="0"/>
            <wp:docPr id="46" name="Рис. 46. Макет редактирования шаблона сценария" descr="Рис. 46. Макет редактирования шаблона сценария" title="Рис. 46. Макет редактирования шаблона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83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46. Макет редактирования шаблона сценария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целевых уровней направления показан на Рис. 47. Методист задает для навыков направления требуемый уровень, по которому ProfileAgent рассчитывает дефициты.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7443888" cy="4680000"/>
            <wp:effectExtent t="0" r="0" b="0" l="0"/>
            <wp:docPr id="47" name="Рис. 47. Макет целевых уровней направления" descr="Рис. 47. Макет целевых уровней направления" title="Рис. 47. Макет целевых уровней на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388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47. Макет целевых уровней направления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пользователей и ролей показан на Рис. 48. Он поддерживает поиск, создание учетной записи, изменение ролей и статуса, отзыв сессий входа с подтверждением и показывает историю изменений.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672475" cy="4680000"/>
            <wp:effectExtent t="0" r="0" b="0" l="0"/>
            <wp:docPr id="48" name="Рис. 48. Макет управления пользователями и ролями" descr="Рис. 48. Макет управления пользователями и ролями" title="Рис. 48. Макет управления пользователями и рол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47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48. Макет управления пользователями и ролями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LLM и песочниц показан на Рис. 49. Администратор видит состояние провайдеров, переключает режим с обязательной причиной, просматривает профили песочниц и фоновые задачи.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7405714" cy="4680000"/>
            <wp:effectExtent t="0" r="0" b="0" l="0"/>
            <wp:docPr id="49" name="Рис. 49. Макет администрирования LLM и песочниц" descr="Рис. 49. Макет администрирования LLM и песочниц" title="Рис. 49. Макет администрирования LLM и песочн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571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49. Макет администрирования LLM и песочниц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Экран состояния системы показан на Рис. 50. Он содержит состояние компонентов, ресурсы стенда, список учебных сред с ручной очисткой, ссылку на метрики (/metrics) и журнал событий безопасности с периодом и экспортом; полный журнал аудита и безопасности - на отдельном экране «Аудит и безопасность». Резервное копирование выполняется по регламенту (pg_dump по расписанию).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410145" cy="4680000"/>
            <wp:effectExtent t="0" r="0" b="0" l="0"/>
            <wp:docPr id="50" name="Рис. 50. Макет состояния системы" descr="Рис. 50. Макет состояния системы" title="Рис. 50. Макет состояния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14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Рис. 50. Макет состояния системы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Рабочая область в темной теме показана на Рис. 51. Темная тема меняет только цветовые токены; состав и расположение элементов совпадают со светлой.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6137704" cy="4680000"/>
            <wp:effectExtent t="0" r="0" b="0" l="0"/>
            <wp:docPr id="51" name="Рис. 51. Макет рабочей области в темной теме" descr="Рис. 51. Макет рабочей области в темной теме" title="Рис. 51. Макет рабочей области в темной те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70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sectPr>
          <w:type w:val="nextPage"/>
          <w:pgSz w:w="16838" w:h="11906" w:orient="landscape"/>
          <w:pgMar w:top="1134" w:right="567" w:bottom="1134" w:left="1701" w:header="708" w:footer="567" w:gutter="0"/>
          <w:titlePg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Рис. 51. Макет рабочей области в темной теме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 Контрольные проектные сценарии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1. Обучающийся проходит DevOps-сценарий.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Обучающийся входит в систему, выбирает назначение восстановления веб-сервиса и запускает среду. В терминале учебного сервера он проверяет состояние сервисов и журналы, исправляет параметры подключения к базе данных, после инцидента из пула шаблона (например, неверный upstream в конфигурации Nginx) восстанавливает сервис, при необходимости запускает самопроверку и отправляет результат. Система фиксирует команды, инцидент, подсказки и события безопасности, выполняет checks, формирует отчет и обновляет профиль компетенций.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2. Обучающийся проходит юридический документный кейс.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Обучающийся открывает пакет документов, находит противоречия, учитывает новую нормативную вводную и заполняет форму ответа, которая сохраняется автоматически. Пакет документов и дефекты сформированы программно по параметрам шаблона, легенду пишет языковая модель (или шаблон в режиме деградации). AssessmentAgent выполняет правила проверки по ключу варианта и семантическое сравнение предложенных формулировок с эталоном.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3. Преподаватель анализирует результаты группы.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Преподаватель выбирает группу и период, просматривает средний балл, частоту подсказок, проблемные навыки и сессии с расхождениями. При корректировке результата причина сохраняется в журнале аудита.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4. Методист добавляет шаблон сценария.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Методист добавляет навык в граф, указывает prerequisite-связи, задает каталог сбоев, checks, инциденты, лимит времени и правила подсказок. Шаблон публикуется только после успешной валидации прогоном.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5. Администратор переключает LLM-контур.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Администратор получает предупреждение о лимите внешнего провайдера и переводит новые генерации в локальный или шаблонный режим с указанием причины. Запущенные сессии продолжают работу, переключение аудитируется.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>Сценарий 6. Обучающийся решает задачу на программирование.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Обучающийся открывает задачу направления «Алгоритмы и структуры данных», читает условие и теорию по навыкам, пишет решение и собственные тесты в редакторе кода и запускает их кнопкой «Запустить тесты». Код выполняется в одноразовом изолированном контейнере. После отправки Verification Engine прогоняет решение на скрытых тестах по группам и оценивает собственные тесты обучающегося на эталоне и типичных ошибках; протокол показывает результат по группам и теорию для повторения.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 Вывод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В техническом проекте выполнена детализация системы МАССО на основе технического задания редакции 3: определены сущности, процессы, последовательности взаимодействия, модели данных, архитектура C4, информационные потоки, справочники, API, структура интерфейса и макеты экранов. Проектные решения соответствуют реализованному опытному образцу.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Проектные решения описывают первую очередь создания системы: модульный монолит на FastAPI, единое хранилище PostgreSQL с pgvector, фоновый worker и учебные среды в контейнерах Docker без сети и привилегий; сценарии обслуживают три движка - учебный сервер, документный тренажер и задачи на код. Такая конфигурация реализует все функциональные требования ТЗ на одном сервере и сохраняет границы компонентов для перехода ко второй очереди. Диаграммы выполнены в draw.io и приложены к проекту исходными файлами и изображениями, макеты экранов выполнены в Claude Design как интерактивный холст с артбордами.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2506"/>
        <w:gridCol w:w="1446"/>
        <w:gridCol w:w="1445"/>
      </w:tblGrid>
      <w:t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организации, предприятия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Должность исполнителя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</w:t>
            </w:r>
          </w:p>
        </w:tc>
      </w:tr>
      <w:tr>
        <w:trPr>
          <w:trHeight w:val="700" w:hRule="atLeast"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ИРНИТУ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гр. ИСИб-23-1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Л. А. Демонов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</w:tr>
    </w:tbl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СОГЛАСОВАНО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2506"/>
        <w:gridCol w:w="1446"/>
        <w:gridCol w:w="1445"/>
      </w:tblGrid>
      <w:t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организации, предприятия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Должность исполнителя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</w:t>
            </w:r>
          </w:p>
        </w:tc>
      </w:tr>
      <w:tr>
        <w:trPr>
          <w:trHeight w:val="700" w:hRule="atLeast"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ИРНИТУ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Д. С. Шипицин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567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52" Type="http://schemas.openxmlformats.org/officeDocument/2006/relationships/fontTable" Target="fontTable.xml"/><Relationship Id="rId53" Type="http://schemas.openxmlformats.org/officeDocument/2006/relationships/image" Target="media/image5.png"/><Relationship Id="rId54" Type="http://schemas.openxmlformats.org/officeDocument/2006/relationships/image" Target="media/image7.png"/><Relationship Id="rId55" Type="http://schemas.openxmlformats.org/officeDocument/2006/relationships/image" Target="media/image11.png"/><Relationship Id="rId56" Type="http://schemas.openxmlformats.org/officeDocument/2006/relationships/image" Target="media/image12.png"/><Relationship Id="rId57" Type="http://schemas.openxmlformats.org/officeDocument/2006/relationships/image" Target="media/image13.png"/><Relationship Id="rId58" Type="http://schemas.openxmlformats.org/officeDocument/2006/relationships/image" Target="media/image14.png"/><Relationship Id="rId59" Type="http://schemas.openxmlformats.org/officeDocument/2006/relationships/image" Target="media/image15.png"/><Relationship Id="rId60" Type="http://schemas.openxmlformats.org/officeDocument/2006/relationships/image" Target="media/image16.png"/><Relationship Id="rId61" Type="http://schemas.openxmlformats.org/officeDocument/2006/relationships/image" Target="media/image17.png"/><Relationship Id="rId62" Type="http://schemas.openxmlformats.org/officeDocument/2006/relationships/image" Target="media/image18.png"/><Relationship Id="rId63" Type="http://schemas.openxmlformats.org/officeDocument/2006/relationships/image" Target="media/image19.png"/><Relationship Id="rId64" Type="http://schemas.openxmlformats.org/officeDocument/2006/relationships/image" Target="media/image20.png"/><Relationship Id="rId65" Type="http://schemas.openxmlformats.org/officeDocument/2006/relationships/image" Target="media/image21.png"/><Relationship Id="rId66" Type="http://schemas.openxmlformats.org/officeDocument/2006/relationships/image" Target="media/image23.png"/><Relationship Id="rId67" Type="http://schemas.openxmlformats.org/officeDocument/2006/relationships/image" Target="media/image24.png"/><Relationship Id="rId68" Type="http://schemas.openxmlformats.org/officeDocument/2006/relationships/image" Target="media/image25.png"/><Relationship Id="rId69" Type="http://schemas.openxmlformats.org/officeDocument/2006/relationships/image" Target="media/image26.png"/><Relationship Id="rId70" Type="http://schemas.openxmlformats.org/officeDocument/2006/relationships/image" Target="media/image27.png"/><Relationship Id="rId71" Type="http://schemas.openxmlformats.org/officeDocument/2006/relationships/image" Target="media/image28.png"/><Relationship Id="rId72" Type="http://schemas.openxmlformats.org/officeDocument/2006/relationships/image" Target="media/image29.png"/><Relationship Id="rId73" Type="http://schemas.openxmlformats.org/officeDocument/2006/relationships/image" Target="media/image30.png"/><Relationship Id="rId74" Type="http://schemas.openxmlformats.org/officeDocument/2006/relationships/image" Target="media/image31.png"/><Relationship Id="rId75" Type="http://schemas.openxmlformats.org/officeDocument/2006/relationships/image" Target="media/image32.png"/><Relationship Id="rId76" Type="http://schemas.openxmlformats.org/officeDocument/2006/relationships/image" Target="media/image33.png"/><Relationship Id="rId77" Type="http://schemas.openxmlformats.org/officeDocument/2006/relationships/image" Target="media/image34.png"/><Relationship Id="rId78" Type="http://schemas.openxmlformats.org/officeDocument/2006/relationships/image" Target="media/image35.png"/><Relationship Id="rId79" Type="http://schemas.openxmlformats.org/officeDocument/2006/relationships/image" Target="media/image36.png"/><Relationship Id="rId80" Type="http://schemas.openxmlformats.org/officeDocument/2006/relationships/image" Target="media/image37.png"/><Relationship Id="rId81" Type="http://schemas.openxmlformats.org/officeDocument/2006/relationships/image" Target="media/image38.png"/><Relationship Id="rId82" Type="http://schemas.openxmlformats.org/officeDocument/2006/relationships/image" Target="media/image39.png"/><Relationship Id="rId83" Type="http://schemas.openxmlformats.org/officeDocument/2006/relationships/image" Target="media/image41.png"/><Relationship Id="rId84" Type="http://schemas.openxmlformats.org/officeDocument/2006/relationships/image" Target="media/image42.png"/><Relationship Id="rId85" Type="http://schemas.openxmlformats.org/officeDocument/2006/relationships/image" Target="media/image44.png"/><Relationship Id="rId86" Type="http://schemas.openxmlformats.org/officeDocument/2006/relationships/image" Target="media/image45.png"/><Relationship Id="rId87" Type="http://schemas.openxmlformats.org/officeDocument/2006/relationships/image" Target="media/image46.png"/><Relationship Id="rId88" Type="http://schemas.openxmlformats.org/officeDocument/2006/relationships/image" Target="media/image47.png"/><Relationship Id="rId89" Type="http://schemas.openxmlformats.org/officeDocument/2006/relationships/image" Target="media/image49.png"/><Relationship Id="rId90" Type="http://schemas.openxmlformats.org/officeDocument/2006/relationships/image" Target="media/image50.png"/><Relationship Id="rId91" Type="http://schemas.openxmlformats.org/officeDocument/2006/relationships/image" Target="media/image51.png"/><Relationship Id="rId92" Type="http://schemas.openxmlformats.org/officeDocument/2006/relationships/image" Target="media/image52.png"/><Relationship Id="rId93" Type="http://schemas.openxmlformats.org/officeDocument/2006/relationships/image" Target="media/image53.png"/><Relationship Id="rId94" Type="http://schemas.openxmlformats.org/officeDocument/2006/relationships/image" Target="media/image54.png"/><Relationship Id="rId95" Type="http://schemas.openxmlformats.org/officeDocument/2006/relationships/image" Target="media/image55.png"/><Relationship Id="rId96" Type="http://schemas.openxmlformats.org/officeDocument/2006/relationships/image" Target="media/image56.png"/><Relationship Id="rId97" Type="http://schemas.openxmlformats.org/officeDocument/2006/relationships/image" Target="media/image57.png"/><Relationship Id="rId98" Type="http://schemas.openxmlformats.org/officeDocument/2006/relationships/image" Target="media/image58.png"/><Relationship Id="rId99" Type="http://schemas.openxmlformats.org/officeDocument/2006/relationships/image" Target="media/image59.png"/><Relationship Id="rId100" Type="http://schemas.openxmlformats.org/officeDocument/2006/relationships/image" Target="media/image60.png"/><Relationship Id="rId101" Type="http://schemas.openxmlformats.org/officeDocument/2006/relationships/image" Target="media/image61.png"/><Relationship Id="rId102" Type="http://schemas.openxmlformats.org/officeDocument/2006/relationships/image" Target="media/image62.png"/><Relationship Id="rId103" Type="http://schemas.openxmlformats.org/officeDocument/2006/relationships/image" Target="media/image6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проект МАССО</dc:title>
  <dc:creator>Демонов Л.А.</dc:creator>
  <cp:lastModifiedBy>Демонов Л.А.</cp:lastModifiedBy>
  <cp:revision>1</cp:revision>
  <dcterms:created xsi:type="dcterms:W3CDTF">2026-10-17T01:05:03.003Z</dcterms:created>
  <dcterms:modified xsi:type="dcterms:W3CDTF">2026-10-17T01:05:03.003Z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