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ingFang SC" w:cs="PingFang SC" w:eastAsia="PingFang SC" w:hAnsi="PingFang SC"/>
          <w:b/>
          <w:bCs/>
          <w:color w:val="1F2937"/>
          <w:sz w:val="40"/>
          <w:szCs w:val="40"/>
        </w:rPr>
        <w:t xml:space="preserve">Agent Guard 后续研究与实施规划</w:t>
      </w:r>
    </w:p>
    <w:p>
      <w:pPr>
        <w:spacing w:after="80"/>
      </w:pPr>
      <w:r>
        <w:rPr>
          <w:rFonts w:ascii="PingFang SC" w:cs="PingFang SC" w:eastAsia="PingFang SC" w:hAnsi="PingFang SC"/>
          <w:color w:val="1E3A8A"/>
          <w:sz w:val="24"/>
          <w:szCs w:val="24"/>
        </w:rPr>
        <w:t xml:space="preserve">面向多智能体委托执行的谓词门控协同 SM2 签名</w:t>
      </w:r>
    </w:p>
    <w:p>
      <w:pPr>
        <w:pBdr>
          <w:bottom w:val="single" w:color="C7D2E5" w:sz="6" w:space="8"/>
        </w:pBdr>
        <w:spacing w:after="24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规划周期：2026-10-18 至 2026-11-28　｜　关键节点：复赛提交 10-22，决赛 11-26～28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摘要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本阶段已完成 OAuth 委托授权、国密持有者证明、接受时动态检查三条主线的可运行实现，并以独立原型接入了 2-of-3 门限批准与 x402 支付。复盘发现，门限层与支付层同授权主线的耦合较弱，且新增密码机制未采用国密算法，密码学贡献不够突出。据此我们围绕“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授权即密钥</w:t>
      </w:r>
      <w:r>
        <w:rPr>
          <w:rFonts w:ascii="PingFang SC" w:cs="PingFang SC" w:eastAsia="PingFang SC" w:hAnsi="PingFang SC"/>
          <w:color w:val="1F2937"/>
        </w:rPr>
        <w:t xml:space="preserve">”重构：执行凭据的 SM2 私钥以协同签名方式分布于授权域与执行域，授权域仅在独立核验委托链、撤销状态与剩余预算后才参与签名，最终产出标准 SM2 签名，可同时用作执行凭据、下游效果端凭据与支付意图批准。两方版本已于 10 月 17 日实现并通过独立复验；后续在复赛前完成论文，决赛前完成访问结构推广、形式化验证与系统评估。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　现状与问题判断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1.1　已完成的工作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2726"/>
      </w:tblGrid>
      <w:tr>
        <w:trPr>
          <w:tblHeader/>
        </w:trPr>
        <w:tc>
          <w:tcPr>
            <w:tcW w:type="dxa" w:w="3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模块</w:t>
            </w:r>
          </w:p>
        </w:tc>
        <w:tc>
          <w:tcPr>
            <w:tcW w:type="dxa" w:w="2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实现状态</w:t>
            </w:r>
          </w:p>
        </w:tc>
        <w:tc>
          <w:tcPr>
            <w:tcW w:type="dxa" w:w="27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现有证据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委托授权（OAuth + Token Exchange，两级委托逐维收窄）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真实 AS 签发链；场景 3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持有者证明（AGPoP，SM2 签名 + SM3 绑定请求体）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1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接受时动态检查（祖先撤销、共享预算、防重放、幂等）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4/5/6 测试；场景 6 真实运行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签名回执、独立审计锚定、离线验证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已实现（A2、A3.1、A3.2 已独立验收）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历史验收记录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双域协同 SM2 签名（新）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已接入网关、下游效果端与本机演示；独立复验通过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16 个采购集成用例；552 项数据库集成测试；公开向量经 OpenSSL 3 验签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付款意图双域共签（新）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本地测试链；演示界面已切换为共签批准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6/6 用例；x402 相关 142 项测试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2-of-3 门限批准（FROST-Ed25519，现作对照）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已接入网关接受事务（本机演示）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24 个集成用例；固定演示 6/6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x402 支付（EIP-3009，本地测试链）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本地闭环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139 个测试；固定演示 6/6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可视化演示系统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本机可控、公网只读，按真实事件播放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场景 1/3/6 真实事件流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cs="PingFang SC" w:eastAsia="PingFang SC" w:hAnsi="PingFang SC"/>
        </w:rPr>
        <w:t xml:space="preserve">1.2　上一版存在的问题（已于本轮着手解决）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门限层未参与把关。</w:t>
      </w:r>
      <w:r>
        <w:rPr>
          <w:rFonts w:ascii="PingFang SC" w:cs="PingFang SC" w:eastAsia="PingFang SC" w:hAnsi="PingFang SC"/>
          <w:color w:val="1F2937"/>
        </w:rPr>
        <w:t xml:space="preserve">三个签名方依据的是初始化时写入的静态策略，并不核验实时授权状态；全部检查仍由网关完成。在当前威胁模型下，移除门限层并不改变安全性。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支付层与授权层仅以摘要相连。</w:t>
      </w:r>
      <w:r>
        <w:rPr>
          <w:rFonts w:ascii="PingFang SC" w:cs="PingFang SC" w:eastAsia="PingFang SC" w:hAnsi="PingFang SC"/>
          <w:color w:val="1F2937"/>
        </w:rPr>
        <w:t xml:space="preserve">付款由一把独立的 secp256k1 密钥签名，门限批准只绑定支付意图摘要，收款方也无法验证这笔付款是否经过授权。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新增密码机制非国密。</w:t>
      </w:r>
      <w:r>
        <w:rPr>
          <w:rFonts w:ascii="PingFang SC" w:cs="PingFang SC" w:eastAsia="PingFang SC" w:hAnsi="PingFang SC"/>
          <w:color w:val="1F2937"/>
        </w:rPr>
        <w:t xml:space="preserve">门限签名采用 Ed25519，支付签名采用 secp256k1，与竞赛对商用密码应用的要求不一致。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新颖性风险。</w:t>
      </w:r>
      <w:r>
        <w:rPr>
          <w:rFonts w:ascii="PingFang SC" w:cs="PingFang SC" w:eastAsia="PingFang SC" w:hAnsi="PingFang SC"/>
          <w:color w:val="1F2937"/>
        </w:rPr>
        <w:t xml:space="preserve">近期工作 KITA（arXiv 2609.05901）已提出面向 LLM 智能体的密钥隔离门限审批（门限 BLS + DKG），与现有设计相近。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安全论证不足。</w:t>
      </w:r>
      <w:r>
        <w:rPr>
          <w:rFonts w:ascii="PingFang SC" w:cs="PingFang SC" w:eastAsia="PingFang SC" w:hAnsi="PingFang SC"/>
          <w:color w:val="1F2937"/>
        </w:rPr>
        <w:t xml:space="preserve">尚无形式化的安全目标定义与论证，结论主要依赖测试。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1.3　本轮已完成：双域协同 SM2 签名（2026-10-17）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前三项问题已在两方版本中解决：签名方（授权域）实时核验授权状态后才出份额；全部采用国密 SM2；密钥两方交互生成，无可信分发者。第四项以“份额释放依据为可验证授权状态”区别于 KITA；第五项将在复赛论文中给出半诚实模型下的论证，形式化验证列入后续计划。实测结果如下（Apple M5 Pro 上 amd64 仿真环境，每项预热 10 次、正式 100 次，失败 0）：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2726"/>
      </w:tblGrid>
      <w:tr>
        <w:trPr>
          <w:tblHeader/>
        </w:trPr>
        <w:tc>
          <w:tcPr>
            <w:tcW w:type="dxa" w:w="33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测量项</w:t>
            </w:r>
          </w:p>
        </w:tc>
        <w:tc>
          <w:tcPr>
            <w:tcW w:type="dxa" w:w="15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中位数（ms）</w:t>
            </w:r>
          </w:p>
        </w:tc>
        <w:tc>
          <w:tcPr>
            <w:tcW w:type="dxa" w:w="15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p95（ms）</w:t>
            </w:r>
          </w:p>
        </w:tc>
        <w:tc>
          <w:tcPr>
            <w:tcW w:type="dxa" w:w="27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协同签名三轮合计（不含谓词）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15.9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16.3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Python 原型，非常数时间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授权域轮次（含数据库谓词核验）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26.0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27.5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真实 AS 签名链 + 只读事务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单方 SM2 签名 / 验签（铜锁）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0.25 / 0.26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0.27 / 0.33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对照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FROST 2-of-3 组签名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23.5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25.1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含子进程启动与 I/O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网关受理（HTTP 至 202）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71.6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87.0</w:t>
            </w:r>
          </w:p>
        </w:tc>
        <w:tc>
          <w:tcPr>
            <w:tcW w:type="dxa" w:w="2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不含执行 worker</w:t>
            </w:r>
          </w:p>
        </w:tc>
      </w:tr>
    </w:tbl>
    <w:p>
      <w:pPr>
        <w:spacing w:after="40"/>
      </w:pP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负例方面：只持执行域份额伪造签名、签名前撤销（授权域拒绝出份额，零签名产生）、签名后撤销（接受事务拒绝）、签名后篡改金额、超出剩余预算、绕过网关直接调用下游，均在预期位置被拒绝且无业务效果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2　研究主线：授权即密钥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2.1　核心思想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把“谁有权执行”从数据库中的一行状态，转化为分布在独立信任域中的签名能力。执行凭据的 SM2 私钥被拆分为两份：授权域（与 AS 同一信任域）只在授权谓词成立时释放其签名贡献，执行域负责核对请求事实。由此，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一个有效签名本身即证明签名时授权谓词成立</w:t>
      </w:r>
      <w:r>
        <w:rPr>
          <w:rFonts w:ascii="PingFang SC" w:cs="PingFang SC" w:eastAsia="PingFang SC" w:hAnsi="PingFang SC"/>
          <w:color w:val="1F2937"/>
        </w:rPr>
        <w:t xml:space="preserve">，且该证明可随请求携带，由任何持有公钥的一方以标准 SM2 验签确认。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2.2　研究问题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RQ1</w:t>
      </w:r>
      <w:r>
        <w:rPr>
          <w:rFonts w:ascii="PingFang SC" w:cs="PingFang SC" w:eastAsia="PingFang SC" w:hAnsi="PingFang SC"/>
          <w:color w:val="1F2937"/>
        </w:rPr>
        <w:t xml:space="preserve">　如何使签名份额的释放条件与可验证的 OAuth 授权状态（委托链、撤销、预算）绑定，并保证单一信任域被攻破时无法产生有效凭据？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RQ2</w:t>
      </w:r>
      <w:r>
        <w:rPr>
          <w:rFonts w:ascii="PingFang SC" w:cs="PingFang SC" w:eastAsia="PingFang SC" w:hAnsi="PingFang SC"/>
          <w:color w:val="1F2937"/>
        </w:rPr>
        <w:t xml:space="preserve">　如何在 SM2 的 (1+d)⁻¹ 结构下实现上述机制，使输出为标准 SM2 签名，并且无需可信分发者？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RQ3</w:t>
      </w:r>
      <w:r>
        <w:rPr>
          <w:rFonts w:ascii="PingFang SC" w:cs="PingFang SC" w:eastAsia="PingFang SC" w:hAnsi="PingFang SC"/>
          <w:color w:val="1F2937"/>
        </w:rPr>
        <w:t xml:space="preserve">　该凭据如何与接受事务、支付意图组合，使签名之后发生的撤销仍然有效，且不引入重复执行或重复付款？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2.3　预期贡献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26"/>
        <w:gridCol w:w="2100"/>
      </w:tblGrid>
      <w:tr>
        <w:trPr>
          <w:tblHeader/>
        </w:trPr>
        <w:tc>
          <w:tcPr>
            <w:tcW w:type="dxa" w:w="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编号</w:t>
            </w:r>
          </w:p>
        </w:tc>
        <w:tc>
          <w:tcPr>
            <w:tcW w:type="dxa" w:w="60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贡献</w:t>
            </w:r>
          </w:p>
        </w:tc>
        <w:tc>
          <w:tcPr>
            <w:tcW w:type="dxa" w:w="21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C1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谓词门控的协同 SM2 签名：份额释放以授权谓词为条件，输出标准 SM2 签名，两方交互生成密钥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核心创新（已实现 n=2）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C2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与委托授权、接受事务及支付意图的一致组合，实现“签名前撤销由授权域拒签，签名后撤销由接受事务拒绝”的双层保护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系统贡献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6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执行授权不可伪造性的定义、安全论证、形式化模型与实证评估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安全分析与实证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cs="PingFang SC" w:eastAsia="PingFang SC" w:hAnsi="PingFang SC"/>
        </w:rPr>
        <w:t xml:space="preserve">2.4　与相关工作的区别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026"/>
        <w:gridCol w:w="1600"/>
        <w:gridCol w:w="2200"/>
      </w:tblGrid>
      <w:tr>
        <w:trPr>
          <w:tblHeader/>
        </w:trPr>
        <w:tc>
          <w:tcPr>
            <w:tcW w:type="dxa" w:w="17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维度</w:t>
            </w:r>
          </w:p>
        </w:tc>
        <w:tc>
          <w:tcPr>
            <w:tcW w:type="dxa" w:w="15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单钥 SM2 批准</w:t>
            </w:r>
          </w:p>
        </w:tc>
        <w:tc>
          <w:tcPr>
            <w:tcW w:type="dxa" w:w="20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FROST 2-of-3（本项目现版）</w:t>
            </w:r>
          </w:p>
        </w:tc>
        <w:tc>
          <w:tcPr>
            <w:tcW w:type="dxa" w:w="16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KITA</w:t>
            </w:r>
          </w:p>
        </w:tc>
        <w:tc>
          <w:tcPr>
            <w:tcW w:type="dxa" w:w="22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本方案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签名算法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SM2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Ed25519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门限 BLS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SM2（标准签名）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份额释放依据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静态策略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LLM 语义评审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可验证授权谓词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签名方核验撤销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待核实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密钥初始化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单方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可信分发者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DKG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两方交互，无分发者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单域被攻破可签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否（少于 t）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3　技术方案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3.1　两方协同 SM2 签名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采用乘法分享，使 (1+d)⁻¹ ≡ d₁·d₂ (mod n)，完整私钥 d 不在任何一方出现。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密钥生成</w:t>
      </w:r>
      <w:r>
        <w:rPr>
          <w:rFonts w:ascii="PingFang SC" w:cs="PingFang SC" w:eastAsia="PingFang SC" w:hAnsi="PingFang SC"/>
          <w:color w:val="1F2937"/>
        </w:rPr>
        <w:t xml:space="preserve">：执行域发送 T₁ = d₁⁻¹·G；授权域计算公钥 P = d₂⁻¹·T₁ − G。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签名</w:t>
      </w:r>
      <w:r>
        <w:rPr>
          <w:rFonts w:ascii="PingFang SC" w:cs="PingFang SC" w:eastAsia="PingFang SC" w:hAnsi="PingFang SC"/>
          <w:color w:val="1F2937"/>
        </w:rPr>
        <w:t xml:space="preserve">：执行域发送 Q₁ = k₁·G；授权域检查谓词后，取 k₂、k₃，计算 r = e + x(k₃·Q₁ + k₂·G)，返回 s₂ = d₂k₃、s₃ = d₂(r + k₂)；执行域计算 s = d₁k₁s₂ + d₁s₃ − r，并以标准验签确认后输出 (r, s)。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关键约束</w:t>
      </w:r>
      <w:r>
        <w:rPr>
          <w:rFonts w:ascii="PingFang SC" w:cs="PingFang SC" w:eastAsia="PingFang SC" w:hAnsi="PingFang SC"/>
          <w:color w:val="1F2937"/>
        </w:rPr>
        <w:t xml:space="preserve">：授权域必须自行由结构化行动对象计算 e = SM3(Z_A‖M)，不接受对方提供的摘要；随机数一次性使用。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已实现并接入系统：授权域与执行域为独立进程，各自只读取本域份额；授权域使用只读数据库角色；网关与下游效果端均以铜锁标准 SM2 验签；公开测试向量经 OpenSSL 3 独立验证。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3.2　授权谓词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color w:val="1F2937"/>
          <w:sz w:val="21"/>
          <w:szCs w:val="21"/>
        </w:rPr>
        <w:t xml:space="preserve">Φ_A(act, t) = ChainValid ∧ PathMatch ∧ InScope ∧ PolicyMatch ∧ NotRevoked(t) ∧ NotExpired(t) ∧ BudgetOK(t)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授权域逐项核验 AS 签名的根到叶委托链、路径与持有者一致性、工具范围、策略版本，以及当前的撤销状态、有效期与剩余预算；任一项不成立即拒绝参与签名，并返回明确的拒绝码。预算的实际预留仍在网关接受事务内原子完成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3.3　威胁模型与安全目标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敌手可完全控制全部智能体，并攻破授权域与执行域中至多一个；AS 签名密钥与验签方代码可信。安全目标为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执行授权不可伪造性</w:t>
      </w:r>
      <w:r>
        <w:rPr>
          <w:rFonts w:ascii="PingFang SC" w:cs="PingFang SC" w:eastAsia="PingFang SC" w:hAnsi="PingFang SC"/>
          <w:color w:val="1F2937"/>
        </w:rPr>
        <w:t xml:space="preserve">：若某行动被验签方接受，则必存在一次诚实域参与、且其谓词成立的签名会话。复赛阶段在半诚实模型下给出论证，决赛阶段补充形式化模型与恶意模型评估。</w:t>
      </w:r>
    </w:p>
    <w:p>
      <w:pPr>
        <w:spacing w:after="110" w:line="31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关于网关被攻破的准确结论</w:t>
      </w:r>
      <w:r>
        <w:rPr>
          <w:rFonts w:ascii="PingFang SC" w:cs="PingFang SC" w:eastAsia="PingFang SC" w:hAnsi="PingFang SC"/>
          <w:color w:val="1F2937"/>
        </w:rPr>
        <w:t xml:space="preserve">：网关只持有执行域份额，单方无法产生有效共签；下游订单服务独立以标准 SM2 验签、核对业务意图并拒绝同一批准跨操作重放。因此攻击者至多能把授权域在签名时已核准的那一笔执行一次。签名之后才发生的撤销仍依赖网关接受事务拦截，网关失陷时在批准有效期内不受保护，这一点列入阶段二（效果端补充动态状态核验）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3.4　工程集成原则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以新 profile 和版本接入，不修改既有令牌、证明、门限消息的字节格式与历史迁移。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验签方案由服务端配置决定，客户端无法选择或关闭。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网关验签使用铜锁的标准 SM2 实现；协同计算代码仅用于生成份额。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4　阶段计划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600"/>
        <w:gridCol w:w="4126"/>
      </w:tblGrid>
      <w:tr>
        <w:trPr>
          <w:tblHeader/>
        </w:trPr>
        <w:tc>
          <w:tcPr>
            <w:tcW w:type="dxa" w:w="9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时间</w:t>
            </w:r>
          </w:p>
        </w:tc>
        <w:tc>
          <w:tcPr>
            <w:tcW w:type="dxa" w:w="26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目标</w:t>
            </w:r>
          </w:p>
        </w:tc>
        <w:tc>
          <w:tcPr>
            <w:tcW w:type="dxa" w:w="41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交付物与验收标准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一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复赛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10-17～10-22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两方协同 SM2 接入采购网关（</w:t>
            </w: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已完成</w:t>
            </w: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）；论文按新主线重写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已完成：核心库、域服务、网关与下游集成、付款意图共签、基准与论文图、独立复验。待完成：复赛论文；代码正式提交与版本冻结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二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扩展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10-23～11-08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访问结构推广与效果端验证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三域方案二选一并实现：(a) 授权域必选、执行域与审计域二选一（复制分享，复用两方协议，提升可用性）；(b) 三方乘法分享，审计域写入只追加日志后才出份额（“未入账即不可执行”）；效果端补充撤销状态核验；评估缩短批准有效期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三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论证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11-09～11-20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安全论证与系统评估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ProVerif/Tamarin 模型验证“撤销后不存在新接受”；恶意模型分析（零知识证明需求与代价）；常数时间原生实现替换原型曲线运算；对照实验（单钥 SM2、FROST、无共签基线）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四</w:t>
            </w:r>
          </w:p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决赛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11-21～11-28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冻结与答辩准备</w:t>
            </w:r>
          </w:p>
        </w:tc>
        <w:tc>
          <w:tcPr>
            <w:tcW w:type="dxa" w:w="4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冻结版本与一键演示；现场运行与备用录屏；答辩材料；局限与后续工作清单</w:t>
            </w:r>
          </w:p>
        </w:tc>
      </w:tr>
    </w:tbl>
    <w:p>
      <w:pPr>
        <w:spacing w:after="40"/>
      </w:pPr>
    </w:p>
    <w:p>
      <w:pPr>
        <w:spacing w:after="110" w:line="31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可选方向</w:t>
      </w:r>
      <w:r>
        <w:rPr>
          <w:rFonts w:ascii="PingFang SC" w:cs="PingFang SC" w:eastAsia="PingFang SC" w:hAnsi="PingFang SC"/>
          <w:color w:val="1F2937"/>
        </w:rPr>
        <w:t xml:space="preserve">（视进度决定，不挤占主线）：接入真实大模型代理，在可视化中区分“模型提出的意图”与“网关实际接受的操作”；一般 t-of-n 门限 SM2（基于已发表方案）作为研究对照。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5　评估方案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类别</w:t>
            </w:r>
          </w:p>
        </w:tc>
        <w:tc>
          <w:tcPr>
            <w:tcW w:type="dxa" w:w="38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指标</w:t>
            </w:r>
          </w:p>
        </w:tc>
        <w:tc>
          <w:tcPr>
            <w:tcW w:type="dxa" w:w="38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正确性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协同签名与标准 SM2 的互验通过率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铜锁与 OpenSSL 3 双实现验签；公开测试向量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各攻击的拒绝位置、拒绝码、未授权业务效果数、预算变化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真实 PostgreSQL、真实 AS 签发链、独立下游；每类攻击配合法对照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性能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各轮次耗时、谓词检查耗时、端到端受理耗时（中位数、p95）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固定环境，预热 10 次，正式 100 次，保留原始数据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对照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与单钥 SM2、FROST 2-of-3 的开销与安全性差异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同环境同负载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形式化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撤销与接受的顺序性质、单域不可伪造</w:t>
            </w:r>
          </w:p>
        </w:tc>
        <w:tc>
          <w:tcPr>
            <w:tcW w:type="dxa" w:w="3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ProVerif/Tamarin 模型</w:t>
            </w:r>
          </w:p>
        </w:tc>
      </w:tr>
    </w:tbl>
    <w:p>
      <w:pPr>
        <w:spacing w:after="40"/>
      </w:pP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所有结论标注运行编号、代码版本与样本数；历史证据、本轮运行与示意内容分开呈现，不报告未实测的结果。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6　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成员</w:t>
            </w:r>
          </w:p>
        </w:tc>
        <w:tc>
          <w:tcPr>
            <w:tcW w:type="dxa" w:w="78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可视化与演示系统；独立验签核验；性能测试与论文图表；现场演示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协同签名协议、授权域与执行域签名服务、网关与下游集成、集成测试；唯一代码集成者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7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论文与安全分析；相关工作对照；形式化建模；独立验收与主张核对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7　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影响</w:t>
            </w:r>
          </w:p>
        </w:tc>
        <w:tc>
          <w:tcPr>
            <w:tcW w:type="dxa" w:w="4726"/>
            <w:shd w:fill="E6EB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8"/>
                <w:szCs w:val="18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实现尚未正式提交版本库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成果丢失或无法复现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复赛前完成提交、推送与版本冻结，论文所有数据关联运行编号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协议实现错误导致密钥泄露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安全性失效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公式固定为已验证的参考实现；双实现交叉验签；随机数一次性使用的单测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半诚实模型受到质疑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安全论证被认为偏弱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如实声明；阶段三评估零知识证明方案的需求与代价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两域同主机部署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隔离性不足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演示中独立进程与只读数据库角色；决赛前评估容器级隔离；在局限中写明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与 KITA 区分不清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新颖性存疑</w:t>
            </w:r>
          </w:p>
        </w:tc>
        <w:tc>
          <w:tcPr>
            <w:tcW w:type="dxa" w:w="47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8"/>
                <w:szCs w:val="18"/>
              </w:rPr>
              <w:t xml:space="preserve">以“份额释放依据为可验证授权状态”和“国密标准签名”为区分点，逐项核对原文</w:t>
            </w:r>
          </w:p>
        </w:tc>
      </w:tr>
    </w:tbl>
    <w:p>
      <w:pPr>
        <w:pStyle w:val="Heading1"/>
      </w:pPr>
      <w:r>
        <w:rPr>
          <w:rFonts w:ascii="PingFang SC" w:cs="PingFang SC" w:eastAsia="PingFang SC" w:hAnsi="PingFang SC"/>
        </w:rPr>
        <w:t xml:space="preserve">8　希望老师指导的问题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“授权即密钥”作为主线是否合适？是否需要保留 FROST 2-of-3 作为对照？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决赛前推广到三域时，选“授权域必选 + 二选一”（侧重可用性），还是“三方全必选、审计域强制入账”（侧重可审计性）？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x402 在作品中的定位：作为授权感知支付的应用实例保留，还是压缩为后续工作？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PingFang SC" w:cs="PingFang SC" w:eastAsia="PingFang SC" w:hAnsi="PingFang SC"/>
          <w:color w:val="1F2937"/>
        </w:rPr>
        <w:t xml:space="preserve">安全论证的深度：在半诚实模型下给出论证并辅以形式化工具验证，是否满足竞赛要求？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9　不作的主张</w:t>
      </w:r>
    </w:p>
    <w:p>
      <w:pPr>
        <w:spacing w:after="110" w:line="310"/>
      </w:pPr>
      <w:r>
        <w:rPr>
          <w:rFonts w:ascii="PingFang SC" w:cs="PingFang SC" w:eastAsia="PingFang SC" w:hAnsi="PingFang SC"/>
          <w:color w:val="1F2937"/>
        </w:rPr>
        <w:t xml:space="preserve">不声称提出新的签名算法；不将 n=2 的协同签名称为门限 SM2；未实现 DKG 或恶意安全时不作相应表述；不将本地测试链支付表述为真实结算；不报告未完成的规模实验结果。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PingFang SC" w:cs="PingFang SC" w:eastAsia="PingFang SC" w:hAnsi="PingFang SC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ingFang SC" w:cs="PingFang SC" w:eastAsia="PingFang SC" w:hAnsi="PingFang SC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Guard 后续研究与实施规划</dc:title>
  <dc:creator>Agent Guard</dc:creator>
  <cp:lastModifiedBy>Un-named</cp:lastModifiedBy>
  <cp:revision>1</cp:revision>
  <dcterms:created xsi:type="dcterms:W3CDTF">2026-10-17T22:24:18.782Z</dcterms:created>
  <dcterms:modified xsi:type="dcterms:W3CDTF">2026-10-17T22:24:18.782Z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