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ingFang SC" w:cs="PingFang SC" w:eastAsia="PingFang SC" w:hAnsi="PingFang SC"/>
          <w:b/>
          <w:bCs/>
          <w:color w:val="1F2937"/>
          <w:sz w:val="40"/>
          <w:szCs w:val="40"/>
        </w:rPr>
        <w:t xml:space="preserve">Agent Guard 后续研究与实施规划</w:t>
      </w:r>
    </w:p>
    <w:p>
      <w:pPr>
        <w:spacing w:after="80"/>
      </w:pPr>
      <w:r>
        <w:rPr>
          <w:rFonts w:ascii="PingFang SC" w:cs="PingFang SC" w:eastAsia="PingFang SC" w:hAnsi="PingFang SC"/>
          <w:color w:val="1E3A8A"/>
          <w:sz w:val="24"/>
          <w:szCs w:val="24"/>
        </w:rPr>
        <w:t xml:space="preserve">面向多智能体委托执行的谓词门控协同 SM2 签名</w:t>
      </w:r>
    </w:p>
    <w:p>
      <w:pPr>
        <w:pBdr>
          <w:bottom w:val="single" w:color="C7D2E5" w:sz="6" w:space="8"/>
        </w:pBdr>
        <w:spacing w:after="240"/>
      </w:pPr>
      <w:r>
        <w:rPr>
          <w:rFonts w:ascii="PingFang SC" w:cs="PingFang SC" w:eastAsia="PingFang SC" w:hAnsi="PingFang SC"/>
          <w:color w:val="6B7280"/>
          <w:sz w:val="19"/>
          <w:szCs w:val="19"/>
        </w:rPr>
        <w:t xml:space="preserve">规划周期：2026-10-18 至 2026-11-28　｜　关键节点：复赛提交 10-22，决赛 11-26～28</w:t>
      </w:r>
    </w:p>
    <w:p>
      <w:pPr>
        <w:pStyle w:val="Heading1"/>
      </w:pPr>
      <w:r>
        <w:rPr>
          <w:rFonts w:ascii="PingFang SC" w:cs="PingFang SC" w:eastAsia="PingFang SC" w:hAnsi="PingFang SC"/>
        </w:rPr>
        <w:t xml:space="preserve">摘要</w:t>
      </w:r>
    </w:p>
    <w:p>
      <w:pPr>
        <w:spacing w:after="110" w:line="310"/>
      </w:pPr>
      <w:r>
        <w:rPr>
          <w:rFonts w:ascii="PingFang SC" w:cs="PingFang SC" w:eastAsia="PingFang SC" w:hAnsi="PingFang SC"/>
          <w:color w:val="1F2937"/>
        </w:rPr>
        <w:t xml:space="preserve">本阶段已完成 OAuth 委托授权、国密持有者证明、接受时动态检查三条主线的可运行实现，并以独立原型接入了 2-of-3 门限批准与 x402 支付。复盘发现，门限层与支付层同授权主线的耦合较弱，且新增密码机制未采用国密算法，密码学贡献不够突出。据此我们围绕“</w:t>
      </w:r>
      <w:r>
        <w:rPr>
          <w:rFonts w:ascii="PingFang SC" w:cs="PingFang SC" w:eastAsia="PingFang SC" w:hAnsi="PingFang SC"/>
          <w:b/>
          <w:bCs/>
          <w:color w:val="1F2937"/>
        </w:rPr>
        <w:t xml:space="preserve">授权即密钥</w:t>
      </w:r>
      <w:r>
        <w:rPr>
          <w:rFonts w:ascii="PingFang SC" w:cs="PingFang SC" w:eastAsia="PingFang SC" w:hAnsi="PingFang SC"/>
          <w:color w:val="1F2937"/>
        </w:rPr>
        <w:t xml:space="preserve">”重构：执行凭据的 SM2 私钥以协同签名方式分布于授权域与执行域，授权域仅在独立核验委托链、撤销状态与剩余预算后才参与签名，最终产出标准 SM2 签名，可同时用作执行凭据、下游效果端凭据与支付意图批准。两方版本已于 10 月 17 日实现并通过独立复验；后续在复赛前完成论文，决赛前完成访问结构推广、形式化验证与系统评估。</w:t>
      </w:r>
    </w:p>
    <w:p>
      <w:pPr>
        <w:pStyle w:val="Heading1"/>
      </w:pPr>
      <w:r>
        <w:rPr>
          <w:rFonts w:ascii="PingFang SC" w:cs="PingFang SC" w:eastAsia="PingFang SC" w:hAnsi="PingFang SC"/>
        </w:rPr>
        <w:t xml:space="preserve">1　现状与问题判断</w:t>
      </w:r>
    </w:p>
    <w:p>
      <w:pPr>
        <w:pStyle w:val="Heading2"/>
      </w:pPr>
      <w:r>
        <w:rPr>
          <w:rFonts w:ascii="PingFang SC" w:cs="PingFang SC" w:eastAsia="PingFang SC" w:hAnsi="PingFang SC"/>
        </w:rPr>
        <w:t xml:space="preserve">1.1　已完成的工作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2400"/>
        <w:gridCol w:w="2726"/>
      </w:tblGrid>
      <w:tr>
        <w:trPr>
          <w:tblHeader/>
        </w:trPr>
        <w:tc>
          <w:tcPr>
            <w:tcW w:type="dxa" w:w="3900"/>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模块</w:t>
            </w:r>
          </w:p>
        </w:tc>
        <w:tc>
          <w:tcPr>
            <w:tcW w:type="dxa" w:w="2400"/>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实现状态</w:t>
            </w:r>
          </w:p>
        </w:tc>
        <w:tc>
          <w:tcPr>
            <w:tcW w:type="dxa" w:w="2726"/>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现有证据</w:t>
            </w:r>
          </w:p>
        </w:tc>
      </w:tr>
      <w:tr>
        <w:trPr>
          <w:cantSplit/>
        </w:trPr>
        <w:tc>
          <w:tcPr>
            <w:tcW w:type="dxa" w:w="39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委托授权（OAuth + Token Exchange，两级委托逐维收窄）</w:t>
            </w:r>
          </w:p>
        </w:tc>
        <w:tc>
          <w:tcPr>
            <w:tcW w:type="dxa" w:w="24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已实现</w:t>
            </w:r>
          </w:p>
        </w:tc>
        <w:tc>
          <w:tcPr>
            <w:tcW w:type="dxa" w:w="27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真实 AS 签发链；场景 3 真实运行</w:t>
            </w:r>
          </w:p>
        </w:tc>
      </w:tr>
      <w:tr>
        <w:trPr>
          <w:cantSplit/>
        </w:trPr>
        <w:tc>
          <w:tcPr>
            <w:tcW w:type="dxa" w:w="39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持有者证明（AGPoP，SM2 签名 + SM3 绑定请求体）</w:t>
            </w:r>
          </w:p>
        </w:tc>
        <w:tc>
          <w:tcPr>
            <w:tcW w:type="dxa" w:w="24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已实现</w:t>
            </w:r>
          </w:p>
        </w:tc>
        <w:tc>
          <w:tcPr>
            <w:tcW w:type="dxa" w:w="27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场景 1 真实运行</w:t>
            </w:r>
          </w:p>
        </w:tc>
      </w:tr>
      <w:tr>
        <w:trPr>
          <w:cantSplit/>
        </w:trPr>
        <w:tc>
          <w:tcPr>
            <w:tcW w:type="dxa" w:w="39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接受时动态检查（祖先撤销、共享预算、防重放、幂等）</w:t>
            </w:r>
          </w:p>
        </w:tc>
        <w:tc>
          <w:tcPr>
            <w:tcW w:type="dxa" w:w="24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已实现</w:t>
            </w:r>
          </w:p>
        </w:tc>
        <w:tc>
          <w:tcPr>
            <w:tcW w:type="dxa" w:w="27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场景 4/5/6 测试；场景 6 真实运行</w:t>
            </w:r>
          </w:p>
        </w:tc>
      </w:tr>
      <w:tr>
        <w:trPr>
          <w:cantSplit/>
        </w:trPr>
        <w:tc>
          <w:tcPr>
            <w:tcW w:type="dxa" w:w="39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签名回执、独立审计锚定、离线验证</w:t>
            </w:r>
          </w:p>
        </w:tc>
        <w:tc>
          <w:tcPr>
            <w:tcW w:type="dxa" w:w="24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已实现（A2、A3.1、A3.2 已独立验收）</w:t>
            </w:r>
          </w:p>
        </w:tc>
        <w:tc>
          <w:tcPr>
            <w:tcW w:type="dxa" w:w="27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历史验收记录</w:t>
            </w:r>
          </w:p>
        </w:tc>
      </w:tr>
      <w:tr>
        <w:trPr>
          <w:cantSplit/>
        </w:trPr>
        <w:tc>
          <w:tcPr>
            <w:tcW w:type="dxa" w:w="3900"/>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双域协同 SM2 签名（新）</w:t>
            </w:r>
          </w:p>
        </w:tc>
        <w:tc>
          <w:tcPr>
            <w:tcW w:type="dxa" w:w="24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已接入网关、下游效果端与本机演示；独立复验通过</w:t>
            </w:r>
          </w:p>
        </w:tc>
        <w:tc>
          <w:tcPr>
            <w:tcW w:type="dxa" w:w="27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16 个采购集成用例；552 项数据库集成测试；公开向量经 OpenSSL 3 验签</w:t>
            </w:r>
          </w:p>
        </w:tc>
      </w:tr>
      <w:tr>
        <w:trPr>
          <w:cantSplit/>
        </w:trPr>
        <w:tc>
          <w:tcPr>
            <w:tcW w:type="dxa" w:w="39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付款意图双域共签（新）</w:t>
            </w:r>
          </w:p>
        </w:tc>
        <w:tc>
          <w:tcPr>
            <w:tcW w:type="dxa" w:w="24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本地测试链；演示界面已切换为共签批准</w:t>
            </w:r>
          </w:p>
        </w:tc>
        <w:tc>
          <w:tcPr>
            <w:tcW w:type="dxa" w:w="27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6/6 用例；x402 相关 142 项测试</w:t>
            </w:r>
          </w:p>
        </w:tc>
      </w:tr>
      <w:tr>
        <w:trPr>
          <w:cantSplit/>
        </w:trPr>
        <w:tc>
          <w:tcPr>
            <w:tcW w:type="dxa" w:w="39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2-of-3 门限批准（FROST-Ed25519，现作对照）</w:t>
            </w:r>
          </w:p>
        </w:tc>
        <w:tc>
          <w:tcPr>
            <w:tcW w:type="dxa" w:w="24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已接入网关接受事务（本机演示）</w:t>
            </w:r>
          </w:p>
        </w:tc>
        <w:tc>
          <w:tcPr>
            <w:tcW w:type="dxa" w:w="27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24 个集成用例；固定演示 6/6</w:t>
            </w:r>
          </w:p>
        </w:tc>
      </w:tr>
      <w:tr>
        <w:trPr>
          <w:cantSplit/>
        </w:trPr>
        <w:tc>
          <w:tcPr>
            <w:tcW w:type="dxa" w:w="39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x402 支付（EIP-3009，本地测试链）</w:t>
            </w:r>
          </w:p>
        </w:tc>
        <w:tc>
          <w:tcPr>
            <w:tcW w:type="dxa" w:w="24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本地闭环</w:t>
            </w:r>
          </w:p>
        </w:tc>
        <w:tc>
          <w:tcPr>
            <w:tcW w:type="dxa" w:w="27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139 个测试；固定演示 6/6</w:t>
            </w:r>
          </w:p>
        </w:tc>
      </w:tr>
      <w:tr>
        <w:trPr>
          <w:cantSplit/>
        </w:trPr>
        <w:tc>
          <w:tcPr>
            <w:tcW w:type="dxa" w:w="39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可视化演示系统</w:t>
            </w:r>
          </w:p>
        </w:tc>
        <w:tc>
          <w:tcPr>
            <w:tcW w:type="dxa" w:w="24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本机可控、公网只读，按真实事件播放</w:t>
            </w:r>
          </w:p>
        </w:tc>
        <w:tc>
          <w:tcPr>
            <w:tcW w:type="dxa" w:w="27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场景 1/3/6 真实事件流</w:t>
            </w:r>
          </w:p>
        </w:tc>
      </w:tr>
    </w:tbl>
    <w:p>
      <w:pPr>
        <w:spacing w:after="40"/>
      </w:pPr>
    </w:p>
    <w:p>
      <w:pPr>
        <w:pStyle w:val="Heading2"/>
      </w:pPr>
      <w:r>
        <w:rPr>
          <w:rFonts w:ascii="PingFang SC" w:cs="PingFang SC" w:eastAsia="PingFang SC" w:hAnsi="PingFang SC"/>
        </w:rPr>
        <w:t xml:space="preserve">1.2　上一版存在的问题（已于本轮着手解决）</w:t>
      </w:r>
    </w:p>
    <w:p>
      <w:pPr>
        <w:pStyle w:val="ListParagraph"/>
        <w:numPr>
          <w:ilvl w:val="0"/>
          <w:numId w:val="2"/>
        </w:numPr>
        <w:spacing w:after="70" w:line="300"/>
      </w:pPr>
      <w:r>
        <w:rPr>
          <w:rFonts w:ascii="PingFang SC" w:cs="PingFang SC" w:eastAsia="PingFang SC" w:hAnsi="PingFang SC"/>
          <w:b/>
          <w:bCs/>
          <w:color w:val="1F2937"/>
        </w:rPr>
        <w:t xml:space="preserve">门限层未参与把关。</w:t>
      </w:r>
      <w:r>
        <w:rPr>
          <w:rFonts w:ascii="PingFang SC" w:cs="PingFang SC" w:eastAsia="PingFang SC" w:hAnsi="PingFang SC"/>
          <w:color w:val="1F2937"/>
        </w:rPr>
        <w:t xml:space="preserve">三个签名方依据的是初始化时写入的静态策略，并不核验实时授权状态；全部检查仍由网关完成。在当前威胁模型下，移除门限层并不改变安全性。</w:t>
      </w:r>
    </w:p>
    <w:p>
      <w:pPr>
        <w:pStyle w:val="ListParagraph"/>
        <w:numPr>
          <w:ilvl w:val="0"/>
          <w:numId w:val="2"/>
        </w:numPr>
        <w:spacing w:after="70" w:line="300"/>
      </w:pPr>
      <w:r>
        <w:rPr>
          <w:rFonts w:ascii="PingFang SC" w:cs="PingFang SC" w:eastAsia="PingFang SC" w:hAnsi="PingFang SC"/>
          <w:b/>
          <w:bCs/>
          <w:color w:val="1F2937"/>
        </w:rPr>
        <w:t xml:space="preserve">支付层与授权层仅以摘要相连。</w:t>
      </w:r>
      <w:r>
        <w:rPr>
          <w:rFonts w:ascii="PingFang SC" w:cs="PingFang SC" w:eastAsia="PingFang SC" w:hAnsi="PingFang SC"/>
          <w:color w:val="1F2937"/>
        </w:rPr>
        <w:t xml:space="preserve">付款由一把独立的 secp256k1 密钥签名，门限批准只绑定支付意图摘要，收款方也无法验证这笔付款是否经过授权。</w:t>
      </w:r>
    </w:p>
    <w:p>
      <w:pPr>
        <w:pStyle w:val="ListParagraph"/>
        <w:numPr>
          <w:ilvl w:val="0"/>
          <w:numId w:val="2"/>
        </w:numPr>
        <w:spacing w:after="70" w:line="300"/>
      </w:pPr>
      <w:r>
        <w:rPr>
          <w:rFonts w:ascii="PingFang SC" w:cs="PingFang SC" w:eastAsia="PingFang SC" w:hAnsi="PingFang SC"/>
          <w:b/>
          <w:bCs/>
          <w:color w:val="1F2937"/>
        </w:rPr>
        <w:t xml:space="preserve">新增密码机制非国密。</w:t>
      </w:r>
      <w:r>
        <w:rPr>
          <w:rFonts w:ascii="PingFang SC" w:cs="PingFang SC" w:eastAsia="PingFang SC" w:hAnsi="PingFang SC"/>
          <w:color w:val="1F2937"/>
        </w:rPr>
        <w:t xml:space="preserve">门限签名采用 Ed25519，支付签名采用 secp256k1，与竞赛对商用密码应用的要求不一致。</w:t>
      </w:r>
    </w:p>
    <w:p>
      <w:pPr>
        <w:pStyle w:val="ListParagraph"/>
        <w:numPr>
          <w:ilvl w:val="0"/>
          <w:numId w:val="2"/>
        </w:numPr>
        <w:spacing w:after="70" w:line="300"/>
      </w:pPr>
      <w:r>
        <w:rPr>
          <w:rFonts w:ascii="PingFang SC" w:cs="PingFang SC" w:eastAsia="PingFang SC" w:hAnsi="PingFang SC"/>
          <w:b/>
          <w:bCs/>
          <w:color w:val="1F2937"/>
        </w:rPr>
        <w:t xml:space="preserve">新颖性风险。</w:t>
      </w:r>
      <w:r>
        <w:rPr>
          <w:rFonts w:ascii="PingFang SC" w:cs="PingFang SC" w:eastAsia="PingFang SC" w:hAnsi="PingFang SC"/>
          <w:color w:val="1F2937"/>
        </w:rPr>
        <w:t xml:space="preserve">近期工作 KITA（arXiv 2609.05901）已提出面向 LLM 智能体的密钥隔离门限审批（门限 BLS + DKG），与现有设计相近。</w:t>
      </w:r>
    </w:p>
    <w:p>
      <w:pPr>
        <w:pStyle w:val="ListParagraph"/>
        <w:numPr>
          <w:ilvl w:val="0"/>
          <w:numId w:val="2"/>
        </w:numPr>
        <w:spacing w:after="70" w:line="300"/>
      </w:pPr>
      <w:r>
        <w:rPr>
          <w:rFonts w:ascii="PingFang SC" w:cs="PingFang SC" w:eastAsia="PingFang SC" w:hAnsi="PingFang SC"/>
          <w:b/>
          <w:bCs/>
          <w:color w:val="1F2937"/>
        </w:rPr>
        <w:t xml:space="preserve">安全论证不足。</w:t>
      </w:r>
      <w:r>
        <w:rPr>
          <w:rFonts w:ascii="PingFang SC" w:cs="PingFang SC" w:eastAsia="PingFang SC" w:hAnsi="PingFang SC"/>
          <w:color w:val="1F2937"/>
        </w:rPr>
        <w:t xml:space="preserve">尚无形式化的安全目标定义与论证，结论主要依赖测试。</w:t>
      </w:r>
    </w:p>
    <w:p>
      <w:pPr>
        <w:pStyle w:val="Heading2"/>
      </w:pPr>
      <w:r>
        <w:rPr>
          <w:rFonts w:ascii="PingFang SC" w:cs="PingFang SC" w:eastAsia="PingFang SC" w:hAnsi="PingFang SC"/>
        </w:rPr>
        <w:t xml:space="preserve">1.3　本轮已完成：双域协同 SM2 签名（2026-10-17）</w:t>
      </w:r>
    </w:p>
    <w:p>
      <w:pPr>
        <w:spacing w:after="110" w:line="310"/>
      </w:pPr>
      <w:r>
        <w:rPr>
          <w:rFonts w:ascii="PingFang SC" w:cs="PingFang SC" w:eastAsia="PingFang SC" w:hAnsi="PingFang SC"/>
          <w:color w:val="1F2937"/>
        </w:rPr>
        <w:t xml:space="preserve">前三项问题已在两方版本中解决：签名方（授权域）实时核验授权状态后才出份额；全部采用国密 SM2；密钥两方交互生成，无可信分发者。第四项以“份额释放依据为可验证授权状态”区别于 KITA；第五项将在复赛论文中给出半诚实模型下的论证，形式化验证列入后续计划。实测结果如下（Apple M5 Pro 上 amd64 仿真环境，每项预热 10 次、正式 100 次，失败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500"/>
        <w:gridCol w:w="2726"/>
      </w:tblGrid>
      <w:tr>
        <w:trPr>
          <w:tblHeader/>
        </w:trPr>
        <w:tc>
          <w:tcPr>
            <w:tcW w:type="dxa" w:w="3300"/>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测量项</w:t>
            </w:r>
          </w:p>
        </w:tc>
        <w:tc>
          <w:tcPr>
            <w:tcW w:type="dxa" w:w="1500"/>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中位数（ms）</w:t>
            </w:r>
          </w:p>
        </w:tc>
        <w:tc>
          <w:tcPr>
            <w:tcW w:type="dxa" w:w="1500"/>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p95（ms）</w:t>
            </w:r>
          </w:p>
        </w:tc>
        <w:tc>
          <w:tcPr>
            <w:tcW w:type="dxa" w:w="2726"/>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说明</w:t>
            </w:r>
          </w:p>
        </w:tc>
      </w:tr>
      <w:tr>
        <w:trPr>
          <w:cantSplit/>
        </w:trPr>
        <w:tc>
          <w:tcPr>
            <w:tcW w:type="dxa" w:w="33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协同签名三轮合计（不含谓词）</w:t>
            </w:r>
          </w:p>
        </w:tc>
        <w:tc>
          <w:tcPr>
            <w:tcW w:type="dxa" w:w="15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15.9</w:t>
            </w:r>
          </w:p>
        </w:tc>
        <w:tc>
          <w:tcPr>
            <w:tcW w:type="dxa" w:w="15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16.3</w:t>
            </w:r>
          </w:p>
        </w:tc>
        <w:tc>
          <w:tcPr>
            <w:tcW w:type="dxa" w:w="27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Python 原型，非常数时间</w:t>
            </w:r>
          </w:p>
        </w:tc>
      </w:tr>
      <w:tr>
        <w:trPr>
          <w:cantSplit/>
        </w:trPr>
        <w:tc>
          <w:tcPr>
            <w:tcW w:type="dxa" w:w="33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授权域轮次（含数据库谓词核验）</w:t>
            </w:r>
          </w:p>
        </w:tc>
        <w:tc>
          <w:tcPr>
            <w:tcW w:type="dxa" w:w="15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26.0</w:t>
            </w:r>
          </w:p>
        </w:tc>
        <w:tc>
          <w:tcPr>
            <w:tcW w:type="dxa" w:w="15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27.5</w:t>
            </w:r>
          </w:p>
        </w:tc>
        <w:tc>
          <w:tcPr>
            <w:tcW w:type="dxa" w:w="27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真实 AS 签名链 + 只读事务</w:t>
            </w:r>
          </w:p>
        </w:tc>
      </w:tr>
      <w:tr>
        <w:trPr>
          <w:cantSplit/>
        </w:trPr>
        <w:tc>
          <w:tcPr>
            <w:tcW w:type="dxa" w:w="33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单方 SM2 签名 / 验签（铜锁）</w:t>
            </w:r>
          </w:p>
        </w:tc>
        <w:tc>
          <w:tcPr>
            <w:tcW w:type="dxa" w:w="15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0.25 / 0.26</w:t>
            </w:r>
          </w:p>
        </w:tc>
        <w:tc>
          <w:tcPr>
            <w:tcW w:type="dxa" w:w="15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0.27 / 0.33</w:t>
            </w:r>
          </w:p>
        </w:tc>
        <w:tc>
          <w:tcPr>
            <w:tcW w:type="dxa" w:w="27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对照</w:t>
            </w:r>
          </w:p>
        </w:tc>
      </w:tr>
      <w:tr>
        <w:trPr>
          <w:cantSplit/>
        </w:trPr>
        <w:tc>
          <w:tcPr>
            <w:tcW w:type="dxa" w:w="33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FROST 2-of-3 组签名</w:t>
            </w:r>
          </w:p>
        </w:tc>
        <w:tc>
          <w:tcPr>
            <w:tcW w:type="dxa" w:w="15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23.5</w:t>
            </w:r>
          </w:p>
        </w:tc>
        <w:tc>
          <w:tcPr>
            <w:tcW w:type="dxa" w:w="15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25.1</w:t>
            </w:r>
          </w:p>
        </w:tc>
        <w:tc>
          <w:tcPr>
            <w:tcW w:type="dxa" w:w="27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含子进程启动与 I/O</w:t>
            </w:r>
          </w:p>
        </w:tc>
      </w:tr>
      <w:tr>
        <w:trPr>
          <w:cantSplit/>
        </w:trPr>
        <w:tc>
          <w:tcPr>
            <w:tcW w:type="dxa" w:w="33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网关受理（HTTP 至 202）</w:t>
            </w:r>
          </w:p>
        </w:tc>
        <w:tc>
          <w:tcPr>
            <w:tcW w:type="dxa" w:w="15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71.6</w:t>
            </w:r>
          </w:p>
        </w:tc>
        <w:tc>
          <w:tcPr>
            <w:tcW w:type="dxa" w:w="15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87.0</w:t>
            </w:r>
          </w:p>
        </w:tc>
        <w:tc>
          <w:tcPr>
            <w:tcW w:type="dxa" w:w="27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不含执行 worker</w:t>
            </w:r>
          </w:p>
        </w:tc>
      </w:tr>
    </w:tbl>
    <w:p>
      <w:pPr>
        <w:spacing w:after="40"/>
      </w:pPr>
    </w:p>
    <w:p>
      <w:pPr>
        <w:spacing w:after="110" w:line="310"/>
      </w:pPr>
      <w:r>
        <w:rPr>
          <w:rFonts w:ascii="PingFang SC" w:cs="PingFang SC" w:eastAsia="PingFang SC" w:hAnsi="PingFang SC"/>
          <w:color w:val="1F2937"/>
        </w:rPr>
        <w:t xml:space="preserve">负例方面：只持执行域份额伪造签名、签名前撤销（授权域拒绝出份额，零签名产生）、签名后撤销（接受事务拒绝）、签名后篡改金额、超出剩余预算、绕过网关直接调用下游，均在预期位置被拒绝且无业务效果。</w:t>
      </w:r>
    </w:p>
    <w:p>
      <w:pPr>
        <w:pStyle w:val="Heading1"/>
      </w:pPr>
      <w:r>
        <w:rPr>
          <w:rFonts w:ascii="PingFang SC" w:cs="PingFang SC" w:eastAsia="PingFang SC" w:hAnsi="PingFang SC"/>
        </w:rPr>
        <w:t xml:space="preserve">2　研究主线：授权即密钥</w:t>
      </w:r>
    </w:p>
    <w:p>
      <w:pPr>
        <w:pStyle w:val="Heading2"/>
      </w:pPr>
      <w:r>
        <w:rPr>
          <w:rFonts w:ascii="PingFang SC" w:cs="PingFang SC" w:eastAsia="PingFang SC" w:hAnsi="PingFang SC"/>
        </w:rPr>
        <w:t xml:space="preserve">2.1　核心思想</w:t>
      </w:r>
    </w:p>
    <w:p>
      <w:pPr>
        <w:spacing w:after="110" w:line="310"/>
      </w:pPr>
      <w:r>
        <w:rPr>
          <w:rFonts w:ascii="PingFang SC" w:cs="PingFang SC" w:eastAsia="PingFang SC" w:hAnsi="PingFang SC"/>
          <w:color w:val="1F2937"/>
        </w:rPr>
        <w:t xml:space="preserve">把“谁有权执行”从数据库中的一行状态，转化为分布在独立信任域中的签名能力。执行凭据的 SM2 私钥被拆分为两份：授权域（与 AS 同一信任域）只在授权谓词成立时释放其签名贡献，执行域负责核对请求事实。由此，</w:t>
      </w:r>
      <w:r>
        <w:rPr>
          <w:rFonts w:ascii="PingFang SC" w:cs="PingFang SC" w:eastAsia="PingFang SC" w:hAnsi="PingFang SC"/>
          <w:b/>
          <w:bCs/>
          <w:color w:val="1F2937"/>
        </w:rPr>
        <w:t xml:space="preserve">一个有效签名本身即证明签名时授权谓词成立</w:t>
      </w:r>
      <w:r>
        <w:rPr>
          <w:rFonts w:ascii="PingFang SC" w:cs="PingFang SC" w:eastAsia="PingFang SC" w:hAnsi="PingFang SC"/>
          <w:color w:val="1F2937"/>
        </w:rPr>
        <w:t xml:space="preserve">，且该证明可随请求携带，由任何持有公钥的一方以标准 SM2 验签确认。</w:t>
      </w:r>
    </w:p>
    <w:p>
      <w:pPr>
        <w:pStyle w:val="Heading2"/>
      </w:pPr>
      <w:r>
        <w:rPr>
          <w:rFonts w:ascii="PingFang SC" w:cs="PingFang SC" w:eastAsia="PingFang SC" w:hAnsi="PingFang SC"/>
        </w:rPr>
        <w:t xml:space="preserve">2.2　研究问题</w:t>
      </w:r>
    </w:p>
    <w:p>
      <w:pPr>
        <w:pStyle w:val="ListParagraph"/>
        <w:numPr>
          <w:ilvl w:val="0"/>
          <w:numId w:val="2"/>
        </w:numPr>
        <w:spacing w:after="70" w:line="300"/>
      </w:pPr>
      <w:r>
        <w:rPr>
          <w:rFonts w:ascii="PingFang SC" w:cs="PingFang SC" w:eastAsia="PingFang SC" w:hAnsi="PingFang SC"/>
          <w:b/>
          <w:bCs/>
          <w:color w:val="1F2937"/>
        </w:rPr>
        <w:t xml:space="preserve">RQ1</w:t>
      </w:r>
      <w:r>
        <w:rPr>
          <w:rFonts w:ascii="PingFang SC" w:cs="PingFang SC" w:eastAsia="PingFang SC" w:hAnsi="PingFang SC"/>
          <w:color w:val="1F2937"/>
        </w:rPr>
        <w:t xml:space="preserve">　如何使签名份额的释放条件与可验证的 OAuth 授权状态（委托链、撤销、预算）绑定，并保证单一信任域被攻破时无法产生有效凭据？</w:t>
      </w:r>
    </w:p>
    <w:p>
      <w:pPr>
        <w:pStyle w:val="ListParagraph"/>
        <w:numPr>
          <w:ilvl w:val="0"/>
          <w:numId w:val="2"/>
        </w:numPr>
        <w:spacing w:after="70" w:line="300"/>
      </w:pPr>
      <w:r>
        <w:rPr>
          <w:rFonts w:ascii="PingFang SC" w:cs="PingFang SC" w:eastAsia="PingFang SC" w:hAnsi="PingFang SC"/>
          <w:b/>
          <w:bCs/>
          <w:color w:val="1F2937"/>
        </w:rPr>
        <w:t xml:space="preserve">RQ2</w:t>
      </w:r>
      <w:r>
        <w:rPr>
          <w:rFonts w:ascii="PingFang SC" w:cs="PingFang SC" w:eastAsia="PingFang SC" w:hAnsi="PingFang SC"/>
          <w:color w:val="1F2937"/>
        </w:rPr>
        <w:t xml:space="preserve">　如何在 SM2 的 (1+d)⁻¹ 结构下实现上述机制，使输出为标准 SM2 签名，并且无需可信分发者？</w:t>
      </w:r>
    </w:p>
    <w:p>
      <w:pPr>
        <w:pStyle w:val="ListParagraph"/>
        <w:numPr>
          <w:ilvl w:val="0"/>
          <w:numId w:val="2"/>
        </w:numPr>
        <w:spacing w:after="70" w:line="300"/>
      </w:pPr>
      <w:r>
        <w:rPr>
          <w:rFonts w:ascii="PingFang SC" w:cs="PingFang SC" w:eastAsia="PingFang SC" w:hAnsi="PingFang SC"/>
          <w:b/>
          <w:bCs/>
          <w:color w:val="1F2937"/>
        </w:rPr>
        <w:t xml:space="preserve">RQ3</w:t>
      </w:r>
      <w:r>
        <w:rPr>
          <w:rFonts w:ascii="PingFang SC" w:cs="PingFang SC" w:eastAsia="PingFang SC" w:hAnsi="PingFang SC"/>
          <w:color w:val="1F2937"/>
        </w:rPr>
        <w:t xml:space="preserve">　该凭据如何与接受事务、支付意图组合，使签名之后发生的撤销仍然有效，且不引入重复执行或重复付款？</w:t>
      </w:r>
    </w:p>
    <w:p>
      <w:pPr>
        <w:pStyle w:val="Heading2"/>
      </w:pPr>
      <w:r>
        <w:rPr>
          <w:rFonts w:ascii="PingFang SC" w:cs="PingFang SC" w:eastAsia="PingFang SC" w:hAnsi="PingFang SC"/>
        </w:rPr>
        <w:t xml:space="preserve">2.3　预期贡献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rPr>
          <w:tblHeader/>
        </w:trPr>
        <w:tc>
          <w:tcPr>
            <w:tcW w:type="dxa" w:w="900"/>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编号</w:t>
            </w:r>
          </w:p>
        </w:tc>
        <w:tc>
          <w:tcPr>
            <w:tcW w:type="dxa" w:w="6026"/>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贡献</w:t>
            </w:r>
          </w:p>
        </w:tc>
        <w:tc>
          <w:tcPr>
            <w:tcW w:type="dxa" w:w="2100"/>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性质</w:t>
            </w:r>
          </w:p>
        </w:tc>
      </w:tr>
      <w:tr>
        <w:trPr>
          <w:cantSplit/>
        </w:trPr>
        <w:tc>
          <w:tcPr>
            <w:tcW w:type="dxa" w:w="9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C1</w:t>
            </w:r>
          </w:p>
        </w:tc>
        <w:tc>
          <w:tcPr>
            <w:tcW w:type="dxa" w:w="60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谓词门控的协同 SM2 签名：份额释放以授权谓词为条件，输出标准 SM2 签名，两方交互生成密钥</w:t>
            </w:r>
          </w:p>
        </w:tc>
        <w:tc>
          <w:tcPr>
            <w:tcW w:type="dxa" w:w="21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核心创新（已实现 n=2）</w:t>
            </w:r>
          </w:p>
        </w:tc>
      </w:tr>
      <w:tr>
        <w:trPr>
          <w:cantSplit/>
        </w:trPr>
        <w:tc>
          <w:tcPr>
            <w:tcW w:type="dxa" w:w="9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C2</w:t>
            </w:r>
          </w:p>
        </w:tc>
        <w:tc>
          <w:tcPr>
            <w:tcW w:type="dxa" w:w="60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与委托授权、接受事务及支付意图的一致组合，实现“签名前撤销由授权域拒签，签名后撤销由接受事务拒绝”的双层保护</w:t>
            </w:r>
          </w:p>
        </w:tc>
        <w:tc>
          <w:tcPr>
            <w:tcW w:type="dxa" w:w="21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系统贡献</w:t>
            </w:r>
          </w:p>
        </w:tc>
      </w:tr>
      <w:tr>
        <w:trPr>
          <w:cantSplit/>
        </w:trPr>
        <w:tc>
          <w:tcPr>
            <w:tcW w:type="dxa" w:w="9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C3</w:t>
            </w:r>
          </w:p>
        </w:tc>
        <w:tc>
          <w:tcPr>
            <w:tcW w:type="dxa" w:w="60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授权状态承诺绑定：被签行动携带 AS 签名的撤销状态纪元与非撤销证明，下游与收款方可离线验证签名时授权状态的新鲜度</w:t>
            </w:r>
          </w:p>
        </w:tc>
        <w:tc>
          <w:tcPr>
            <w:tcW w:type="dxa" w:w="21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下一阶段核心（已设计）</w:t>
            </w:r>
          </w:p>
        </w:tc>
      </w:tr>
      <w:tr>
        <w:trPr>
          <w:cantSplit/>
        </w:trPr>
        <w:tc>
          <w:tcPr>
            <w:tcW w:type="dxa" w:w="9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C4</w:t>
            </w:r>
          </w:p>
        </w:tc>
        <w:tc>
          <w:tcPr>
            <w:tcW w:type="dxa" w:w="60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执行授权不可伪造性的定义、安全论证、形式化模型与实证评估</w:t>
            </w:r>
          </w:p>
        </w:tc>
        <w:tc>
          <w:tcPr>
            <w:tcW w:type="dxa" w:w="21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安全分析与实证</w:t>
            </w:r>
          </w:p>
        </w:tc>
      </w:tr>
    </w:tbl>
    <w:p>
      <w:pPr>
        <w:spacing w:after="40"/>
      </w:pPr>
    </w:p>
    <w:p>
      <w:pPr>
        <w:pStyle w:val="Heading2"/>
      </w:pPr>
      <w:r>
        <w:rPr>
          <w:rFonts w:ascii="PingFang SC" w:cs="PingFang SC" w:eastAsia="PingFang SC" w:hAnsi="PingFang SC"/>
        </w:rPr>
        <w:t xml:space="preserve">2.4　与相关工作的区别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026"/>
        <w:gridCol w:w="1600"/>
        <w:gridCol w:w="2200"/>
      </w:tblGrid>
      <w:tr>
        <w:trPr>
          <w:tblHeader/>
        </w:trPr>
        <w:tc>
          <w:tcPr>
            <w:tcW w:type="dxa" w:w="1700"/>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维度</w:t>
            </w:r>
          </w:p>
        </w:tc>
        <w:tc>
          <w:tcPr>
            <w:tcW w:type="dxa" w:w="1500"/>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单钥 SM2 批准</w:t>
            </w:r>
          </w:p>
        </w:tc>
        <w:tc>
          <w:tcPr>
            <w:tcW w:type="dxa" w:w="2026"/>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FROST 2-of-3（本项目现版）</w:t>
            </w:r>
          </w:p>
        </w:tc>
        <w:tc>
          <w:tcPr>
            <w:tcW w:type="dxa" w:w="1600"/>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KITA</w:t>
            </w:r>
          </w:p>
        </w:tc>
        <w:tc>
          <w:tcPr>
            <w:tcW w:type="dxa" w:w="2200"/>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本方案</w:t>
            </w:r>
          </w:p>
        </w:tc>
      </w:tr>
      <w:tr>
        <w:trPr>
          <w:cantSplit/>
        </w:trPr>
        <w:tc>
          <w:tcPr>
            <w:tcW w:type="dxa" w:w="17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签名算法</w:t>
            </w:r>
          </w:p>
        </w:tc>
        <w:tc>
          <w:tcPr>
            <w:tcW w:type="dxa" w:w="15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SM2</w:t>
            </w:r>
          </w:p>
        </w:tc>
        <w:tc>
          <w:tcPr>
            <w:tcW w:type="dxa" w:w="20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Ed25519</w:t>
            </w:r>
          </w:p>
        </w:tc>
        <w:tc>
          <w:tcPr>
            <w:tcW w:type="dxa" w:w="16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门限 BLS</w:t>
            </w:r>
          </w:p>
        </w:tc>
        <w:tc>
          <w:tcPr>
            <w:tcW w:type="dxa" w:w="22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SM2（标准签名）</w:t>
            </w:r>
          </w:p>
        </w:tc>
      </w:tr>
      <w:tr>
        <w:trPr>
          <w:cantSplit/>
        </w:trPr>
        <w:tc>
          <w:tcPr>
            <w:tcW w:type="dxa" w:w="17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份额释放依据</w:t>
            </w:r>
          </w:p>
        </w:tc>
        <w:tc>
          <w:tcPr>
            <w:tcW w:type="dxa" w:w="15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w:t>
            </w:r>
          </w:p>
        </w:tc>
        <w:tc>
          <w:tcPr>
            <w:tcW w:type="dxa" w:w="20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静态策略</w:t>
            </w:r>
          </w:p>
        </w:tc>
        <w:tc>
          <w:tcPr>
            <w:tcW w:type="dxa" w:w="16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LLM 语义评审</w:t>
            </w:r>
          </w:p>
        </w:tc>
        <w:tc>
          <w:tcPr>
            <w:tcW w:type="dxa" w:w="22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可验证授权谓词</w:t>
            </w:r>
          </w:p>
        </w:tc>
      </w:tr>
      <w:tr>
        <w:trPr>
          <w:cantSplit/>
        </w:trPr>
        <w:tc>
          <w:tcPr>
            <w:tcW w:type="dxa" w:w="17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签名方核验撤销</w:t>
            </w:r>
          </w:p>
        </w:tc>
        <w:tc>
          <w:tcPr>
            <w:tcW w:type="dxa" w:w="15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否</w:t>
            </w:r>
          </w:p>
        </w:tc>
        <w:tc>
          <w:tcPr>
            <w:tcW w:type="dxa" w:w="20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否</w:t>
            </w:r>
          </w:p>
        </w:tc>
        <w:tc>
          <w:tcPr>
            <w:tcW w:type="dxa" w:w="16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待核实</w:t>
            </w:r>
          </w:p>
        </w:tc>
        <w:tc>
          <w:tcPr>
            <w:tcW w:type="dxa" w:w="22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是</w:t>
            </w:r>
          </w:p>
        </w:tc>
      </w:tr>
      <w:tr>
        <w:trPr>
          <w:cantSplit/>
        </w:trPr>
        <w:tc>
          <w:tcPr>
            <w:tcW w:type="dxa" w:w="17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密钥初始化</w:t>
            </w:r>
          </w:p>
        </w:tc>
        <w:tc>
          <w:tcPr>
            <w:tcW w:type="dxa" w:w="15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单方</w:t>
            </w:r>
          </w:p>
        </w:tc>
        <w:tc>
          <w:tcPr>
            <w:tcW w:type="dxa" w:w="20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可信分发者</w:t>
            </w:r>
          </w:p>
        </w:tc>
        <w:tc>
          <w:tcPr>
            <w:tcW w:type="dxa" w:w="16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DKG</w:t>
            </w:r>
          </w:p>
        </w:tc>
        <w:tc>
          <w:tcPr>
            <w:tcW w:type="dxa" w:w="22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两方交互，无分发者</w:t>
            </w:r>
          </w:p>
        </w:tc>
      </w:tr>
      <w:tr>
        <w:trPr>
          <w:cantSplit/>
        </w:trPr>
        <w:tc>
          <w:tcPr>
            <w:tcW w:type="dxa" w:w="17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单域被攻破可签</w:t>
            </w:r>
          </w:p>
        </w:tc>
        <w:tc>
          <w:tcPr>
            <w:tcW w:type="dxa" w:w="15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是</w:t>
            </w:r>
          </w:p>
        </w:tc>
        <w:tc>
          <w:tcPr>
            <w:tcW w:type="dxa" w:w="20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否</w:t>
            </w:r>
          </w:p>
        </w:tc>
        <w:tc>
          <w:tcPr>
            <w:tcW w:type="dxa" w:w="16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否（少于 t）</w:t>
            </w:r>
          </w:p>
        </w:tc>
        <w:tc>
          <w:tcPr>
            <w:tcW w:type="dxa" w:w="22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否</w:t>
            </w:r>
          </w:p>
        </w:tc>
      </w:tr>
    </w:tbl>
    <w:p>
      <w:pPr>
        <w:pStyle w:val="Heading1"/>
      </w:pPr>
      <w:r>
        <w:rPr>
          <w:rFonts w:ascii="PingFang SC" w:cs="PingFang SC" w:eastAsia="PingFang SC" w:hAnsi="PingFang SC"/>
        </w:rPr>
        <w:t xml:space="preserve">3　技术方案</w:t>
      </w:r>
    </w:p>
    <w:p>
      <w:pPr>
        <w:pStyle w:val="Heading2"/>
      </w:pPr>
      <w:r>
        <w:rPr>
          <w:rFonts w:ascii="PingFang SC" w:cs="PingFang SC" w:eastAsia="PingFang SC" w:hAnsi="PingFang SC"/>
        </w:rPr>
        <w:t xml:space="preserve">3.1　两方协同 SM2 签名</w:t>
      </w:r>
    </w:p>
    <w:p>
      <w:pPr>
        <w:spacing w:after="110" w:line="310"/>
      </w:pPr>
      <w:r>
        <w:rPr>
          <w:rFonts w:ascii="PingFang SC" w:cs="PingFang SC" w:eastAsia="PingFang SC" w:hAnsi="PingFang SC"/>
          <w:color w:val="1F2937"/>
        </w:rPr>
        <w:t xml:space="preserve">采用乘法分享，使 (1+d)⁻¹ ≡ d₁·d₂ (mod n)，完整私钥 d 不在任何一方出现。</w:t>
      </w:r>
    </w:p>
    <w:p>
      <w:pPr>
        <w:pStyle w:val="ListParagraph"/>
        <w:numPr>
          <w:ilvl w:val="0"/>
          <w:numId w:val="2"/>
        </w:numPr>
        <w:spacing w:after="70" w:line="300"/>
      </w:pPr>
      <w:r>
        <w:rPr>
          <w:rFonts w:ascii="PingFang SC" w:cs="PingFang SC" w:eastAsia="PingFang SC" w:hAnsi="PingFang SC"/>
          <w:b/>
          <w:bCs/>
          <w:color w:val="1F2937"/>
        </w:rPr>
        <w:t xml:space="preserve">密钥生成</w:t>
      </w:r>
      <w:r>
        <w:rPr>
          <w:rFonts w:ascii="PingFang SC" w:cs="PingFang SC" w:eastAsia="PingFang SC" w:hAnsi="PingFang SC"/>
          <w:color w:val="1F2937"/>
        </w:rPr>
        <w:t xml:space="preserve">：执行域发送 T₁ = d₁⁻¹·G；授权域计算公钥 P = d₂⁻¹·T₁ − G。</w:t>
      </w:r>
    </w:p>
    <w:p>
      <w:pPr>
        <w:pStyle w:val="ListParagraph"/>
        <w:numPr>
          <w:ilvl w:val="0"/>
          <w:numId w:val="2"/>
        </w:numPr>
        <w:spacing w:after="70" w:line="300"/>
      </w:pPr>
      <w:r>
        <w:rPr>
          <w:rFonts w:ascii="PingFang SC" w:cs="PingFang SC" w:eastAsia="PingFang SC" w:hAnsi="PingFang SC"/>
          <w:b/>
          <w:bCs/>
          <w:color w:val="1F2937"/>
        </w:rPr>
        <w:t xml:space="preserve">签名</w:t>
      </w:r>
      <w:r>
        <w:rPr>
          <w:rFonts w:ascii="PingFang SC" w:cs="PingFang SC" w:eastAsia="PingFang SC" w:hAnsi="PingFang SC"/>
          <w:color w:val="1F2937"/>
        </w:rPr>
        <w:t xml:space="preserve">：执行域发送 Q₁ = k₁·G；授权域检查谓词后，取 k₂、k₃，计算 r = e + x(k₃·Q₁ + k₂·G)，返回 s₂ = d₂k₃、s₃ = d₂(r + k₂)；执行域计算 s = d₁k₁s₂ + d₁s₃ − r，并以标准验签确认后输出 (r, s)。</w:t>
      </w:r>
    </w:p>
    <w:p>
      <w:pPr>
        <w:pStyle w:val="ListParagraph"/>
        <w:numPr>
          <w:ilvl w:val="0"/>
          <w:numId w:val="2"/>
        </w:numPr>
        <w:spacing w:after="70" w:line="300"/>
      </w:pPr>
      <w:r>
        <w:rPr>
          <w:rFonts w:ascii="PingFang SC" w:cs="PingFang SC" w:eastAsia="PingFang SC" w:hAnsi="PingFang SC"/>
          <w:b/>
          <w:bCs/>
          <w:color w:val="1F2937"/>
        </w:rPr>
        <w:t xml:space="preserve">关键约束</w:t>
      </w:r>
      <w:r>
        <w:rPr>
          <w:rFonts w:ascii="PingFang SC" w:cs="PingFang SC" w:eastAsia="PingFang SC" w:hAnsi="PingFang SC"/>
          <w:color w:val="1F2937"/>
        </w:rPr>
        <w:t xml:space="preserve">：授权域必须自行由结构化行动对象计算 e = SM3(Z_A‖M)，不接受对方提供的摘要；随机数一次性使用。</w:t>
      </w:r>
    </w:p>
    <w:p>
      <w:pPr>
        <w:spacing w:after="110" w:line="310"/>
      </w:pPr>
      <w:r>
        <w:rPr>
          <w:rFonts w:ascii="PingFang SC" w:cs="PingFang SC" w:eastAsia="PingFang SC" w:hAnsi="PingFang SC"/>
          <w:color w:val="1F2937"/>
        </w:rPr>
        <w:t xml:space="preserve">已实现并接入系统：授权域与执行域为独立进程，各自只读取本域份额；授权域使用只读数据库角色；网关与下游效果端均以铜锁标准 SM2 验签；公开测试向量经 OpenSSL 3 独立验证。</w:t>
      </w:r>
    </w:p>
    <w:p>
      <w:pPr>
        <w:pStyle w:val="Heading2"/>
      </w:pPr>
      <w:r>
        <w:rPr>
          <w:rFonts w:ascii="PingFang SC" w:cs="PingFang SC" w:eastAsia="PingFang SC" w:hAnsi="PingFang SC"/>
        </w:rPr>
        <w:t xml:space="preserve">3.2　授权谓词</w:t>
      </w:r>
    </w:p>
    <w:p>
      <w:pPr>
        <w:spacing w:after="100" w:before="60"/>
        <w:jc w:val="center"/>
      </w:pPr>
      <w:r>
        <w:rPr>
          <w:rFonts w:ascii="Cambria Math" w:cs="Cambria Math" w:eastAsia="Cambria Math" w:hAnsi="Cambria Math"/>
          <w:color w:val="1F2937"/>
          <w:sz w:val="21"/>
          <w:szCs w:val="21"/>
        </w:rPr>
        <w:t xml:space="preserve">Φ_A(act, t) = ChainValid ∧ PathMatch ∧ InScope ∧ PolicyMatch ∧ NotRevoked(t) ∧ NotExpired(t) ∧ BudgetOK(t)</w:t>
      </w:r>
    </w:p>
    <w:p>
      <w:pPr>
        <w:spacing w:after="110" w:line="310"/>
      </w:pPr>
      <w:r>
        <w:rPr>
          <w:rFonts w:ascii="PingFang SC" w:cs="PingFang SC" w:eastAsia="PingFang SC" w:hAnsi="PingFang SC"/>
          <w:color w:val="1F2937"/>
        </w:rPr>
        <w:t xml:space="preserve">授权域逐项核验 AS 签名的根到叶委托链、路径与持有者一致性、工具范围、策略版本，以及当前的撤销状态、有效期与剩余预算；任一项不成立即拒绝参与签名，并返回明确的拒绝码。预算的实际预留仍在网关接受事务内原子完成。</w:t>
      </w:r>
    </w:p>
    <w:p>
      <w:pPr>
        <w:pStyle w:val="Heading2"/>
      </w:pPr>
      <w:r>
        <w:rPr>
          <w:rFonts w:ascii="PingFang SC" w:cs="PingFang SC" w:eastAsia="PingFang SC" w:hAnsi="PingFang SC"/>
        </w:rPr>
        <w:t xml:space="preserve">3.3　威胁模型与安全目标</w:t>
      </w:r>
    </w:p>
    <w:p>
      <w:pPr>
        <w:spacing w:after="110" w:line="310"/>
      </w:pPr>
      <w:r>
        <w:rPr>
          <w:rFonts w:ascii="PingFang SC" w:cs="PingFang SC" w:eastAsia="PingFang SC" w:hAnsi="PingFang SC"/>
          <w:color w:val="1F2937"/>
        </w:rPr>
        <w:t xml:space="preserve">敌手可完全控制全部智能体，并攻破授权域与执行域中至多一个；AS 签名密钥与验签方代码可信。安全目标为</w:t>
      </w:r>
      <w:r>
        <w:rPr>
          <w:rFonts w:ascii="PingFang SC" w:cs="PingFang SC" w:eastAsia="PingFang SC" w:hAnsi="PingFang SC"/>
          <w:b/>
          <w:bCs/>
          <w:color w:val="1F2937"/>
        </w:rPr>
        <w:t xml:space="preserve">执行授权不可伪造性</w:t>
      </w:r>
      <w:r>
        <w:rPr>
          <w:rFonts w:ascii="PingFang SC" w:cs="PingFang SC" w:eastAsia="PingFang SC" w:hAnsi="PingFang SC"/>
          <w:color w:val="1F2937"/>
        </w:rPr>
        <w:t xml:space="preserve">：若某行动被验签方接受，则必存在一次诚实域参与、且其谓词成立的签名会话。复赛阶段在半诚实模型下给出论证，决赛阶段补充形式化模型与恶意模型评估。</w:t>
      </w:r>
    </w:p>
    <w:p>
      <w:pPr>
        <w:spacing w:after="110" w:line="310"/>
      </w:pPr>
      <w:r>
        <w:rPr>
          <w:rFonts w:ascii="PingFang SC" w:cs="PingFang SC" w:eastAsia="PingFang SC" w:hAnsi="PingFang SC"/>
          <w:b/>
          <w:bCs/>
          <w:color w:val="1F2937"/>
        </w:rPr>
        <w:t xml:space="preserve">关于网关被攻破的准确结论</w:t>
      </w:r>
      <w:r>
        <w:rPr>
          <w:rFonts w:ascii="PingFang SC" w:cs="PingFang SC" w:eastAsia="PingFang SC" w:hAnsi="PingFang SC"/>
          <w:color w:val="1F2937"/>
        </w:rPr>
        <w:t xml:space="preserve">：网关只持有执行域份额，单方无法产生有效共签；下游订单服务独立以标准 SM2 验签、核对业务意图并拒绝同一批准跨操作重放。因此攻击者至多能把授权域在签名时已核准的那一笔执行一次。签名之后才发生的撤销仍依赖网关接受事务拦截，网关失陷时在批准有效期内不受保护。3.4 节的授权状态承诺用于关闭这一窗口。</w:t>
      </w:r>
    </w:p>
    <w:p>
      <w:pPr>
        <w:pStyle w:val="Heading2"/>
      </w:pPr>
      <w:r>
        <w:rPr>
          <w:rFonts w:ascii="PingFang SC" w:cs="PingFang SC" w:eastAsia="PingFang SC" w:hAnsi="PingFang SC"/>
        </w:rPr>
        <w:t xml:space="preserve">3.4　授权状态承诺与离线新鲜度验证（下一阶段核心，已设计）</w:t>
      </w:r>
    </w:p>
    <w:p>
      <w:pPr>
        <w:spacing w:after="110" w:line="310"/>
      </w:pPr>
      <w:r>
        <w:rPr>
          <w:rFonts w:ascii="PingFang SC" w:cs="PingFang SC" w:eastAsia="PingFang SC" w:hAnsi="PingFang SC"/>
          <w:b/>
          <w:bCs/>
          <w:color w:val="1F2937"/>
        </w:rPr>
        <w:t xml:space="preserve">要解决的问题</w:t>
      </w:r>
      <w:r>
        <w:rPr>
          <w:rFonts w:ascii="PingFang SC" w:cs="PingFang SC" w:eastAsia="PingFang SC" w:hAnsi="PingFang SC"/>
          <w:color w:val="1F2937"/>
        </w:rPr>
        <w:t xml:space="preserve">：当前“签名之后发生的撤销”只能由网关查询数据库拦截；网关失陷时，已签出的批准在有效期内仍可被执行。下游订单服务与收款方无法自行判断该批准是否基于足够新的授权状态。</w:t>
      </w:r>
    </w:p>
    <w:p>
      <w:pPr>
        <w:pStyle w:val="ListParagraph"/>
        <w:numPr>
          <w:ilvl w:val="0"/>
          <w:numId w:val="2"/>
        </w:numPr>
        <w:spacing w:after="70" w:line="300"/>
      </w:pPr>
      <w:r>
        <w:rPr>
          <w:rFonts w:ascii="PingFang SC" w:cs="PingFang SC" w:eastAsia="PingFang SC" w:hAnsi="PingFang SC"/>
          <w:b/>
          <w:bCs/>
          <w:color w:val="1F2937"/>
        </w:rPr>
        <w:t xml:space="preserve">状态承诺</w:t>
      </w:r>
      <w:r>
        <w:rPr>
          <w:rFonts w:ascii="PingFang SC" w:cs="PingFang SC" w:eastAsia="PingFang SC" w:hAnsi="PingFang SC"/>
          <w:color w:val="1F2937"/>
        </w:rPr>
        <w:t xml:space="preserve">：AS 以固定周期 Δ（秒级）发布状态检查点 ⟨epoch, time, root⟩ 并以 SM2 签名，其中 root 为已撤销授权节点集合的 SM3 默克尔根（采用有序树以支持非成员证明）。可复用项目已有的 SM3 审计检查点基础设施。</w:t>
      </w:r>
    </w:p>
    <w:p>
      <w:pPr>
        <w:pStyle w:val="ListParagraph"/>
        <w:numPr>
          <w:ilvl w:val="0"/>
          <w:numId w:val="2"/>
        </w:numPr>
        <w:spacing w:after="70" w:line="300"/>
      </w:pPr>
      <w:r>
        <w:rPr>
          <w:rFonts w:ascii="PingFang SC" w:cs="PingFang SC" w:eastAsia="PingFang SC" w:hAnsi="PingFang SC"/>
          <w:b/>
          <w:bCs/>
          <w:color w:val="1F2937"/>
        </w:rPr>
        <w:t xml:space="preserve">绑定进签名</w:t>
      </w:r>
      <w:r>
        <w:rPr>
          <w:rFonts w:ascii="PingFang SC" w:cs="PingFang SC" w:eastAsia="PingFang SC" w:hAnsi="PingFang SC"/>
          <w:color w:val="1F2937"/>
        </w:rPr>
        <w:t xml:space="preserve">：授权域在核验谓词时读取最新检查点，把 epoch 与 root 写入被签的行动对象，并为授权路径上的每个节点附上“未被撤销”的非成员证明。由于签名覆盖 epoch 与 root，执行域与网关都无法替换为旧状态。</w:t>
      </w:r>
    </w:p>
    <w:p>
      <w:pPr>
        <w:pStyle w:val="ListParagraph"/>
        <w:numPr>
          <w:ilvl w:val="0"/>
          <w:numId w:val="2"/>
        </w:numPr>
        <w:spacing w:after="70" w:line="300"/>
      </w:pPr>
      <w:r>
        <w:rPr>
          <w:rFonts w:ascii="PingFang SC" w:cs="PingFang SC" w:eastAsia="PingFang SC" w:hAnsi="PingFang SC"/>
          <w:b/>
          <w:bCs/>
          <w:color w:val="1F2937"/>
        </w:rPr>
        <w:t xml:space="preserve">离线验证</w:t>
      </w:r>
      <w:r>
        <w:rPr>
          <w:rFonts w:ascii="PingFang SC" w:cs="PingFang SC" w:eastAsia="PingFang SC" w:hAnsi="PingFang SC"/>
          <w:color w:val="1F2937"/>
        </w:rPr>
        <w:t xml:space="preserve">：下游订单服务与收款方只需持有 AS 公钥和最新检查点，即可验证 ①共签签名有效，②检查点签名有效，③路径节点在该纪元确实未被撤销，④该纪元与当前最新纪元之差不超过阈值 k。超出即拒绝，无需访问 AS 数据库。</w:t>
      </w:r>
    </w:p>
    <w:p>
      <w:pPr>
        <w:spacing w:after="110" w:line="310"/>
      </w:pPr>
      <w:r>
        <w:rPr>
          <w:rFonts w:ascii="PingFang SC" w:cs="PingFang SC" w:eastAsia="PingFang SC" w:hAnsi="PingFang SC"/>
          <w:b/>
          <w:bCs/>
          <w:color w:val="1F2937"/>
        </w:rPr>
        <w:t xml:space="preserve">预期效果</w:t>
      </w:r>
      <w:r>
        <w:rPr>
          <w:rFonts w:ascii="PingFang SC" w:cs="PingFang SC" w:eastAsia="PingFang SC" w:hAnsi="PingFang SC"/>
          <w:color w:val="1F2937"/>
        </w:rPr>
        <w:t xml:space="preserve">：“签名后撤销”的可利用窗口从批准有效期收紧为 k·Δ 加时钟偏差，并且这一界限可由第三方离线验证；撤销从“网关的软件检查”变为“可验证的密码学新鲜度”。授权域的关键判断（路径未被撤销）也从“只能相信授权域”变为“可由 AS 签名的状态独立复核”。</w:t>
      </w:r>
    </w:p>
    <w:p>
      <w:pPr>
        <w:spacing w:after="110" w:line="310"/>
      </w:pPr>
      <w:r>
        <w:rPr>
          <w:rFonts w:ascii="PingFang SC" w:cs="PingFang SC" w:eastAsia="PingFang SC" w:hAnsi="PingFang SC"/>
          <w:b/>
          <w:bCs/>
          <w:color w:val="1F2937"/>
        </w:rPr>
        <w:t xml:space="preserve">与已有技术的关系</w:t>
      </w:r>
      <w:r>
        <w:rPr>
          <w:rFonts w:ascii="PingFang SC" w:cs="PingFang SC" w:eastAsia="PingFang SC" w:hAnsi="PingFang SC"/>
          <w:color w:val="1F2937"/>
        </w:rPr>
        <w:t xml:space="preserve">：思路与证书吊销列表、OCSP 装订、证书透明日志相近，属于成熟构件；本项目的新意在于将其绑定进门控协同签名的被签消息，并作用于多级委托链。论文中将如实说明这一点。</w:t>
      </w:r>
    </w:p>
    <w:p>
      <w:pPr>
        <w:pStyle w:val="Heading2"/>
      </w:pPr>
      <w:r>
        <w:rPr>
          <w:rFonts w:ascii="PingFang SC" w:cs="PingFang SC" w:eastAsia="PingFang SC" w:hAnsi="PingFang SC"/>
        </w:rPr>
        <w:t xml:space="preserve">3.5　工程集成原则</w:t>
      </w:r>
    </w:p>
    <w:p>
      <w:pPr>
        <w:pStyle w:val="ListParagraph"/>
        <w:numPr>
          <w:ilvl w:val="0"/>
          <w:numId w:val="2"/>
        </w:numPr>
        <w:spacing w:after="70" w:line="300"/>
      </w:pPr>
      <w:r>
        <w:rPr>
          <w:rFonts w:ascii="PingFang SC" w:cs="PingFang SC" w:eastAsia="PingFang SC" w:hAnsi="PingFang SC"/>
          <w:color w:val="1F2937"/>
        </w:rPr>
        <w:t xml:space="preserve">以新 profile 和版本接入，不修改既有令牌、证明、门限消息的字节格式与历史迁移。</w:t>
      </w:r>
    </w:p>
    <w:p>
      <w:pPr>
        <w:pStyle w:val="ListParagraph"/>
        <w:numPr>
          <w:ilvl w:val="0"/>
          <w:numId w:val="2"/>
        </w:numPr>
        <w:spacing w:after="70" w:line="300"/>
      </w:pPr>
      <w:r>
        <w:rPr>
          <w:rFonts w:ascii="PingFang SC" w:cs="PingFang SC" w:eastAsia="PingFang SC" w:hAnsi="PingFang SC"/>
          <w:color w:val="1F2937"/>
        </w:rPr>
        <w:t xml:space="preserve">验签方案由服务端配置决定，客户端无法选择或关闭。</w:t>
      </w:r>
    </w:p>
    <w:p>
      <w:pPr>
        <w:pStyle w:val="ListParagraph"/>
        <w:numPr>
          <w:ilvl w:val="0"/>
          <w:numId w:val="2"/>
        </w:numPr>
        <w:spacing w:after="70" w:line="300"/>
      </w:pPr>
      <w:r>
        <w:rPr>
          <w:rFonts w:ascii="PingFang SC" w:cs="PingFang SC" w:eastAsia="PingFang SC" w:hAnsi="PingFang SC"/>
          <w:color w:val="1F2937"/>
        </w:rPr>
        <w:t xml:space="preserve">网关验签使用铜锁的标准 SM2 实现；协同计算代码仅用于生成份额。</w:t>
      </w:r>
    </w:p>
    <w:p>
      <w:pPr>
        <w:pStyle w:val="Heading1"/>
      </w:pPr>
      <w:r>
        <w:rPr>
          <w:rFonts w:ascii="PingFang SC" w:cs="PingFang SC" w:eastAsia="PingFang SC" w:hAnsi="PingFang SC"/>
        </w:rPr>
        <w:t xml:space="preserve">4　阶段计划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600"/>
        <w:gridCol w:w="4126"/>
      </w:tblGrid>
      <w:tr>
        <w:trPr>
          <w:tblHeader/>
        </w:trPr>
        <w:tc>
          <w:tcPr>
            <w:tcW w:type="dxa" w:w="900"/>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阶段</w:t>
            </w:r>
          </w:p>
        </w:tc>
        <w:tc>
          <w:tcPr>
            <w:tcW w:type="dxa" w:w="1400"/>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时间</w:t>
            </w:r>
          </w:p>
        </w:tc>
        <w:tc>
          <w:tcPr>
            <w:tcW w:type="dxa" w:w="2600"/>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目标</w:t>
            </w:r>
          </w:p>
        </w:tc>
        <w:tc>
          <w:tcPr>
            <w:tcW w:type="dxa" w:w="4126"/>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交付物与验收标准</w:t>
            </w:r>
          </w:p>
        </w:tc>
      </w:tr>
      <w:tr>
        <w:trPr>
          <w:cantSplit/>
        </w:trPr>
        <w:tc>
          <w:tcPr>
            <w:tcW w:type="dxa" w:w="9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一</w:t>
            </w:r>
          </w:p>
          <w:p>
            <w:pPr>
              <w:spacing w:after="30" w:line="270"/>
            </w:pPr>
            <w:r>
              <w:rPr>
                <w:rFonts w:ascii="PingFang SC" w:cs="PingFang SC" w:eastAsia="PingFang SC" w:hAnsi="PingFang SC"/>
                <w:b w:val="false"/>
                <w:bCs w:val="false"/>
                <w:color w:val="1F2937"/>
                <w:sz w:val="18"/>
                <w:szCs w:val="18"/>
              </w:rPr>
              <w:t xml:space="preserve">复赛</w:t>
            </w:r>
          </w:p>
        </w:tc>
        <w:tc>
          <w:tcPr>
            <w:tcW w:type="dxa" w:w="14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10-17～10-22</w:t>
            </w:r>
          </w:p>
        </w:tc>
        <w:tc>
          <w:tcPr>
            <w:tcW w:type="dxa" w:w="26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两方协同 SM2 接入采购网关（</w:t>
            </w:r>
            <w:r>
              <w:rPr>
                <w:rFonts w:ascii="PingFang SC" w:cs="PingFang SC" w:eastAsia="PingFang SC" w:hAnsi="PingFang SC"/>
                <w:b/>
                <w:bCs/>
                <w:color w:val="1F2937"/>
                <w:sz w:val="18"/>
                <w:szCs w:val="18"/>
              </w:rPr>
              <w:t xml:space="preserve">已完成</w:t>
            </w:r>
            <w:r>
              <w:rPr>
                <w:rFonts w:ascii="PingFang SC" w:cs="PingFang SC" w:eastAsia="PingFang SC" w:hAnsi="PingFang SC"/>
                <w:b w:val="false"/>
                <w:bCs w:val="false"/>
                <w:color w:val="1F2937"/>
                <w:sz w:val="18"/>
                <w:szCs w:val="18"/>
              </w:rPr>
              <w:t xml:space="preserve">）；论文按新主线重写</w:t>
            </w:r>
          </w:p>
        </w:tc>
        <w:tc>
          <w:tcPr>
            <w:tcW w:type="dxa" w:w="41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已完成：核心库、域服务、网关与下游集成、付款意图共签、基准与论文图、独立复验。待完成：复赛论文；代码正式提交与版本冻结</w:t>
            </w:r>
          </w:p>
        </w:tc>
      </w:tr>
      <w:tr>
        <w:trPr>
          <w:cantSplit/>
        </w:trPr>
        <w:tc>
          <w:tcPr>
            <w:tcW w:type="dxa" w:w="9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二</w:t>
            </w:r>
          </w:p>
          <w:p>
            <w:pPr>
              <w:spacing w:after="30" w:line="270"/>
            </w:pPr>
            <w:r>
              <w:rPr>
                <w:rFonts w:ascii="PingFang SC" w:cs="PingFang SC" w:eastAsia="PingFang SC" w:hAnsi="PingFang SC"/>
                <w:b w:val="false"/>
                <w:bCs w:val="false"/>
                <w:color w:val="1F2937"/>
                <w:sz w:val="18"/>
                <w:szCs w:val="18"/>
              </w:rPr>
              <w:t xml:space="preserve">扩展</w:t>
            </w:r>
          </w:p>
        </w:tc>
        <w:tc>
          <w:tcPr>
            <w:tcW w:type="dxa" w:w="14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10-23～11-08</w:t>
            </w:r>
          </w:p>
        </w:tc>
        <w:tc>
          <w:tcPr>
            <w:tcW w:type="dxa" w:w="26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授权状态承诺；访问结构推广；真实智能体接入（A 并行）</w:t>
            </w:r>
          </w:p>
        </w:tc>
        <w:tc>
          <w:tcPr>
            <w:tcW w:type="dxa" w:w="4126"/>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授权状态承诺（优先）</w:t>
            </w:r>
            <w:r>
              <w:rPr>
                <w:rFonts w:ascii="PingFang SC" w:cs="PingFang SC" w:eastAsia="PingFang SC" w:hAnsi="PingFang SC"/>
                <w:b w:val="false"/>
                <w:bCs w:val="false"/>
                <w:color w:val="1F2937"/>
                <w:sz w:val="18"/>
                <w:szCs w:val="18"/>
              </w:rPr>
              <w:t>：AS 周期性 SM2 签名检查点、SM3 有序默克尔树与非成员证明、行动对象新增状态纪元字段（新版本 profile）、下游与收款方离线新鲜度验证、窗口实测；三域方案二选一并实现：(a) 授权域必选、执行域与审计域二选一（复制分享，复用两方协议，提升可用性）；(b) 三方乘法分享，审计域写入只追加日志后才出份额（“未入账即不可执行”）。A 并行：持证进程新增受限的意图命令（模型只输出工具与参数，持证进程校验后签名，不提供导出令牌或签名的命令）；10-31 前由 DeepSeek API 驱动执行代理跑通一笔正常采购，11-08 前扩展到三个代理，完成注入语料第一版；确定性安全测试照旧不依赖模型</w:t>
            </w:r>
          </w:p>
        </w:tc>
      </w:tr>
      <w:tr>
        <w:trPr>
          <w:cantSplit/>
        </w:trPr>
        <w:tc>
          <w:tcPr>
            <w:tcW w:type="dxa" w:w="9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三</w:t>
            </w:r>
          </w:p>
          <w:p>
            <w:pPr>
              <w:spacing w:after="30" w:line="270"/>
            </w:pPr>
            <w:r>
              <w:rPr>
                <w:rFonts w:ascii="PingFang SC" w:cs="PingFang SC" w:eastAsia="PingFang SC" w:hAnsi="PingFang SC"/>
                <w:b w:val="false"/>
                <w:bCs w:val="false"/>
                <w:color w:val="1F2937"/>
                <w:sz w:val="18"/>
                <w:szCs w:val="18"/>
              </w:rPr>
              <w:t xml:space="preserve">论证</w:t>
            </w:r>
          </w:p>
        </w:tc>
        <w:tc>
          <w:tcPr>
            <w:tcW w:type="dxa" w:w="14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11-09～11-20</w:t>
            </w:r>
          </w:p>
        </w:tc>
        <w:tc>
          <w:tcPr>
            <w:tcW w:type="dxa" w:w="26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安全论证与系统评估；提示注入实验（A 并行）</w:t>
            </w:r>
          </w:p>
        </w:tc>
        <w:tc>
          <w:tcPr>
            <w:tcW w:type="dxa" w:w="41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ProVerif/Tamarin 模型验证“撤销后不存在新接受”；恶意模型分析（零知识证明需求与代价）；常数时间原生实现替换原型曲线运算；对照实验（单钥 SM2、FROST、无共签基线）。A 并行：提示注入实验正式运行，报告越权意图率、越权效果数（含拒绝位置与拒绝码）、合法任务完成率；前端新增“模型提出的意图 vs 网关实际接受的操作”对照页</w:t>
            </w:r>
          </w:p>
        </w:tc>
      </w:tr>
      <w:tr>
        <w:trPr>
          <w:cantSplit/>
        </w:trPr>
        <w:tc>
          <w:tcPr>
            <w:tcW w:type="dxa" w:w="9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四</w:t>
            </w:r>
          </w:p>
          <w:p>
            <w:pPr>
              <w:spacing w:after="30" w:line="270"/>
            </w:pPr>
            <w:r>
              <w:rPr>
                <w:rFonts w:ascii="PingFang SC" w:cs="PingFang SC" w:eastAsia="PingFang SC" w:hAnsi="PingFang SC"/>
                <w:b w:val="false"/>
                <w:bCs w:val="false"/>
                <w:color w:val="1F2937"/>
                <w:sz w:val="18"/>
                <w:szCs w:val="18"/>
              </w:rPr>
              <w:t xml:space="preserve">决赛</w:t>
            </w:r>
          </w:p>
        </w:tc>
        <w:tc>
          <w:tcPr>
            <w:tcW w:type="dxa" w:w="14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11-21～11-28</w:t>
            </w:r>
          </w:p>
        </w:tc>
        <w:tc>
          <w:tcPr>
            <w:tcW w:type="dxa" w:w="26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冻结与答辩准备</w:t>
            </w:r>
          </w:p>
        </w:tc>
        <w:tc>
          <w:tcPr>
            <w:tcW w:type="dxa" w:w="41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冻结版本与一键演示；现场运行与备用录屏；答辩材料；局限与后续工作清单；真实智能体现场运行（DeepSeek），约 1B 本地模型作为断网后备，另备录制回放</w:t>
            </w:r>
          </w:p>
        </w:tc>
      </w:tr>
    </w:tbl>
    <w:p>
      <w:pPr>
        <w:spacing w:after="40"/>
      </w:pPr>
    </w:p>
    <w:p>
      <w:pPr>
        <w:spacing w:after="110" w:line="310"/>
      </w:pPr>
      <w:r>
        <w:rPr>
          <w:rFonts w:ascii="PingFang SC" w:cs="PingFang SC" w:eastAsia="PingFang SC" w:hAnsi="PingFang SC"/>
          <w:b/>
          <w:bCs/>
          <w:color w:val="1F2937"/>
        </w:rPr>
        <w:t>优先级与可选方向</w:t>
      </w:r>
      <w:r>
        <w:rPr>
          <w:rFonts w:ascii="PingFang SC" w:cs="PingFang SC" w:eastAsia="PingFang SC" w:hAnsi="PingFang SC"/>
          <w:color w:val="1F2937"/>
        </w:rPr>
        <w:t>：主线优先级为 授权状态承诺 ＞ 真实智能体接入与注入实验（A 并行，不占用 B、C 的主线时间）＞ 三域访问结构 ＞ 形式化验证与恶意模型评估。可选方向（视进度决定）：一般 t-of-n 门限 SM2（基于已发表方案）作为研究对照。</w:t>
      </w:r>
    </w:p>
    <w:p>
      <w:pPr>
        <w:pStyle w:val="Heading1"/>
      </w:pPr>
      <w:r>
        <w:rPr>
          <w:rFonts w:ascii="PingFang SC" w:cs="PingFang SC" w:eastAsia="PingFang SC" w:hAnsi="PingFang SC"/>
        </w:rPr>
        <w:t xml:space="preserve">5　评估方案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26"/>
      </w:tblGrid>
      <w:tr>
        <w:trPr>
          <w:tblHeader/>
        </w:trPr>
        <w:tc>
          <w:tcPr>
            <w:tcW w:type="dxa" w:w="1400"/>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类别</w:t>
            </w:r>
          </w:p>
        </w:tc>
        <w:tc>
          <w:tcPr>
            <w:tcW w:type="dxa" w:w="3800"/>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指标</w:t>
            </w:r>
          </w:p>
        </w:tc>
        <w:tc>
          <w:tcPr>
            <w:tcW w:type="dxa" w:w="3826"/>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方法</w:t>
            </w:r>
          </w:p>
        </w:tc>
      </w:tr>
      <w:tr>
        <w:trPr>
          <w:cantSplit/>
        </w:trPr>
        <w:tc>
          <w:tcPr>
            <w:tcW w:type="dxa" w:w="14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正确性</w:t>
            </w:r>
          </w:p>
        </w:tc>
        <w:tc>
          <w:tcPr>
            <w:tcW w:type="dxa" w:w="38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协同签名与标准 SM2 的互验通过率</w:t>
            </w:r>
          </w:p>
        </w:tc>
        <w:tc>
          <w:tcPr>
            <w:tcW w:type="dxa" w:w="38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铜锁与 OpenSSL 3 双实现验签；公开测试向量</w:t>
            </w:r>
          </w:p>
        </w:tc>
      </w:tr>
      <w:tr>
        <w:trPr>
          <w:cantSplit/>
        </w:trPr>
        <w:tc>
          <w:tcPr>
            <w:tcW w:type="dxa" w:w="14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安全性</w:t>
            </w:r>
          </w:p>
        </w:tc>
        <w:tc>
          <w:tcPr>
            <w:tcW w:type="dxa" w:w="38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各攻击的拒绝位置、拒绝码、未授权业务效果数、预算变化</w:t>
            </w:r>
          </w:p>
        </w:tc>
        <w:tc>
          <w:tcPr>
            <w:tcW w:type="dxa" w:w="38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真实 PostgreSQL、真实 AS 签发链、独立下游；每类攻击配合法对照</w:t>
            </w:r>
          </w:p>
        </w:tc>
      </w:tr>
      <w:tr>
        <w:trPr>
          <w:cantSplit/>
        </w:trPr>
        <w:tc>
          <w:tcPr>
            <w:tcW w:type="dxa" w:w="14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性能</w:t>
            </w:r>
          </w:p>
        </w:tc>
        <w:tc>
          <w:tcPr>
            <w:tcW w:type="dxa" w:w="38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各轮次耗时、谓词检查耗时、端到端受理耗时（中位数、p95）</w:t>
            </w:r>
          </w:p>
        </w:tc>
        <w:tc>
          <w:tcPr>
            <w:tcW w:type="dxa" w:w="38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固定环境，预热 10 次，正式 100 次，保留原始数据</w:t>
            </w:r>
          </w:p>
        </w:tc>
      </w:tr>
      <w:tr>
        <w:trPr>
          <w:cantSplit/>
        </w:trPr>
        <w:tc>
          <w:tcPr>
            <w:tcW w:type="dxa" w:w="14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对照</w:t>
            </w:r>
          </w:p>
        </w:tc>
        <w:tc>
          <w:tcPr>
            <w:tcW w:type="dxa" w:w="38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与单钥 SM2、FROST 2-of-3 的开销与安全性差异</w:t>
            </w:r>
          </w:p>
        </w:tc>
        <w:tc>
          <w:tcPr>
            <w:tcW w:type="dxa" w:w="38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同环境同负载</w:t>
            </w:r>
          </w:p>
        </w:tc>
      </w:tr>
      <w:tr>
        <w:trPr>
          <w:cantSplit/>
        </w:trPr>
        <w:tc>
          <w:tcPr>
            <w:tcW w:type="dxa" w:w="14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形式化</w:t>
            </w:r>
          </w:p>
        </w:tc>
        <w:tc>
          <w:tcPr>
            <w:tcW w:type="dxa" w:w="38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撤销与接受的顺序性质、单域不可伪造</w:t>
            </w:r>
          </w:p>
        </w:tc>
        <w:tc>
          <w:tcPr>
            <w:tcW w:type="dxa" w:w="38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ProVerif/Tamarin 模型</w:t>
            </w:r>
          </w:p>
        </w:tc>
      </w:tr>
      <w:tr>
        <w:trPr>
          <w:cantSplit/>
        </w:trPr>
        <w:tc>
          <w:tcPr>
            <w:tcW w:type="dxa" w:w="14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实证（智能体）</w:t>
            </w:r>
          </w:p>
        </w:tc>
        <w:tc>
          <w:tcPr>
            <w:tcW w:type="dxa" w:w="38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越权意图率；越权效果数（订单、付款、预算变化，及拒绝位置）；合法任务完成率</w:t>
            </w:r>
          </w:p>
        </w:tc>
        <w:tc>
          <w:tcPr>
            <w:tcW w:type="dxa" w:w="38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DeepSeek 驱动三代理，正常文档与注入文档对照；固定模型版本、提示词与采样参数；保存原始输出；本地约 1B 模型结果单独报告</w:t>
            </w:r>
          </w:p>
        </w:tc>
      </w:tr>
    </w:tbl>
    <w:p>
      <w:pPr>
        <w:spacing w:after="40"/>
      </w:pPr>
    </w:p>
    <w:p>
      <w:pPr>
        <w:spacing w:after="110" w:line="310"/>
      </w:pPr>
      <w:r>
        <w:rPr>
          <w:rFonts w:ascii="PingFang SC" w:cs="PingFang SC" w:eastAsia="PingFang SC" w:hAnsi="PingFang SC"/>
          <w:color w:val="1F2937"/>
        </w:rPr>
        <w:t xml:space="preserve">所有结论标注运行编号、代码版本与样本数；历史证据、本轮运行与示意内容分开呈现，不报告未实测的结果。</w:t>
      </w:r>
    </w:p>
    <w:p>
      <w:pPr>
        <w:pStyle w:val="Heading1"/>
      </w:pPr>
      <w:r>
        <w:rPr>
          <w:rFonts w:ascii="PingFang SC" w:cs="PingFang SC" w:eastAsia="PingFang SC" w:hAnsi="PingFang SC"/>
        </w:rPr>
        <w:t xml:space="preserve">6　分工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成员</w:t>
            </w:r>
          </w:p>
        </w:tc>
        <w:tc>
          <w:tcPr>
            <w:tcW w:type="dxa" w:w="7826"/>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职责</w:t>
            </w:r>
          </w:p>
        </w:tc>
      </w:tr>
      <w:tr>
        <w:trPr>
          <w:cantSplit/>
        </w:trPr>
        <w:tc>
          <w:tcPr>
            <w:tcW w:type="dxa" w:w="12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A</w:t>
            </w:r>
          </w:p>
        </w:tc>
        <w:tc>
          <w:tcPr>
            <w:tcW w:type="dxa" w:w="78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可视化与演示系统；独立验签核验；性能测试与论文图表；现场演示；真实大模型代理接入与提示注入实验（含持证进程意图接口的实现与集成，C 独立复核）</w:t>
            </w:r>
          </w:p>
        </w:tc>
      </w:tr>
      <w:tr>
        <w:trPr>
          <w:cantSplit/>
        </w:trPr>
        <w:tc>
          <w:tcPr>
            <w:tcW w:type="dxa" w:w="12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B</w:t>
            </w:r>
          </w:p>
        </w:tc>
        <w:tc>
          <w:tcPr>
            <w:tcW w:type="dxa" w:w="78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协同签名协议、授权域与执行域签名服务、网关与下游集成、集成测试；唯一代码集成者</w:t>
            </w:r>
          </w:p>
        </w:tc>
      </w:tr>
      <w:tr>
        <w:trPr>
          <w:cantSplit/>
        </w:trPr>
        <w:tc>
          <w:tcPr>
            <w:tcW w:type="dxa" w:w="12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C</w:t>
            </w:r>
          </w:p>
        </w:tc>
        <w:tc>
          <w:tcPr>
            <w:tcW w:type="dxa" w:w="78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论文与安全分析；相关工作对照；形式化建模；独立验收与主张核对</w:t>
            </w:r>
          </w:p>
        </w:tc>
      </w:tr>
    </w:tbl>
    <w:p>
      <w:pPr>
        <w:pStyle w:val="Heading1"/>
      </w:pPr>
      <w:r>
        <w:rPr>
          <w:rFonts w:ascii="PingFang SC" w:cs="PingFang SC" w:eastAsia="PingFang SC" w:hAnsi="PingFang SC"/>
        </w:rPr>
        <w:t xml:space="preserve">7　风险与应对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tblHeader/>
        </w:trPr>
        <w:tc>
          <w:tcPr>
            <w:tcW w:type="dxa" w:w="2300"/>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风险</w:t>
            </w:r>
          </w:p>
        </w:tc>
        <w:tc>
          <w:tcPr>
            <w:tcW w:type="dxa" w:w="2000"/>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影响</w:t>
            </w:r>
          </w:p>
        </w:tc>
        <w:tc>
          <w:tcPr>
            <w:tcW w:type="dxa" w:w="4726"/>
            <w:shd w:fill="E6EBF5" w:color="auto" w:val="clear"/>
            <w:tcMar>
              <w:top w:type="dxa" w:w="70"/>
              <w:left w:type="dxa" w:w="100"/>
              <w:bottom w:type="dxa" w:w="70"/>
              <w:right w:type="dxa" w:w="100"/>
            </w:tcMar>
          </w:tcPr>
          <w:p>
            <w:pPr>
              <w:spacing w:after="30" w:line="270"/>
            </w:pPr>
            <w:r>
              <w:rPr>
                <w:rFonts w:ascii="PingFang SC" w:cs="PingFang SC" w:eastAsia="PingFang SC" w:hAnsi="PingFang SC"/>
                <w:b/>
                <w:bCs/>
                <w:color w:val="1F2937"/>
                <w:sz w:val="18"/>
                <w:szCs w:val="18"/>
              </w:rPr>
              <w:t xml:space="preserve">应对</w:t>
            </w:r>
          </w:p>
        </w:tc>
      </w:tr>
      <w:tr>
        <w:trPr>
          <w:cantSplit/>
        </w:trPr>
        <w:tc>
          <w:tcPr>
            <w:tcW w:type="dxa" w:w="23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实现尚未正式提交版本库</w:t>
            </w:r>
          </w:p>
        </w:tc>
        <w:tc>
          <w:tcPr>
            <w:tcW w:type="dxa" w:w="20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成果丢失或无法复现</w:t>
            </w:r>
          </w:p>
        </w:tc>
        <w:tc>
          <w:tcPr>
            <w:tcW w:type="dxa" w:w="47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复赛前完成提交、推送与版本冻结，论文所有数据关联运行编号</w:t>
            </w:r>
          </w:p>
        </w:tc>
      </w:tr>
      <w:tr>
        <w:trPr>
          <w:cantSplit/>
        </w:trPr>
        <w:tc>
          <w:tcPr>
            <w:tcW w:type="dxa" w:w="23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协议实现错误导致密钥泄露</w:t>
            </w:r>
          </w:p>
        </w:tc>
        <w:tc>
          <w:tcPr>
            <w:tcW w:type="dxa" w:w="20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安全性失效</w:t>
            </w:r>
          </w:p>
        </w:tc>
        <w:tc>
          <w:tcPr>
            <w:tcW w:type="dxa" w:w="47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公式固定为已验证的参考实现；双实现交叉验签；随机数一次性使用的单测</w:t>
            </w:r>
          </w:p>
        </w:tc>
      </w:tr>
      <w:tr>
        <w:trPr>
          <w:cantSplit/>
        </w:trPr>
        <w:tc>
          <w:tcPr>
            <w:tcW w:type="dxa" w:w="23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半诚实模型受到质疑</w:t>
            </w:r>
          </w:p>
        </w:tc>
        <w:tc>
          <w:tcPr>
            <w:tcW w:type="dxa" w:w="20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安全论证被认为偏弱</w:t>
            </w:r>
          </w:p>
        </w:tc>
        <w:tc>
          <w:tcPr>
            <w:tcW w:type="dxa" w:w="47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如实声明；阶段三评估零知识证明方案的需求与代价</w:t>
            </w:r>
          </w:p>
        </w:tc>
      </w:tr>
      <w:tr>
        <w:trPr>
          <w:cantSplit/>
        </w:trPr>
        <w:tc>
          <w:tcPr>
            <w:tcW w:type="dxa" w:w="23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两域同主机部署</w:t>
            </w:r>
          </w:p>
        </w:tc>
        <w:tc>
          <w:tcPr>
            <w:tcW w:type="dxa" w:w="20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隔离性不足</w:t>
            </w:r>
          </w:p>
        </w:tc>
        <w:tc>
          <w:tcPr>
            <w:tcW w:type="dxa" w:w="47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演示中独立进程与只读数据库角色；决赛前评估容器级隔离；在局限中写明</w:t>
            </w:r>
          </w:p>
        </w:tc>
      </w:tr>
      <w:tr>
        <w:trPr>
          <w:cantSplit/>
        </w:trPr>
        <w:tc>
          <w:tcPr>
            <w:tcW w:type="dxa" w:w="23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与 KITA 区分不清</w:t>
            </w:r>
          </w:p>
        </w:tc>
        <w:tc>
          <w:tcPr>
            <w:tcW w:type="dxa" w:w="20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新颖性存疑</w:t>
            </w:r>
          </w:p>
        </w:tc>
        <w:tc>
          <w:tcPr>
            <w:tcW w:type="dxa" w:w="47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 xml:space="preserve">以“份额释放依据为可验证授权状态”和“国密标准签名”为区分点，逐项核对原文</w:t>
            </w:r>
          </w:p>
        </w:tc>
      </w:tr>
      <w:tr>
        <w:trPr>
          <w:cantSplit/>
        </w:trPr>
        <w:tc>
          <w:tcPr>
            <w:tcW w:type="dxa" w:w="23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现场网络或模型 API 不可用</w:t>
            </w:r>
          </w:p>
        </w:tc>
        <w:tc>
          <w:tcPr>
            <w:tcW w:type="dxa" w:w="20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真实智能体演示中断</w:t>
            </w:r>
          </w:p>
        </w:tc>
        <w:tc>
          <w:tcPr>
            <w:tcW w:type="dxa" w:w="47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本地约 1B 模型离线后备；提前录制回放，播放时标注为录屏</w:t>
            </w:r>
          </w:p>
        </w:tc>
      </w:tr>
      <w:tr>
        <w:trPr>
          <w:cantSplit/>
        </w:trPr>
        <w:tc>
          <w:tcPr>
            <w:tcW w:type="dxa" w:w="23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模型输出不确定</w:t>
            </w:r>
          </w:p>
        </w:tc>
        <w:tc>
          <w:tcPr>
            <w:tcW w:type="dxa" w:w="20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结果难以复现</w:t>
            </w:r>
          </w:p>
        </w:tc>
        <w:tc>
          <w:tcPr>
            <w:tcW w:type="dxa" w:w="47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固定模型版本与参数，保存原始输出，按样本统计，不挑选结果</w:t>
            </w:r>
          </w:p>
        </w:tc>
      </w:tr>
      <w:tr>
        <w:trPr>
          <w:cantSplit/>
        </w:trPr>
        <w:tc>
          <w:tcPr>
            <w:tcW w:type="dxa" w:w="23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API 密钥或模型权重管理不当</w:t>
            </w:r>
          </w:p>
        </w:tc>
        <w:tc>
          <w:tcPr>
            <w:tcW w:type="dxa" w:w="2000"/>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费用损失、仓库膨胀</w:t>
            </w:r>
          </w:p>
        </w:tc>
        <w:tc>
          <w:tcPr>
            <w:tcW w:type="dxa" w:w="4726"/>
            <w:tcMar>
              <w:top w:type="dxa" w:w="70"/>
              <w:left w:type="dxa" w:w="100"/>
              <w:bottom w:type="dxa" w:w="70"/>
              <w:right w:type="dxa" w:w="100"/>
            </w:tcMar>
          </w:tcPr>
          <w:p>
            <w:pPr>
              <w:spacing w:after="30" w:line="270"/>
            </w:pPr>
            <w:r>
              <w:rPr>
                <w:rFonts w:ascii="PingFang SC" w:cs="PingFang SC" w:eastAsia="PingFang SC" w:hAnsi="PingFang SC"/>
                <w:b w:val="false"/>
                <w:bCs w:val="false"/>
                <w:color w:val="1F2937"/>
                <w:sz w:val="18"/>
                <w:szCs w:val="18"/>
              </w:rPr>
              <w:t>密钥只放本机环境变量，不入库、不进前端与日志；模型权重不入库，用下载脚本加哈希锁定</w:t>
            </w:r>
          </w:p>
        </w:tc>
      </w:tr>
    </w:tbl>
    <w:p>
      <w:pPr>
        <w:pStyle w:val="Heading1"/>
      </w:pPr>
      <w:r>
        <w:rPr>
          <w:rFonts w:ascii="PingFang SC" w:cs="PingFang SC" w:eastAsia="PingFang SC" w:hAnsi="PingFang SC"/>
        </w:rPr>
        <w:t xml:space="preserve">8　希望老师指导的问题</w:t>
      </w:r>
    </w:p>
    <w:p>
      <w:pPr>
        <w:pStyle w:val="ListParagraph"/>
        <w:numPr>
          <w:ilvl w:val="0"/>
          <w:numId w:val="2"/>
        </w:numPr>
        <w:spacing w:after="70" w:line="300"/>
      </w:pPr>
      <w:r>
        <w:rPr>
          <w:rFonts w:ascii="PingFang SC" w:cs="PingFang SC" w:eastAsia="PingFang SC" w:hAnsi="PingFang SC"/>
          <w:color w:val="1F2937"/>
        </w:rPr>
        <w:t xml:space="preserve">“授权即密钥”作为主线是否合适？是否需要保留 FROST 2-of-3 作为对照？</w:t>
      </w:r>
    </w:p>
    <w:p>
      <w:pPr>
        <w:pStyle w:val="ListParagraph"/>
        <w:numPr>
          <w:ilvl w:val="0"/>
          <w:numId w:val="2"/>
        </w:numPr>
        <w:spacing w:after="70" w:line="300"/>
      </w:pPr>
      <w:r>
        <w:rPr>
          <w:rFonts w:ascii="PingFang SC" w:cs="PingFang SC" w:eastAsia="PingFang SC" w:hAnsi="PingFang SC"/>
          <w:color w:val="1F2937"/>
        </w:rPr>
        <w:t xml:space="preserve">决赛前推广到三域时，选“授权域必选 + 二选一”（侧重可用性），还是“三方全必选、审计域强制入账”（侧重可审计性）？</w:t>
      </w:r>
    </w:p>
    <w:p>
      <w:pPr>
        <w:pStyle w:val="ListParagraph"/>
        <w:numPr>
          <w:ilvl w:val="0"/>
          <w:numId w:val="2"/>
        </w:numPr>
        <w:spacing w:after="70" w:line="300"/>
      </w:pPr>
      <w:r>
        <w:rPr>
          <w:rFonts w:ascii="PingFang SC" w:cs="PingFang SC" w:eastAsia="PingFang SC" w:hAnsi="PingFang SC"/>
          <w:color w:val="1F2937"/>
        </w:rPr>
        <w:t xml:space="preserve">授权状态承诺的设计取舍：发布周期 Δ 与容忍纪元数 k 如何取值；非撤销证明采用有序默克尔树还是密码累加器？</w:t>
      </w:r>
    </w:p>
    <w:p>
      <w:pPr>
        <w:pStyle w:val="ListParagraph"/>
        <w:numPr>
          <w:ilvl w:val="0"/>
          <w:numId w:val="2"/>
        </w:numPr>
        <w:spacing w:after="70" w:line="300"/>
      </w:pPr>
      <w:r>
        <w:rPr>
          <w:rFonts w:ascii="PingFang SC" w:cs="PingFang SC" w:eastAsia="PingFang SC" w:hAnsi="PingFang SC"/>
          <w:color w:val="1F2937"/>
        </w:rPr>
        <w:t xml:space="preserve">x402 在作品中的定位：作为授权感知支付的应用实例保留，还是压缩为后续工作？</w:t>
      </w:r>
    </w:p>
    <w:p>
      <w:pPr>
        <w:pStyle w:val="ListParagraph"/>
        <w:numPr>
          <w:ilvl w:val="0"/>
          <w:numId w:val="2"/>
        </w:numPr>
        <w:spacing w:after="70" w:line="300"/>
      </w:pPr>
      <w:r>
        <w:rPr>
          <w:rFonts w:ascii="PingFang SC" w:cs="PingFang SC" w:eastAsia="PingFang SC" w:hAnsi="PingFang SC"/>
          <w:color w:val="1F2937"/>
        </w:rPr>
        <w:t xml:space="preserve">安全论证的深度：在半诚实模型下给出论证并辅以形式化工具验证，是否满足竞赛要求？</w:t>
      </w:r>
    </w:p>
    <w:p>
      <w:pPr>
        <w:pStyle w:val="ListParagraph"/>
        <w:numPr>
          <w:ilvl w:val="0"/>
          <w:numId w:val="2"/>
        </w:numPr>
        <w:spacing w:after="70" w:line="300"/>
      </w:pPr>
      <w:r>
        <w:rPr>
          <w:rFonts w:ascii="PingFang SC" w:cs="PingFang SC" w:eastAsia="PingFang SC" w:hAnsi="PingFang SC"/>
          <w:color w:val="1F2937"/>
        </w:rPr>
        <w:t>接入真实大模型代理并做提示注入实验，作为“智能体被完全控制”这一假设的实证，是否有价值？实验规模多大才有说服力？</w:t>
      </w:r>
    </w:p>
    <w:p>
      <w:pPr>
        <w:pStyle w:val="Heading1"/>
      </w:pPr>
      <w:r>
        <w:rPr>
          <w:rFonts w:ascii="PingFang SC" w:cs="PingFang SC" w:eastAsia="PingFang SC" w:hAnsi="PingFang SC"/>
        </w:rPr>
        <w:t xml:space="preserve">9　不作的主张</w:t>
      </w:r>
    </w:p>
    <w:p>
      <w:pPr>
        <w:spacing w:after="110" w:line="310"/>
      </w:pPr>
      <w:r>
        <w:rPr>
          <w:rFonts w:ascii="PingFang SC" w:cs="PingFang SC" w:eastAsia="PingFang SC" w:hAnsi="PingFang SC"/>
          <w:color w:val="1F2937"/>
        </w:rPr>
        <w:t>不声称提出新的签名算法；不将 n=2 的协同签名称为门限 SM2；未实现 DKG 或恶意安全时不作相应表述；不将本地测试链支付表述为真实结算；不报告未完成的规模实验结果。不声称防止提示注入本身（主张是越权意图不产生业务效果）；真实智能体实验未完成前不报告其结果，本地小模型与 DeepSeek 的结果不合并统计。</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ingFang SC" w:cs="PingFang SC" w:eastAsia="PingFang SC" w:hAnsi="PingFang SC"/>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PingFang SC" w:cs="PingFang SC" w:eastAsia="PingFang SC" w:hAnsi="PingFang SC"/>
      <w:b/>
      <w:bCs/>
      <w:color w:val="1E3A8A"/>
      <w:sz w:val="28"/>
      <w:szCs w:val="28"/>
    </w:rPr>
  </w:style>
  <w:style w:type="paragraph" w:styleId="Heading2">
    <w:name w:val="Heading 2"/>
    <w:basedOn w:val="Normal"/>
    <w:next w:val="Normal"/>
    <w:qFormat/>
    <w:pPr>
      <w:spacing w:after="100" w:before="200"/>
      <w:outlineLvl w:val="1"/>
    </w:pPr>
    <w:rPr>
      <w:rFonts w:ascii="PingFang SC" w:cs="PingFang SC" w:eastAsia="PingFang SC" w:hAnsi="PingFang SC"/>
      <w:b/>
      <w:bCs/>
      <w:color w:val="1F293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Guard 后续研究与实施规划</dc:title>
  <dc:creator>Agent Guard</dc:creator>
  <cp:lastModifiedBy>Un-named</cp:lastModifiedBy>
  <cp:revision>1</cp:revision>
  <dcterms:created xsi:type="dcterms:W3CDTF">2026-10-17T22:34:12.684Z</dcterms:created>
  <dcterms:modified xsi:type="dcterms:W3CDTF">2026-10-17T22:34:12.684Z</dcterms:modified>
</cp:coreProperties>
</file>

<file path=docProps/custom.xml><?xml version="1.0" encoding="utf-8"?>
<Properties xmlns="http://schemas.openxmlformats.org/officeDocument/2006/custom-properties" xmlns:vt="http://schemas.openxmlformats.org/officeDocument/2006/docPropsVTypes"/>
</file>