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5352" w:type="dxa"/>
        <w:jc w:val="left"/>
        <w:tblInd w:w="42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Председатель рабочей группы по проведению оценки профессиональных рисков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Погосян А.А.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>
          <w:trHeight w:val="326" w:hRule="atLeast"/>
        </w:trPr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36"/>
          <w:lang w:eastAsia="ru-RU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 xml:space="preserve">о проведении идентификации опасностей,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оценки и управления профессиональными рисками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cs="Times New Roman" w:ascii="Times New Roman" w:hAnsi="Times New Roman"/>
          <w:sz w:val="32"/>
          <w:szCs w:val="36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 xml:space="preserve">Общество с ограниченной ответственностью «РискАнализатор»</w:t>
            </w:r>
          </w:p>
        </w:tc>
      </w:tr>
      <w:tr>
        <w:trPr/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(полное наименование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 xml:space="preserve">630099, Новосибирская область, г. Новосибирск, ул. Молодежная, д. 12, пом. 3</w:t>
            </w:r>
          </w:p>
        </w:tc>
      </w:tr>
      <w:tr>
        <w:trPr>
          <w:trHeight w:val="50" w:hRule="atLeast"/>
        </w:trPr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(юридический адрес нахождения 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Члены рабочей группы по проведению оценки профессиональных рисков:</w:t>
      </w:r>
    </w:p>
    <w:tbl>
      <w:tblPr>
        <w:tblW w:w="10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3"/>
        <w:gridCol w:w="895"/>
        <w:gridCol w:w="3629"/>
        <w:gridCol w:w="944"/>
        <w:gridCol w:w="1815"/>
      </w:tblGrid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94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94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12" w:charSpace="4294965247"/>
        </w:sectPr>
      </w:pPr>
    </w:p>
    <w:p>
      <w:pPr>
        <w:pStyle w:val="Style20"/>
        <w:spacing w:before="130" w:after="0"/>
        <w:jc w:val="center"/>
        <w:rPr>
          <w:u w:val="none"/>
          <w:lang w:val="en-US"/>
        </w:rPr>
      </w:pPr>
      <w:r>
        <w:rPr>
          <w:u w:val="none"/>
          <w:lang w:val="en-US"/>
        </w:rPr>
        <w:t xml:space="preserve">Общество с ограниченной ответственностью «РискАнализатор»</w:t>
      </w:r>
    </w:p>
    <w:p>
      <w:pPr>
        <w:pStyle w:val="Style20"/>
        <w:spacing w:before="130" w:after="0"/>
        <w:ind w:left="121" w:hanging="0"/>
        <w:rPr/>
      </w:pPr>
      <w:r>
        <w:rPr/>
      </w:r>
    </w:p>
    <w:tbl>
      <w:tblPr>
        <w:tblStyle w:val="af9"/>
        <w:tblW w:w="535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Управляющий директор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Погосян А.А.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Style20"/>
        <w:spacing w:before="130" w:after="0"/>
        <w:ind w:left="121" w:hanging="0"/>
        <w:jc w:val="center"/>
        <w:rPr/>
      </w:pPr>
      <w:r>
        <w:rPr/>
        <w:t>Перечень (реестр) идентифицированных опасностей</w:t>
      </w:r>
    </w:p>
    <w:p>
      <w:pPr>
        <w:pStyle w:val="Style20"/>
        <w:spacing w:before="130" w:after="0"/>
        <w:ind w:left="121" w:hanging="0"/>
        <w:jc w:val="center"/>
        <w:rPr/>
      </w:pPr>
      <w:r>
        <w:rPr/>
      </w:r>
    </w:p>
    <w:tbl>
      <w:tblPr>
        <w:tblW w:w="1532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4"/>
        <w:gridCol w:w="13342"/>
      </w:tblGrid>
      <w:tr>
        <w:trPr>
          <w:trHeight w:val="57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Механические опасности: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Опасности, связанные с воздействием повышенных/пониженных температур: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4.2.1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Ожог кожных покровов и слизистых работника в следствии контакта с материалом, жидкостью или газом, имеющим высокую температуру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Химические опасности: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6.1.1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Повреждение здоровья работника вследствие контакта с водой и/или растворами нетоксичных веществ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Опасности физических перегрузок: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9.2.1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Повреждение костно-мышечного аппарата работника при физических перегрузках от стереотипных рабочих движений, а также при статических нагрузках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Опасности, связанные с напряженностью трудового процесса: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Психоэмоциональные перегрузки, стрессы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Перенапряжения зрительного анализатора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24.3.1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Диспетчеризация процессов, связанная с длительной концентрацией внимания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24.4.1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Нагрузка на голосовой аппарат</w:t>
            </w:r>
          </w:p>
        </w:tc>
      </w:tr>
    </w:tbl>
    <w:p>
      <w:pPr>
        <w:pStyle w:val="TableParagraph"/>
        <w:spacing w:lineRule="auto" w:line="259" w:before="1" w:after="0"/>
        <w:ind w:left="-567" w:hanging="0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3"/>
        <w:gridCol w:w="2410"/>
        <w:gridCol w:w="1841"/>
        <w:gridCol w:w="1985"/>
        <w:gridCol w:w="1843"/>
        <w:gridCol w:w="1840"/>
      </w:tblGrid>
      <w:tr>
        <w:trPr>
          <w:trHeight w:val="810" w:hRule="atLeast"/>
        </w:trPr>
        <w:tc>
          <w:tcPr>
            <w:tcW w:w="15022" w:type="dxa"/>
            <w:gridSpan w:val="7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>
        <w:trPr>
          <w:trHeight w:val="180" w:hRule="atLeast"/>
        </w:trPr>
        <w:tc>
          <w:tcPr>
            <w:tcW w:w="15022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480" w:hRule="atLeast"/>
        </w:trPr>
        <w:tc>
          <w:tcPr>
            <w:tcW w:w="15022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>
        <w:trPr>
          <w:trHeight w:val="645" w:hRule="atLeast"/>
        </w:trPr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>
        <w:trPr>
          <w:trHeight w:val="322" w:hRule="atLeast"/>
        </w:trPr>
        <w:tc>
          <w:tcPr>
            <w:tcW w:w="25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(Е)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  <w:br/>
              <w:t>(D)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  <w:br/>
              <w:t>(C)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Высокий риск</w:t>
              <w:br/>
              <w:t>(B)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  <w:br/>
              <w:t>(A)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tbl>
      <w:tblPr>
        <w:tblW w:w="150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4"/>
        <w:gridCol w:w="3292"/>
        <w:gridCol w:w="6001"/>
        <w:gridCol w:w="3377"/>
      </w:tblGrid>
      <w:tr>
        <w:trPr>
          <w:trHeight w:val="495" w:hRule="atLeast"/>
        </w:trPr>
        <w:tc>
          <w:tcPr>
            <w:tcW w:w="15024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Таблица 2</w:t>
            </w:r>
          </w:p>
        </w:tc>
      </w:tr>
      <w:tr>
        <w:trPr>
          <w:trHeight w:val="207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 должность/</w:t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Суммарная оценка </w:t>
              <w:br/>
              <w:t>профессионального риска</w:t>
            </w:r>
          </w:p>
        </w:tc>
      </w:tr>
      <w:tr>
        <w:trPr>
          <w:trHeight w:val="60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Генеральный директор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4,0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58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47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1"/>
        <w:gridCol w:w="4964"/>
        <w:gridCol w:w="4962"/>
        <w:gridCol w:w="3054"/>
      </w:tblGrid>
      <w:tr>
        <w:trPr>
          <w:trHeight w:val="810" w:hRule="atLeast"/>
        </w:trPr>
        <w:tc>
          <w:tcPr>
            <w:tcW w:w="14741" w:type="dxa"/>
            <w:gridSpan w:val="4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>
        <w:trPr>
          <w:trHeight w:val="456" w:hRule="atLeast"/>
        </w:trPr>
        <w:tc>
          <w:tcPr>
            <w:tcW w:w="1474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289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Профессия/должность/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специальность работника</w:t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Мероприятия по снижению </w:t>
              <w:br/>
              <w:t>уровня профессионального риска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Вид административного контроля*</w:t>
            </w:r>
          </w:p>
        </w:tc>
      </w:tr>
      <w:tr>
        <w:trPr>
          <w:trHeight w:val="58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Генеральный директор</w:t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6" w:type="dxa"/>
        <w:jc w:val="left"/>
        <w:tblInd w:w="-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6661"/>
        <w:gridCol w:w="6806"/>
      </w:tblGrid>
      <w:tr>
        <w:trPr>
          <w:trHeight w:val="60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u w:val="single"/>
                <w:lang w:eastAsia="ru-RU"/>
              </w:rPr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>
        <w:trPr>
          <w:trHeight w:val="54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117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Меры управления/контроля </w:t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профессиональных рисков</w:t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Механические опасности: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Использование противоскользящих напольных покрытий. </w:t>
            </w:r>
            <w:r>
              <w:rPr>
                <w:rFonts w:eastAsia="Times New Roman" w:cs="Times New Roman" w:ascii="Times New Roman" w:hAnsi="Times New Roman"/>
              </w:rPr>
              <w:t xml:space="preserve">Использование незакрепленных покрытий с сопротивлением скольжению на обратной стороне (например, ковров, решеток и другое), использование СИЗ. </w:t>
            </w:r>
            <w:r>
              <w:rPr>
                <w:rFonts w:eastAsia="Times New Roman" w:cs="Times New Roman" w:ascii="Times New Roman" w:hAnsi="Times New Roman"/>
              </w:rPr>
              <w:t xml:space="preserve">Своевременное устранение разливов ГСМ. </w:t>
            </w:r>
            <w:r>
              <w:rPr>
                <w:rFonts w:eastAsia="Times New Roman" w:cs="Times New Roman" w:ascii="Times New Roman" w:hAnsi="Times New Roman"/>
              </w:rPr>
              <w:t xml:space="preserve">Установление табличек "Осторожно, мокрый пол" при начале влажной уборки помещений, до полного высыхания напольного покрытия. </w:t>
            </w:r>
            <w:r>
              <w:rPr>
                <w:rFonts w:eastAsia="Times New Roman" w:cs="Times New Roman" w:ascii="Times New Roman" w:hAnsi="Times New Roman"/>
              </w:rPr>
              <w:t xml:space="preserve">Нанесение противоскользящих средств (опилок, антиобледенительных средств, песка).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Опасности, связанные с воздействием повышенных/пониженных температур: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4.2.1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Ожог кожных покровов и слизистых работника в следствии контакта с материалом, жидкостью или газом, имеющим высокую температуру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Применение закрытых систем (ограждений) для горячих сред, установка изоляции, разделяющих защитных устройств, уменьшение площади контакта. </w:t>
            </w:r>
            <w:r>
              <w:rPr>
                <w:rFonts w:eastAsia="Times New Roman" w:cs="Times New Roman" w:ascii="Times New Roman" w:hAnsi="Times New Roman"/>
              </w:rPr>
              <w:t xml:space="preserve">Организация обучения, инструктажей, стажировки, проверки знаний, установка предупреждающих знаков, визуальных и звуковых предупреждающих сигналов, утверждение правил поведения на рабочих местах. </w:t>
            </w:r>
            <w:r>
              <w:rPr>
                <w:rFonts w:eastAsia="Times New Roman" w:cs="Times New Roman" w:ascii="Times New Roman" w:hAnsi="Times New Roman"/>
              </w:rPr>
              <w:t xml:space="preserve">Правильное применение СИЗ.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Химические опасности: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6.1.1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Повреждение здоровья работника вследствие контакта с водой и/или растворами нетоксичных веществ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Отказ от операции, характеризующейся наличием вредных и опасных производственных факторов. </w:t>
            </w:r>
            <w:r>
              <w:rPr>
                <w:rFonts w:eastAsia="Times New Roman" w:cs="Times New Roman" w:ascii="Times New Roman" w:hAnsi="Times New Roman"/>
              </w:rPr>
              <w:t xml:space="preserve">Механизация и автоматизация процессов. </w:t>
            </w:r>
            <w:r>
              <w:rPr>
                <w:rFonts w:eastAsia="Times New Roman" w:cs="Times New Roman" w:ascii="Times New Roman" w:hAnsi="Times New Roman"/>
              </w:rPr>
              <w:t xml:space="preserve">Снижение времени неблагоприятного воздействия факторов производственной среды и трудового процесса на работника. </w:t>
            </w:r>
            <w:r>
              <w:rPr>
                <w:rFonts w:eastAsia="Times New Roman" w:cs="Times New Roman" w:ascii="Times New Roman" w:hAnsi="Times New Roman"/>
              </w:rPr>
              <w:t xml:space="preserve">Использование средств индивидуальной защиты.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Опасности физических перегрузок: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9.2.1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Повреждение костно-мышечного аппарата работника при физических перегрузках от стереотипных рабочих движений, а также при статических нагрузках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Применение механизированных, подручных средств, применение СИЗ.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Опасности, связанные с напряженностью трудового процесса: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Психоэмоциональные перегрузки, стрессы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Обеспечение четкого и равного распределения задач и ролей. </w:t>
            </w:r>
            <w:r>
              <w:rPr>
                <w:rFonts w:eastAsia="Times New Roman" w:cs="Times New Roman" w:ascii="Times New Roman" w:hAnsi="Times New Roman"/>
              </w:rPr>
              <w:t xml:space="preserve">Организация повышения квалификации сотрудников. </w:t>
            </w:r>
            <w:r>
              <w:rPr>
                <w:rFonts w:eastAsia="Times New Roman" w:cs="Times New Roman" w:ascii="Times New Roman" w:hAnsi="Times New Roman"/>
              </w:rPr>
              <w:t xml:space="preserve">Формирование благоприятного психологического климата в коллективе, оперативное разрешение конфликтов.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Перенапряжения зрительного анализатора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режима труда и отдыха.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24.3.1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Диспетчеризация процессов, связанная с длительной концентрацией внимания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режима труда и отдыха. </w:t>
            </w:r>
            <w:r>
              <w:rPr>
                <w:rFonts w:eastAsia="Times New Roman" w:cs="Times New Roman" w:ascii="Times New Roman" w:hAnsi="Times New Roman"/>
              </w:rPr>
              <w:t xml:space="preserve">Соблюдение эргономических характеристик рабочего места. </w:t>
            </w:r>
            <w:r>
              <w:rPr>
                <w:rFonts w:eastAsia="Times New Roman" w:cs="Times New Roman" w:ascii="Times New Roman" w:hAnsi="Times New Roman"/>
              </w:rPr>
              <w:t xml:space="preserve">Чередование видов работ.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24.4.1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Нагрузка на голосовой аппарат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режима труда и отдыха.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Болотов Николай Иванович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Hyperlink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3">
    <w:name w:val="Footnote Reference"/>
    <w:rPr>
      <w:vertAlign w:val="superscript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Style15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6">
    <w:name w:val="Endnote Reference"/>
    <w:rPr>
      <w:vertAlign w:val="superscript"/>
    </w:rPr>
  </w:style>
  <w:style w:type="character" w:styleId="Style17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0">
    <w:name w:val="Body Text"/>
    <w:basedOn w:val="Normal"/>
    <w:link w:val="Style17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Style21">
    <w:name w:val="List"/>
    <w:basedOn w:val="Style20"/>
    <w:pPr/>
    <w:rPr>
      <w:rFonts w:cs="Free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4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5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11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4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19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33" w:customStyle="1">
    <w:name w:val="Текст в заданном формате"/>
    <w:qFormat/>
    <w:pPr>
      <w:widowControl w:val="false"/>
      <w:pBdr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LibreOffice/7.4.7.2$Linux_X86_64 LibreOffice_project/40$Build-2</Application>
  <AppVersion>15.0000</AppVersion>
  <Pages>9</Pages>
  <Words>851</Words>
  <Characters>5390</Characters>
  <CharactersWithSpaces>6051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2026-03-04T16:39:00Z</dcterms:created>
  <dc:creator>user</dc:creator>
  <dc:description/>
  <dc:language>ru-RU</dc:language>
  <cp:lastModifiedBy/>
  <dcterms:modified xsi:type="dcterms:W3CDTF">2026-08-31T23:56:48Z</dcterms:modified>
  <cp:revision>12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