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065" w:type="dxa"/>
        <w:jc w:val="left"/>
        <w:tblInd w:w="-74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00"/>
        <w:gridCol w:w="994"/>
        <w:gridCol w:w="164"/>
        <w:gridCol w:w="359"/>
        <w:gridCol w:w="610"/>
        <w:gridCol w:w="142"/>
        <w:gridCol w:w="625"/>
        <w:gridCol w:w="770"/>
        <w:gridCol w:w="732"/>
        <w:gridCol w:w="485"/>
        <w:gridCol w:w="352"/>
        <w:gridCol w:w="564"/>
        <w:gridCol w:w="585"/>
        <w:gridCol w:w="896"/>
        <w:gridCol w:w="84"/>
        <w:gridCol w:w="1002"/>
      </w:tblGrid>
      <w:tr>
        <w:trPr>
          <w:trHeight w:val="132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8"/>
                <w:lang w:eastAsia="ru-RU"/>
              </w:rPr>
              <w:t>Ра</w:t>
            </w:r>
            <w:bookmarkStart w:id="0" w:name="RANGE!A1%253AH141"/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8"/>
                <w:lang w:eastAsia="ru-RU"/>
              </w:rPr>
              <w:t>здел IV. Карта оценки уровня профессионального риска</w:t>
            </w:r>
            <w:bookmarkEnd w:id="0"/>
          </w:p>
        </w:tc>
      </w:tr>
      <w:tr>
        <w:trPr>
          <w:trHeight w:val="134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36"/>
                <w:szCs w:val="3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32"/>
                <w:lang w:val="en-US" w:eastAsia="ru-RU"/>
              </w:rPr>
              <w:t xml:space="preserve">Общество с ограниченной ответственностью «РискАнализатор»</w:t>
            </w:r>
          </w:p>
        </w:tc>
      </w:tr>
      <w:tr>
        <w:trPr>
          <w:trHeight w:val="82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(полное наименование работодателя)</w:t>
            </w:r>
          </w:p>
        </w:tc>
      </w:tr>
      <w:tr>
        <w:trPr>
          <w:trHeight w:val="269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-108" w:firstLine="108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 xml:space="preserve">630099, Новосибирская область, г. Новосибирск, ул. Молодежная, д. 12, пом. 3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 xml:space="preserve">Погосян А.А.</w:t>
            </w:r>
          </w:p>
        </w:tc>
      </w:tr>
      <w:tr>
        <w:trPr>
          <w:trHeight w:val="135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(юридический адрес работодателя, фамилия, имя, отчество руководителя)</w:t>
            </w:r>
          </w:p>
        </w:tc>
      </w:tr>
      <w:tr>
        <w:trPr>
          <w:trHeight w:val="889" w:hRule="atLeast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ИНН</w:t>
              <w:br/>
              <w:t xml:space="preserve"> работодателя</w:t>
            </w:r>
          </w:p>
        </w:tc>
        <w:tc>
          <w:tcPr>
            <w:tcW w:w="2127" w:type="dxa"/>
            <w:gridSpan w:val="4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Код работодателя </w:t>
              <w:br/>
              <w:t>по ОКПО</w:t>
            </w:r>
          </w:p>
        </w:tc>
        <w:tc>
          <w:tcPr>
            <w:tcW w:w="2269" w:type="dxa"/>
            <w:gridSpan w:val="4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Код органа государственной</w:t>
              <w:br/>
              <w:t xml:space="preserve"> власти по ОКОГУ</w:t>
            </w:r>
          </w:p>
        </w:tc>
        <w:tc>
          <w:tcPr>
            <w:tcW w:w="1986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Код вида экономической </w:t>
              <w:br/>
              <w:t>деятельности по ОКВЭД</w:t>
            </w:r>
          </w:p>
        </w:tc>
        <w:tc>
          <w:tcPr>
            <w:tcW w:w="1982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Код территории</w:t>
              <w:br/>
              <w:t xml:space="preserve"> по ОКТМО</w:t>
            </w:r>
          </w:p>
        </w:tc>
      </w:tr>
      <w:tr>
        <w:trPr>
          <w:trHeight w:val="196" w:hRule="atLeast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5407123450</w:t>
            </w:r>
          </w:p>
        </w:tc>
        <w:tc>
          <w:tcPr>
            <w:tcW w:w="2127" w:type="dxa"/>
            <w:gridSpan w:val="4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45189234</w:t>
            </w:r>
          </w:p>
        </w:tc>
        <w:tc>
          <w:tcPr>
            <w:tcW w:w="2269" w:type="dxa"/>
            <w:gridSpan w:val="4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4210014</w:t>
            </w:r>
          </w:p>
        </w:tc>
        <w:tc>
          <w:tcPr>
            <w:tcW w:w="1986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46.73</w:t>
            </w:r>
          </w:p>
        </w:tc>
        <w:tc>
          <w:tcPr>
            <w:tcW w:w="1982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50701000001</w:t>
            </w:r>
          </w:p>
        </w:tc>
      </w:tr>
      <w:tr>
        <w:trPr>
          <w:trHeight w:val="540" w:hRule="atLeast"/>
        </w:trPr>
        <w:tc>
          <w:tcPr>
            <w:tcW w:w="10064" w:type="dxa"/>
            <w:gridSpan w:val="16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 xml:space="preserve">КАРТА № 1</w:t>
            </w:r>
          </w:p>
        </w:tc>
      </w:tr>
      <w:tr>
        <w:trPr>
          <w:trHeight w:val="375" w:hRule="atLeast"/>
        </w:trPr>
        <w:tc>
          <w:tcPr>
            <w:tcW w:w="10064" w:type="dxa"/>
            <w:gridSpan w:val="16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оценки уровня профессионального риска</w:t>
            </w:r>
          </w:p>
        </w:tc>
      </w:tr>
      <w:tr>
        <w:trPr>
          <w:trHeight w:val="646" w:hRule="atLeast"/>
        </w:trPr>
        <w:tc>
          <w:tcPr>
            <w:tcW w:w="10064" w:type="dxa"/>
            <w:gridSpan w:val="16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u w:val="single"/>
                <w:lang w:eastAsia="ru-RU"/>
              </w:rPr>
              <w:t xml:space="preserve">Слесарь</w:t>
            </w:r>
          </w:p>
        </w:tc>
      </w:tr>
      <w:tr>
        <w:trPr>
          <w:trHeight w:val="330" w:hRule="atLeast"/>
        </w:trPr>
        <w:tc>
          <w:tcPr>
            <w:tcW w:w="10064" w:type="dxa"/>
            <w:gridSpan w:val="16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(наименование профессии (должности) работника)</w:t>
            </w:r>
          </w:p>
        </w:tc>
      </w:tr>
      <w:tr>
        <w:trPr>
          <w:trHeight w:val="480" w:hRule="atLeast"/>
        </w:trPr>
        <w:tc>
          <w:tcPr>
            <w:tcW w:w="10064" w:type="dxa"/>
            <w:gridSpan w:val="16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Наименование структурного подразделения</w:t>
            </w:r>
          </w:p>
        </w:tc>
      </w:tr>
      <w:tr>
        <w:trPr>
          <w:trHeight w:val="322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Пример</w:t>
            </w:r>
          </w:p>
        </w:tc>
      </w:tr>
      <w:tr>
        <w:trPr>
          <w:trHeight w:val="111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lang w:eastAsia="ru-RU"/>
              </w:rPr>
              <w:t>Численность работающих:</w:t>
            </w:r>
          </w:p>
        </w:tc>
      </w:tr>
      <w:tr>
        <w:trPr>
          <w:trHeight w:val="161" w:hRule="atLeast"/>
        </w:trPr>
        <w:tc>
          <w:tcPr>
            <w:tcW w:w="32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8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на рабочем месте</w:t>
            </w:r>
          </w:p>
        </w:tc>
        <w:tc>
          <w:tcPr>
            <w:tcW w:w="6847" w:type="dxa"/>
            <w:gridSpan w:val="1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1</w:t>
            </w:r>
          </w:p>
        </w:tc>
      </w:tr>
      <w:tr>
        <w:trPr>
          <w:trHeight w:val="55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i/>
                <w:i/>
                <w:iCs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8"/>
                <w:lang w:eastAsia="ru-RU"/>
              </w:rPr>
              <w:t>из них:</w:t>
            </w:r>
          </w:p>
        </w:tc>
      </w:tr>
      <w:tr>
        <w:trPr>
          <w:trHeight w:val="45" w:hRule="atLeast"/>
        </w:trPr>
        <w:tc>
          <w:tcPr>
            <w:tcW w:w="32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женщин</w:t>
            </w:r>
          </w:p>
        </w:tc>
        <w:tc>
          <w:tcPr>
            <w:tcW w:w="6847" w:type="dxa"/>
            <w:gridSpan w:val="1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</w:tr>
      <w:tr>
        <w:trPr>
          <w:trHeight w:val="190" w:hRule="atLeast"/>
        </w:trPr>
        <w:tc>
          <w:tcPr>
            <w:tcW w:w="32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лиц в возрасте до 18 лет</w:t>
            </w:r>
          </w:p>
        </w:tc>
        <w:tc>
          <w:tcPr>
            <w:tcW w:w="6847" w:type="dxa"/>
            <w:gridSpan w:val="1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</w:tr>
      <w:tr>
        <w:trPr>
          <w:trHeight w:val="181" w:hRule="atLeast"/>
        </w:trPr>
        <w:tc>
          <w:tcPr>
            <w:tcW w:w="32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инвалидов, допущенных к выполнению работ </w:t>
            </w:r>
          </w:p>
        </w:tc>
        <w:tc>
          <w:tcPr>
            <w:tcW w:w="6847" w:type="dxa"/>
            <w:gridSpan w:val="1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</w:tr>
      <w:tr>
        <w:trPr>
          <w:trHeight w:val="44" w:hRule="atLeast"/>
        </w:trPr>
        <w:tc>
          <w:tcPr>
            <w:tcW w:w="10064" w:type="dxa"/>
            <w:gridSpan w:val="1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Используемое оборудование:</w:t>
            </w:r>
          </w:p>
        </w:tc>
      </w:tr>
      <w:tr>
        <w:trPr>
          <w:trHeight w:val="797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 xml:space="preserve">Пример</w:t>
            </w:r>
          </w:p>
        </w:tc>
      </w:tr>
      <w:tr>
        <w:trPr>
          <w:trHeight w:val="405" w:hRule="atLeast"/>
        </w:trPr>
        <w:tc>
          <w:tcPr>
            <w:tcW w:w="10064" w:type="dxa"/>
            <w:gridSpan w:val="1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Используемые материалы и сырье:</w:t>
            </w:r>
          </w:p>
        </w:tc>
      </w:tr>
      <w:tr>
        <w:trPr>
          <w:trHeight w:val="650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 xml:space="preserve">Пример</w:t>
            </w:r>
          </w:p>
        </w:tc>
      </w:tr>
      <w:tr>
        <w:trPr>
          <w:trHeight w:val="436" w:hRule="atLeast"/>
        </w:trPr>
        <w:tc>
          <w:tcPr>
            <w:tcW w:w="396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lang w:eastAsia="ru-RU"/>
              </w:rPr>
              <w:t>Суммарная оценка уровня риска</w:t>
            </w:r>
          </w:p>
        </w:tc>
        <w:tc>
          <w:tcPr>
            <w:tcW w:w="6095" w:type="dxa"/>
            <w:gridSpan w:val="10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 xml:space="preserve">10,9</w:t>
            </w:r>
          </w:p>
        </w:tc>
      </w:tr>
      <w:tr>
        <w:trPr>
          <w:trHeight w:val="413" w:hRule="atLeast"/>
        </w:trPr>
        <w:tc>
          <w:tcPr>
            <w:tcW w:w="396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lang w:eastAsia="ru-RU"/>
              </w:rPr>
              <w:t>Класс риска</w:t>
            </w:r>
          </w:p>
        </w:tc>
        <w:tc>
          <w:tcPr>
            <w:tcW w:w="6095" w:type="dxa"/>
            <w:gridSpan w:val="10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 xml:space="preserve">D (Приемлемый (допустимый) риск)</w:t>
            </w:r>
          </w:p>
        </w:tc>
      </w:tr>
      <w:tr>
        <w:trPr>
          <w:trHeight w:val="44" w:hRule="atLeast"/>
        </w:trPr>
        <w:tc>
          <w:tcPr>
            <w:tcW w:w="3969" w:type="dxa"/>
            <w:gridSpan w:val="6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395" w:type="dxa"/>
            <w:gridSpan w:val="2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698" w:type="dxa"/>
            <w:gridSpan w:val="7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00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540" w:hRule="atLeast"/>
        </w:trPr>
        <w:tc>
          <w:tcPr>
            <w:tcW w:w="10064" w:type="dxa"/>
            <w:gridSpan w:val="1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Меры, рекомендуемые в целях снижения уровня профессионального риска:</w:t>
            </w:r>
          </w:p>
        </w:tc>
      </w:tr>
      <w:tr>
        <w:trPr>
          <w:trHeight w:val="1069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Мероприятия по исключению или снижению уровней профессиональных рисков не требуются. Предложения по профилактическим мероприятиям и корректирующим мерам по общему снижению уровня риска отсутствуют. Поддержание средств управления рисками в рабочем состоянии, контроль исполнения мер в соответствии с Разделом III отчета ОПР.</w:t>
            </w:r>
          </w:p>
        </w:tc>
      </w:tr>
      <w:tr>
        <w:trPr>
          <w:trHeight w:val="510" w:hRule="atLeast"/>
        </w:trPr>
        <w:tc>
          <w:tcPr>
            <w:tcW w:w="10064" w:type="dxa"/>
            <w:gridSpan w:val="1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Рекомендуемая периодичность контроля:</w:t>
            </w:r>
          </w:p>
        </w:tc>
      </w:tr>
      <w:tr>
        <w:trPr>
          <w:trHeight w:val="765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Нормальный контроль проводится с периодичностью 1 раз в 3 года</w:t>
            </w:r>
          </w:p>
        </w:tc>
      </w:tr>
      <w:tr>
        <w:trPr>
          <w:trHeight w:val="630" w:hRule="atLeast"/>
        </w:trPr>
        <w:tc>
          <w:tcPr>
            <w:tcW w:w="2694" w:type="dxa"/>
            <w:gridSpan w:val="2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 xml:space="preserve">Дата 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val="en-US" w:eastAsia="ru-RU"/>
              </w:rPr>
              <w:t>c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оставления:</w:t>
            </w:r>
          </w:p>
        </w:tc>
        <w:tc>
          <w:tcPr>
            <w:tcW w:w="1900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03.09.2026</w:t>
            </w:r>
          </w:p>
        </w:tc>
        <w:tc>
          <w:tcPr>
            <w:tcW w:w="2339" w:type="dxa"/>
            <w:gridSpan w:val="4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5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481" w:type="dxa"/>
            <w:gridSpan w:val="2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1086" w:type="dxa"/>
            <w:gridSpan w:val="2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70" w:hRule="atLeast"/>
        </w:trPr>
        <w:tc>
          <w:tcPr>
            <w:tcW w:w="2694" w:type="dxa"/>
            <w:gridSpan w:val="2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70" w:type="dxa"/>
            <w:gridSpan w:val="6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698" w:type="dxa"/>
            <w:gridSpan w:val="7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00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615" w:hRule="atLeast"/>
        </w:trPr>
        <w:tc>
          <w:tcPr>
            <w:tcW w:w="10064" w:type="dxa"/>
            <w:gridSpan w:val="1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Председатель комиссии по проведению оценки профессионального риска:</w:t>
            </w:r>
          </w:p>
        </w:tc>
      </w:tr>
      <w:tr>
        <w:trPr>
          <w:trHeight w:val="705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Погосян А.А.</w:t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u w:val="single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615" w:hRule="atLeast"/>
        </w:trPr>
        <w:tc>
          <w:tcPr>
            <w:tcW w:w="10064" w:type="dxa"/>
            <w:gridSpan w:val="1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Члены комиссии по проведению оценки профессионального риска:</w:t>
            </w:r>
          </w:p>
        </w:tc>
      </w:tr>
      <w:tr>
        <w:trPr>
          <w:trHeight w:val="705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Попов Т.А.</w:t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u w:val="single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705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Саевич И.И.</w:t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u w:val="single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25" w:hRule="atLeast"/>
        </w:trPr>
        <w:tc>
          <w:tcPr>
            <w:tcW w:w="10064" w:type="dxa"/>
            <w:gridSpan w:val="1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  <w:u w:val="single"/>
                <w:lang w:eastAsia="ru-RU"/>
              </w:rPr>
            </w:r>
          </w:p>
          <w:tbl>
            <w:tblPr>
              <w:tblW w:w="10065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2858"/>
              <w:gridCol w:w="358"/>
              <w:gridCol w:w="3364"/>
              <w:gridCol w:w="352"/>
              <w:gridCol w:w="3133"/>
            </w:tblGrid>
            <w:tr>
              <w:trPr>
                <w:trHeight w:val="615" w:hRule="atLeast"/>
              </w:trPr>
              <w:tc>
                <w:tcPr>
                  <w:tcW w:w="10065" w:type="dxa"/>
                  <w:gridSpan w:val="5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rPr>
                      <w:rFonts w:ascii="Times New Roman" w:hAnsi="Times New Roman" w:eastAsia="Times New Roman" w:cs="Times New Roman"/>
                      <w:b/>
                      <w:b/>
                      <w:bCs/>
                      <w:sz w:val="28"/>
                      <w:szCs w:val="28"/>
                      <w:u w:val="single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bCs/>
                      <w:sz w:val="24"/>
                      <w:szCs w:val="28"/>
                      <w:u w:val="single"/>
                      <w:lang w:eastAsia="ru-RU"/>
                    </w:rPr>
                    <w:t>Эксперт организации, привлеченный к проведению оценки профессионального риска:</w:t>
                  </w:r>
                </w:p>
              </w:tc>
            </w:tr>
            <w:tr>
              <w:trPr>
                <w:trHeight w:val="705" w:hRule="atLeast"/>
              </w:trPr>
              <w:tc>
                <w:tcPr>
                  <w:tcW w:w="2858" w:type="dxa"/>
                  <w:tcBorders>
                    <w:bottom w:val="single" w:sz="4" w:space="0" w:color="000000"/>
                  </w:tcBorders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ru-RU"/>
                    </w:rPr>
                    <w:t xml:space="preserve">Листикова Галина Михайловна</w:t>
                  </w:r>
                </w:p>
              </w:tc>
              <w:tc>
                <w:tcPr>
                  <w:tcW w:w="358" w:type="dxa"/>
                  <w:tcBorders/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ru-RU"/>
                    </w:rPr>
                  </w:r>
                </w:p>
              </w:tc>
              <w:tc>
                <w:tcPr>
                  <w:tcW w:w="3364" w:type="dxa"/>
                  <w:tcBorders>
                    <w:bottom w:val="single" w:sz="4" w:space="0" w:color="000000"/>
                  </w:tcBorders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ru-RU"/>
                    </w:rPr>
                  </w:r>
                </w:p>
              </w:tc>
              <w:tc>
                <w:tcPr>
                  <w:tcW w:w="352" w:type="dxa"/>
                  <w:tcBorders/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u w:val="single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u w:val="single"/>
                      <w:lang w:eastAsia="ru-RU"/>
                    </w:rPr>
                  </w:r>
                </w:p>
              </w:tc>
              <w:tc>
                <w:tcPr>
                  <w:tcW w:w="3133" w:type="dxa"/>
                  <w:tcBorders>
                    <w:bottom w:val="single" w:sz="4" w:space="0" w:color="000000"/>
                  </w:tcBorders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ru-RU"/>
                    </w:rPr>
                    <w:t xml:space="preserve">03.09.2026</w:t>
                  </w:r>
                </w:p>
              </w:tc>
            </w:tr>
            <w:tr>
              <w:trPr>
                <w:trHeight w:val="264" w:hRule="atLeast"/>
              </w:trPr>
              <w:tc>
                <w:tcPr>
                  <w:tcW w:w="2858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  <w:t>(ФИО)</w:t>
                  </w:r>
                </w:p>
              </w:tc>
              <w:tc>
                <w:tcPr>
                  <w:tcW w:w="358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</w:r>
                </w:p>
              </w:tc>
              <w:tc>
                <w:tcPr>
                  <w:tcW w:w="3364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  <w:t>(подпись)</w:t>
                  </w:r>
                </w:p>
              </w:tc>
              <w:tc>
                <w:tcPr>
                  <w:tcW w:w="352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</w:r>
                </w:p>
              </w:tc>
              <w:tc>
                <w:tcPr>
                  <w:tcW w:w="3133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  <w:t>(дата)</w:t>
                  </w:r>
                </w:p>
              </w:tc>
            </w:tr>
          </w:tbl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  <w:u w:val="single"/>
                <w:lang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u w:val="single"/>
                <w:lang w:eastAsia="ru-RU"/>
              </w:rPr>
              <w:t>С результатами оценки уровня профессионального риска ознакомлен(ы):</w:t>
            </w:r>
          </w:p>
        </w:tc>
      </w:tr>
      <w:tr>
        <w:trPr>
          <w:trHeight w:val="840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8"/>
                <w:tab w:val="center" w:pos="1457" w:leader="none"/>
              </w:tabs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 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ab/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/>
      </w:pPr>
      <w:r>
        <w:rPr/>
      </w:r>
    </w:p>
    <w:p>
      <w:pPr>
        <w:sectPr>
          <w:headerReference w:type="even" r:id="rId2"/>
          <w:headerReference w:type="default" r:id="rId3"/>
          <w:type w:val="nextPage"/>
          <w:pgSz w:w="11906" w:h="16838"/>
          <w:pgMar w:left="1701" w:right="850" w:gutter="0" w:header="709" w:top="1135" w:footer="0" w:bottom="1134"/>
          <w:pgNumType w:fmt="decimal"/>
          <w:formProt w:val="false"/>
          <w:titlePg/>
          <w:textDirection w:val="lrTb"/>
          <w:docGrid w:type="default" w:linePitch="360" w:charSpace="4096"/>
        </w:sectPr>
      </w:pPr>
    </w:p>
    <w:p>
      <w:pPr>
        <w:pStyle w:val="Normal"/>
        <w:tabs>
          <w:tab w:val="clear" w:pos="708"/>
          <w:tab w:val="left" w:pos="1081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sectPr>
          <w:type w:val="continuous"/>
          <w:pgSz w:w="11906" w:h="16838"/>
          <w:pgMar w:left="1701" w:right="850" w:gutter="0" w:header="709" w:top="1135" w:footer="0" w:bottom="1134"/>
          <w:formProt w:val="false"/>
          <w:textDirection w:val="lrTb"/>
          <w:docGrid w:type="default" w:linePitch="360" w:charSpace="4096"/>
        </w:sectPr>
      </w:pPr>
    </w:p>
    <w:p>
      <w:pPr>
        <w:pStyle w:val="Normal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Приложение к карте № 1</w:t>
      </w:r>
    </w:p>
    <w:tbl>
      <w:tblPr>
        <w:tblW w:w="1516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03"/>
        <w:gridCol w:w="2273"/>
        <w:gridCol w:w="4537"/>
        <w:gridCol w:w="708"/>
        <w:gridCol w:w="1839"/>
        <w:gridCol w:w="708"/>
        <w:gridCol w:w="1420"/>
        <w:gridCol w:w="1275"/>
        <w:gridCol w:w="850"/>
        <w:gridCol w:w="848"/>
      </w:tblGrid>
      <w:tr>
        <w:trPr>
          <w:trHeight w:val="427" w:hRule="atLeast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Код опасности</w:t>
            </w:r>
          </w:p>
        </w:tc>
        <w:tc>
          <w:tcPr>
            <w:tcW w:w="227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Наименование опасностей, представляющих угрозу жизни и (или) здоровью работника*</w:t>
            </w:r>
          </w:p>
        </w:tc>
        <w:tc>
          <w:tcPr>
            <w:tcW w:w="524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Рейтинговое значение тяжести последствий (СТ)</w:t>
            </w:r>
          </w:p>
        </w:tc>
        <w:tc>
          <w:tcPr>
            <w:tcW w:w="2547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Рейтинговое значение вероятности реализации опасности (В)</w:t>
            </w:r>
          </w:p>
        </w:tc>
        <w:tc>
          <w:tcPr>
            <w:tcW w:w="269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Продолжительность воздействия идентифицированной опасности (Т)</w:t>
            </w:r>
          </w:p>
        </w:tc>
        <w:tc>
          <w:tcPr>
            <w:tcW w:w="8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113" w:right="113" w:hanging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Уровень профессионального риска идентифицированной опасности (Рi)</w:t>
            </w:r>
          </w:p>
        </w:tc>
        <w:tc>
          <w:tcPr>
            <w:tcW w:w="8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113" w:right="113" w:hanging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Класс профессионального риска</w:t>
            </w:r>
          </w:p>
        </w:tc>
      </w:tr>
      <w:tr>
        <w:trPr>
          <w:trHeight w:val="1637" w:hRule="atLeast"/>
        </w:trPr>
        <w:tc>
          <w:tcPr>
            <w:tcW w:w="70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227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Последствия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Балл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Вероятность события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Балл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Время воздействия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Значение</w:t>
            </w:r>
          </w:p>
        </w:tc>
        <w:tc>
          <w:tcPr>
            <w:tcW w:w="85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4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143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84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10</w:t>
            </w:r>
          </w:p>
        </w:tc>
      </w:tr>
      <w:tr>
        <w:trPr>
          <w:trHeight w:val="413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i/>
                <w:i/>
                <w:spacing w:val="-1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Механические опасности: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1.1.1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Падение работника из-за потери равновесия при поскальзывании при передвижении (учитывается передвижение по горизонтальным и наклонным поверхностям, в том числе по лестничным маршам)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Травма с необходимостью обращения за медицинской помощью в организацию здравоохранения с потерей трудоспособности не более 3 дней (легкий несчастный случай)/незначительное воздействие на организм работника, организм восстанавливается не более чем через 3 дня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2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Редко (От 10% до 25%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0,3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0,6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1.3.1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Удар работника или падение на работника предмета, тяжелого инструмента или груза, упавшего при перемещении или подъеме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Травма с необходимостью обращения за медицинской помощью в организацию здравоохранения с потерей трудоспособности не более 3 дней (легкий несчастный случай)/незначительное воздействие на организм работника, организм восстанавливается не более чем через 3 дня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2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Редко (От 10% до 25%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0,3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0,6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1.4.1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Удар работника деталями или заготовками, элементами конструкции рабочего места (полки, осветительные приборы), которые могут отлететь/упасть из-за плохого или неправильного закрепления, в том числе снегом и (или) льдом, упавшими с крыш зданий и сооружений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Травмы, при которых необходимо доставить работника в организацию здравоохранения или требуется ее посещение с потерей трудоспособности до 30 дней (легкий несчастный случай)/либо проявляются начальные признаки профессионального(ых) заболевания(й)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3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0,3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1.5.1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Удар работника инструментом при неправильной эксплуатации, удар вращающимися или движущимися частями оборудования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Травмы, при которых необходимо доставить работника в организацию здравоохранения или требуется ее посещение с потерей трудоспособности до 30 дней (легкий несчастный случай)/либо проявляются начальные признаки профессионального(ых) заболевания(й)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3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Редко (От 10% до 25%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0,3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0,9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1.6.1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Удар и/или порез работника отлетающими осколками оборудования, деталей, инструмента, стекла, в том числе оконного или стекла используемого в конструкции мебели, стекла используемого в элементах отделки помещения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Травма с необходимостью обращения за медицинской помощью в организацию здравоохранения с потерей трудоспособности не более 3 дней (легкий несчастный случай)/незначительное воздействие на организм работника, организм восстанавливается не более чем через 3 дня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2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0,2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1.8.1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Столкновение работника с неподвижным предметом или элементом конструкции, оказавшимся на пути следования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0,1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1.10.1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Укол или прокол мягких тканей работника, из-за натыкания на неподвижную колющую поверхность (острие), в том числе штыри, арматуру, углы, анкерные устройства и другие, а также в результате воздействия движущихся колющих частей механизмов и машин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Травма с необходимостью обращения за медицинской помощью в организацию здравоохранения с потерей трудоспособности не более 3 дней (легкий несчастный случай)/незначительное воздействие на организм работника, организм восстанавливается не более чем через 3 дня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2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Редко (От 10% до 25%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0,3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0,6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1.12.1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Затягивание в подвижные части машин и механизмов одежды, волос и отдельных частей тела работника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Травмы, при которых необходимо доставить работника в организацию здравоохранения или требуется ее посещение с потерей трудоспособности до 30 дней (легкий несчастный случай)/либо проявляются начальные признаки профессионального(ых) заболевания(й)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3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Низкая (маловероятно) (Событие появляется в среднем от 1 раза в месяц до 1 раза в год)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2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0,6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1.16.1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Порез мягких тканей или ампутация отдельных частей тела работника в результате воздействия движущихся режущих частей механизмов, машин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Травмы, при которых необходимо доставить работника в организацию здравоохранения или требуется ее посещение с потерей трудоспособности до 30 дней (легкий несчастный случай)/либо проявляются начальные признаки профессионального(ых) заболевания(й)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3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0,3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1.17.1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Порез мягких тканей работника в результате воздействия острых кромок и заусенцев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Редко (От 10% до 25%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0,3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0,3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1.18.1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Порез мягких тканей или ампутация отдельных частей тела работника в результате воздействия острого режущего инструмента (дисковые ножи, дисковые пилы и другое (кроме ножей поварских))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Травмы, при которых необходимо доставить работника в организацию здравоохранения или требуется ее посещение с потерей трудоспособности до 30 дней (легкий несчастный случай)/либо проявляются начальные признаки профессионального(ых) заболевания(й)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3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0,3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1.24.1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Попадание в глаза работника стружки, мелких осколков, крупнодисперсной пыли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0,1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413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i/>
                <w:i/>
                <w:spacing w:val="-1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Опасность, связанная с воздействием общих производственных загрязнений: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2.1.1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Ухудшения здоровья работника в результате воздействие общих производственных загрязнений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0,1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413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i/>
                <w:i/>
                <w:spacing w:val="-1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Опасности, связанные с воздействием электрического тока, статического электричества, а также с воздействием термических рисков электрической дуги: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3.1.1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Удар током и другие травмы, полученные в результате контакта с токоведущими частями, которые находятся под напряжением до 1000 B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Травмы, при которых необходимо доставить работника в организацию здравоохранения или требуется ее посещение с потерей трудоспособности до 30 дней (легкий несчастный случай)/либо проявляются начальные признаки профессионального(ых) заболевания(й)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3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0,3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3.6.1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Поражение током вследствие контакта с 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Травмы, при которых необходимо доставить работника в организацию здравоохранения или требуется ее посещение с потерей трудоспособности до 30 дней (легкий несчастный случай)/либо проявляются начальные признаки профессионального(ых) заболевания(й)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3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0,3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413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i/>
                <w:i/>
                <w:spacing w:val="-1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Опасности, связанные с воздействием повышенных/пониженных температур: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4.7.1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Простудное заболевание работника из-за воздействия пониженной температуры воздуха, обморожения мягких тканей, в том числе мягких тканей конечностей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Травма с необходимостью обращения за медицинской помощью в организацию здравоохранения с потерей трудоспособности не более 3 дней (легкий несчастный случай)/незначительное воздействие на организм работника, организм восстанавливается не более чем через 3 дня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2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0,2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4.8.1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Тепловой удар при длительном нахождении на открытом воздухе при прямом воздействии лучей солнца на незащищенную поверхность головы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0,1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4.9.1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Воздействие влажности в виде тумана, росы, атмосферных осадков, конденсата, струй и капель жидкости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0,1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4.10.1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Заболевание работника из-за воздействия движения воздуха и (или) пониженной температуры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Травма с необходимостью обращения за медицинской помощью в организацию здравоохранения с потерей трудоспособности не более 3 дней (легкий несчастный случай)/незначительное воздействие на организм работника, организм восстанавливается не более чем через 3 дня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2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0,2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413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i/>
                <w:i/>
                <w:spacing w:val="-1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Химические опасности: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6.5.1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Химический ожог роговицы глаза работника из-за попадания опасных веществ в глаза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0,1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6.7.1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Дерматиты вследствие воздействия на кожные покровы работника технических (смазочных) масел, нефти и/или нефтепродуктов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0,1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413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i/>
                <w:i/>
                <w:spacing w:val="-1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Опасности воздействия повышенной концентрации аэрозолей преимущественно фиброгенного действия (АПФД):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7.1.1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Негативное воздействия пыли на глаза работника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0,1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7.1.2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Негативное воздействия пыли на органы дыхания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Травма с необходимостью обращения за медицинской помощью в организацию здравоохранения с потерей трудоспособности не более 3 дней (легкий несчастный случай)/незначительное воздействие на организм работника, организм восстанавливается не более чем через 3 дня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2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0,2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7.1.3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Негативное воздействия пыли на кожу (дерматиты)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0,1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413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i/>
                <w:i/>
                <w:spacing w:val="-1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9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Опасности физических перегрузок: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9.1.1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Повреждение костно-мышечного аппарата работника от физических перегрузок при чрезмерных физических усилиях при подъеме предметов и деталей, а также при перемещении предметов и деталей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Редко (От 10% до 25%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0,3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0,3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9.2.1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Повреждение костно-мышечного аппарата работника при физических перегрузках от стереотипных рабочих движений, а также при статических нагрузках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0,1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9.3.1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Повреждение костно-мышечного аппарата работника при физических перегрузках в следствии перегрузок при неудобной рабочей позе, в том числе при наклонах корпуса тела работника более чем на 30°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Периодически (От 25% до 50%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0,5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0,5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413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i/>
                <w:i/>
                <w:spacing w:val="-1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Опасность воздействия повышенного уровня шума: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10.1.1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Снижение остроты слуха, тугоухость, глухота, вследствие воздействия повышенного уровня шума и других неблагоприятных характеристик шума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Травма с необходимостью обращения за медицинской помощью в организацию здравоохранения с потерей трудоспособности не более 3 дней (легкий несчастный случай)/незначительное воздействие на организм работника, организм восстанавливается не более чем через 3 дня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2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Редко (От 10% до 25%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0,3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0,6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10.3.1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События, связанные с возможностью не услышать звуковой сигнал об опасности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0,1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413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i/>
                <w:i/>
                <w:spacing w:val="-1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Опасности от воздействия повышенной вибрации: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11.1.1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Воздействие локальной вибрации на руки работника при использовании ручных механизмов (сужение сосудов, болезнь белых пальцев)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0,1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413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i/>
                <w:i/>
                <w:spacing w:val="-1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12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Опасности, связанные с освещением/контрастностью в рабочей зоне: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12.1.1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Получение работником травм (механических) в связи с недостаточной различимостью работника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0,1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413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i/>
                <w:i/>
                <w:spacing w:val="-1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13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Опасности, связанные с воздействием повышенного уровня неионизирующих излучений: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13.1.1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Воздействие на организм работника электростатического поля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0,1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413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i/>
                <w:i/>
                <w:spacing w:val="-1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17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Опасности, связанные с пожаром: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17.1.1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Гипоксия, удушье, вследствие вдыхания дыма, паров вредных газов и пыли при пожаре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Травмы, при которых необходимо доставить работника в организацию здравоохранения или требуется ее посещение с потерей трудоспособности до 30 дней (легкий несчастный случай)/либо проявляются начальные признаки профессионального(ых) заболевания(й)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3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0,3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413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i/>
                <w:i/>
                <w:spacing w:val="-1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18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Опасности, связанные с транспортными средствами: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18.1.1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Механические травмы работника вследствие наезда транспортного средства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Травмы, при которых необходимо доставить работника в организацию здравоохранения или требуется ее посещение с потерей трудоспособности до 30 дней (легкий несчастный случай)/либо проявляются начальные признаки профессионального(ых) заболевания(й)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3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0,3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18.1.2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Механические травмы работника вследствие, раздавливания между двумя сближающимися транспортными средствами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Травмы, при которых необходимо доставить работника в организацию здравоохранения или требуется ее посещение с потерей трудоспособности до 30 дней (легкий несчастный случай)/либо проявляются начальные признаки профессионального(ых) заболевания(й)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3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0,3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18.2.1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Травмирование в результате дорожно-транспортного происшествия/авиакатастрофы/аварии на железнодорожном транспорте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Травмы, при которых необходимо доставить работника в организацию здравоохранения или требуется ее посещение с потерей трудоспособности до 30 дней (легкий несчастный случай)/либо проявляются начальные признаки профессионального(ых) заболевания(й)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3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0,3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413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i/>
                <w:i/>
                <w:spacing w:val="-1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24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Опасности, связанные с напряженностью трудового процесса: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24.1.1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Психоэмоциональные перегрузки, стрессы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Редко (От 10% до 25%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0,3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0,3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24.2.1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Перенапряжения зрительного анализатора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Периодически (От 25% до 50%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0,5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0,5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413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i/>
                <w:i/>
                <w:spacing w:val="-1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25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Опасности насилия: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25.1.1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Психофизическая нагрузка от враждебно настроенных работников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0,1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25.2.1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Психофизическая нагрузка от третьих лиц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0,1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44" w:hRule="atLeast"/>
        </w:trPr>
        <w:tc>
          <w:tcPr>
            <w:tcW w:w="13463" w:type="dxa"/>
            <w:gridSpan w:val="8"/>
            <w:tcBorders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16"/>
                <w:szCs w:val="16"/>
                <w:lang w:eastAsia="ru-RU"/>
              </w:rPr>
              <w:t>Итоговый уровень профессионального риска (ПP):</w:t>
            </w:r>
          </w:p>
        </w:tc>
        <w:tc>
          <w:tcPr>
            <w:tcW w:w="1698" w:type="dxa"/>
            <w:gridSpan w:val="2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16"/>
                <w:szCs w:val="16"/>
                <w:lang w:eastAsia="ru-RU"/>
              </w:rPr>
              <w:t xml:space="preserve">10,9</w:t>
            </w:r>
          </w:p>
        </w:tc>
      </w:tr>
      <w:tr>
        <w:trPr>
          <w:trHeight w:val="662" w:hRule="atLeast"/>
        </w:trPr>
        <w:tc>
          <w:tcPr>
            <w:tcW w:w="15161" w:type="dxa"/>
            <w:gridSpan w:val="10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* перечень опасностей, представляющих угрозу жизни и здоровью работников определен на основании Приложения №2 к Приказу Министерства труда и социальной защиты Российской Федерации от 29 октября 2021 года N 767н «Об утверждении Единых типовых норм выдачи средств индивидуальной защиты и смывающих средств»,  а так же Приложения №2 к Рекомендациям по классификации, обнаружению, распознаванию и описанию опасностей, утвержденным приказом Министерства труда и социальной защиты Российской Федерации от 31 января 2022 г. N 36  и  Приложения № 1 к Примерному положению о системе управления охраной труда, утвержденному приказом Министерства труда и социальной защиты РФ от 29 октября 2021 г. № 776н</w:t>
            </w:r>
          </w:p>
        </w:tc>
      </w:tr>
    </w:tbl>
    <w:p>
      <w:pPr>
        <w:pStyle w:val="Normal"/>
        <w:spacing w:before="0" w:after="200"/>
        <w:rPr>
          <w:rFonts w:ascii="Times New Roman" w:hAnsi="Times New Roman" w:cs="Times New Roman"/>
        </w:rPr>
      </w:pPr>
      <w:r>
        <w:rPr/>
      </w:r>
    </w:p>
    <w:sectPr>
      <w:headerReference w:type="even" r:id="rId4"/>
      <w:headerReference w:type="default" r:id="rId5"/>
      <w:type w:val="nextPage"/>
      <w:pgSz w:orient="landscape" w:w="15840" w:h="12240"/>
      <w:pgMar w:left="720" w:right="720" w:gutter="0" w:header="708" w:top="765" w:footer="0" w:bottom="426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jc w:val="right"/>
      <w:rPr>
        <w:rFonts w:ascii="Times New Roman" w:hAnsi="Times New Roman" w:cs="Times New Roman"/>
      </w:rPr>
    </w:pPr>
    <w:r>
      <w:rPr>
        <w:rFonts w:eastAsia="Times New Roman" w:cs="Times New Roman" w:ascii="Times New Roman" w:hAnsi="Times New Roman"/>
      </w:rPr>
      <w:t xml:space="preserve">Лист 2 к карте № 1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jc w:val="right"/>
      <w:rPr>
        <w:rFonts w:ascii="Times New Roman" w:hAnsi="Times New Roman" w:cs="Times New Roman"/>
      </w:rPr>
    </w:pPr>
    <w:r>
      <w:rPr>
        <w:rFonts w:eastAsia="Times New Roman" w:cs="Times New Roman" w:ascii="Times New Roman" w:hAnsi="Times New Roman"/>
      </w:rPr>
      <w:t xml:space="preserve">Лист 3 к карте № 1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jc w:val="right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evenAndOddHeaders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1"/>
    <w:qFormat/>
    <w:pPr>
      <w:keepNext w:val="true"/>
      <w:spacing w:lineRule="auto" w:line="240" w:before="0" w:after="0"/>
      <w:jc w:val="center"/>
      <w:outlineLvl w:val="0"/>
    </w:pPr>
    <w:rPr>
      <w:rFonts w:ascii="Times New Roman" w:hAnsi="Times New Roman" w:eastAsia="Times New Roman" w:cs="Arial"/>
      <w:b/>
      <w:bCs/>
      <w:sz w:val="24"/>
      <w:szCs w:val="32"/>
      <w:lang w:eastAsia="ru-RU"/>
    </w:rPr>
  </w:style>
  <w:style w:type="paragraph" w:styleId="2">
    <w:name w:val="Heading 2"/>
    <w:basedOn w:val="Normal"/>
    <w:next w:val="Normal"/>
    <w:link w:val="21"/>
    <w:uiPriority w:val="9"/>
    <w:unhideWhenUsed/>
    <w:qFormat/>
    <w:pPr>
      <w:keepNext w:val="true"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3">
    <w:name w:val="Heading 3"/>
    <w:basedOn w:val="Normal"/>
    <w:next w:val="Normal"/>
    <w:link w:val="31"/>
    <w:uiPriority w:val="9"/>
    <w:unhideWhenUsed/>
    <w:qFormat/>
    <w:pPr>
      <w:keepNext w:val="true"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4">
    <w:name w:val="Heading 4"/>
    <w:basedOn w:val="Normal"/>
    <w:next w:val="Normal"/>
    <w:link w:val="41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5">
    <w:name w:val="Heading 5"/>
    <w:basedOn w:val="Normal"/>
    <w:next w:val="Normal"/>
    <w:link w:val="51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6">
    <w:name w:val="Heading 6"/>
    <w:basedOn w:val="Normal"/>
    <w:next w:val="Normal"/>
    <w:link w:val="61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7">
    <w:name w:val="Heading 7"/>
    <w:basedOn w:val="Normal"/>
    <w:next w:val="Normal"/>
    <w:link w:val="71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8">
    <w:name w:val="Heading 8"/>
    <w:basedOn w:val="Normal"/>
    <w:next w:val="Normal"/>
    <w:link w:val="81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9">
    <w:name w:val="Heading 9"/>
    <w:basedOn w:val="Normal"/>
    <w:next w:val="Normal"/>
    <w:link w:val="91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21" w:customStyle="1">
    <w:name w:val="Заголовок 2 Знак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31" w:customStyle="1">
    <w:name w:val="Заголовок 3 Знак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41" w:customStyle="1">
    <w:name w:val="Заголовок 4 Знак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51" w:customStyle="1">
    <w:name w:val="Заголовок 5 Знак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61" w:customStyle="1">
    <w:name w:val="Заголовок 6 Знак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71" w:customStyle="1">
    <w:name w:val="Заголовок 7 Знак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81" w:customStyle="1">
    <w:name w:val="Заголовок 8 Знак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91" w:customStyle="1">
    <w:name w:val="Заголовок 9 Знак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Style5" w:customStyle="1">
    <w:name w:val="Заголовок Знак"/>
    <w:basedOn w:val="DefaultParagraphFont"/>
    <w:uiPriority w:val="10"/>
    <w:qFormat/>
    <w:rPr>
      <w:sz w:val="48"/>
      <w:szCs w:val="48"/>
    </w:rPr>
  </w:style>
  <w:style w:type="character" w:styleId="Style6" w:customStyle="1">
    <w:name w:val="Подзаголовок Знак"/>
    <w:basedOn w:val="DefaultParagraphFont"/>
    <w:uiPriority w:val="11"/>
    <w:qFormat/>
    <w:rPr>
      <w:sz w:val="24"/>
      <w:szCs w:val="24"/>
    </w:rPr>
  </w:style>
  <w:style w:type="character" w:styleId="22" w:customStyle="1">
    <w:name w:val="Цитата 2 Знак"/>
    <w:link w:val="Quote"/>
    <w:uiPriority w:val="29"/>
    <w:qFormat/>
    <w:rPr>
      <w:i/>
    </w:rPr>
  </w:style>
  <w:style w:type="character" w:styleId="Style7" w:customStyle="1">
    <w:name w:val="Выделенная цитата Знак"/>
    <w:link w:val="IntenseQuote"/>
    <w:uiPriority w:val="30"/>
    <w:qFormat/>
    <w:rPr>
      <w:i/>
    </w:rPr>
  </w:style>
  <w:style w:type="character" w:styleId="HeaderChar" w:customStyle="1">
    <w:name w:val="Header Char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CaptionChar" w:customStyle="1">
    <w:name w:val="Caption Char"/>
    <w:uiPriority w:val="99"/>
    <w:qFormat/>
    <w:rPr/>
  </w:style>
  <w:style w:type="character" w:styleId="Style8" w:customStyle="1">
    <w:name w:val="Текст сноски Знак"/>
    <w:uiPriority w:val="99"/>
    <w:qFormat/>
    <w:rPr>
      <w:sz w:val="18"/>
    </w:rPr>
  </w:style>
  <w:style w:type="character" w:styleId="Style9">
    <w:name w:val="Символ сноски"/>
    <w:uiPriority w:val="99"/>
    <w:unhideWhenUsed/>
    <w:qFormat/>
    <w:rPr>
      <w:vertAlign w:val="superscript"/>
    </w:rPr>
  </w:style>
  <w:style w:type="character" w:styleId="Style10">
    <w:name w:val="Footnote Reference"/>
    <w:rPr>
      <w:vertAlign w:val="superscript"/>
    </w:rPr>
  </w:style>
  <w:style w:type="character" w:styleId="Style11" w:customStyle="1">
    <w:name w:val="Текст концевой сноски Знак"/>
    <w:uiPriority w:val="99"/>
    <w:qFormat/>
    <w:rPr>
      <w:sz w:val="20"/>
    </w:rPr>
  </w:style>
  <w:style w:type="character" w:styleId="Style12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Style13">
    <w:name w:val="Endnote Reference"/>
    <w:rPr>
      <w:vertAlign w:val="superscript"/>
    </w:rPr>
  </w:style>
  <w:style w:type="character" w:styleId="11" w:customStyle="1">
    <w:name w:val="Заголовок 1 Знак"/>
    <w:basedOn w:val="DefaultParagraphFont"/>
    <w:qFormat/>
    <w:rPr>
      <w:rFonts w:ascii="Times New Roman" w:hAnsi="Times New Roman" w:eastAsia="Times New Roman" w:cs="Arial"/>
      <w:b/>
      <w:bCs/>
      <w:sz w:val="24"/>
      <w:szCs w:val="32"/>
      <w:lang w:eastAsia="ru-RU"/>
    </w:rPr>
  </w:style>
  <w:style w:type="character" w:styleId="Style14" w:customStyle="1">
    <w:name w:val="Поле"/>
    <w:qFormat/>
    <w:rPr>
      <w:rFonts w:ascii="Times New Roman" w:hAnsi="Times New Roman"/>
      <w:sz w:val="24"/>
      <w:u w:val="single"/>
    </w:rPr>
  </w:style>
  <w:style w:type="character" w:styleId="Style15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Style16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Style17" w:customStyle="1">
    <w:name w:val="Верхний колонтитул Знак"/>
    <w:basedOn w:val="DefaultParagraphFont"/>
    <w:uiPriority w:val="99"/>
    <w:qFormat/>
    <w:rPr/>
  </w:style>
  <w:style w:type="character" w:styleId="Style18" w:customStyle="1">
    <w:name w:val="Нижний колонтитул Знак"/>
    <w:basedOn w:val="DefaultParagraphFont"/>
    <w:uiPriority w:val="99"/>
    <w:qFormat/>
    <w:rPr/>
  </w:style>
  <w:style w:type="character" w:styleId="Annotation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Style19" w:customStyle="1">
    <w:name w:val="Текст примечания Знак"/>
    <w:basedOn w:val="DefaultParagraphFont"/>
    <w:link w:val="Annotationtext"/>
    <w:uiPriority w:val="99"/>
    <w:qFormat/>
    <w:rPr>
      <w:sz w:val="20"/>
      <w:szCs w:val="20"/>
    </w:rPr>
  </w:style>
  <w:style w:type="character" w:styleId="Style20" w:customStyle="1">
    <w:name w:val="Тема примечания Знак"/>
    <w:basedOn w:val="Style19"/>
    <w:link w:val="Annotationsubject"/>
    <w:uiPriority w:val="99"/>
    <w:semiHidden/>
    <w:qFormat/>
    <w:rPr>
      <w:b/>
      <w:bCs/>
      <w:sz w:val="20"/>
      <w:szCs w:val="20"/>
    </w:rPr>
  </w:style>
  <w:style w:type="character" w:styleId="Style21" w:customStyle="1">
    <w:name w:val="Исходный текст"/>
    <w:qFormat/>
    <w:rPr>
      <w:rFonts w:ascii="Liberation Mono" w:hAnsi="Liberation Mono" w:eastAsia="Liberation Mono" w:cs="Liberation Mono"/>
    </w:rPr>
  </w:style>
  <w:style w:type="paragraph" w:styleId="Style22">
    <w:name w:val="Заголовок"/>
    <w:basedOn w:val="Normal"/>
    <w:next w:val="Style23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Style23">
    <w:name w:val="Body Text"/>
    <w:basedOn w:val="Normal"/>
    <w:pPr>
      <w:spacing w:lineRule="auto" w:line="276" w:before="0" w:after="140"/>
    </w:pPr>
    <w:rPr/>
  </w:style>
  <w:style w:type="paragraph" w:styleId="Style24">
    <w:name w:val="List"/>
    <w:basedOn w:val="Style23"/>
    <w:pPr/>
    <w:rPr>
      <w:rFonts w:cs="FreeSans"/>
    </w:rPr>
  </w:style>
  <w:style w:type="paragraph" w:styleId="Style25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26">
    <w:name w:val="Указатель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 w:hanging="0"/>
      <w:contextualSpacing/>
    </w:pPr>
    <w:rPr/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Style27">
    <w:name w:val="Title"/>
    <w:basedOn w:val="Normal"/>
    <w:next w:val="Normal"/>
    <w:link w:val="Style5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tyle28">
    <w:name w:val="Subtitle"/>
    <w:basedOn w:val="Normal"/>
    <w:next w:val="Normal"/>
    <w:link w:val="Style6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next w:val="Normal"/>
    <w:link w:val="22"/>
    <w:uiPriority w:val="29"/>
    <w:qFormat/>
    <w:pPr>
      <w:ind w:left="720" w:right="720" w:hanging="0"/>
    </w:pPr>
    <w:rPr>
      <w:i/>
    </w:rPr>
  </w:style>
  <w:style w:type="paragraph" w:styleId="IntenseQuote">
    <w:name w:val="Intense Quote"/>
    <w:basedOn w:val="Normal"/>
    <w:next w:val="Normal"/>
    <w:link w:val="Style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 w:hanging="0"/>
    </w:pPr>
    <w:rPr>
      <w:i/>
    </w:rPr>
  </w:style>
  <w:style w:type="paragraph" w:styleId="Caption">
    <w:name w:val="caption"/>
    <w:basedOn w:val="Normal"/>
    <w:next w:val="Normal"/>
    <w:uiPriority w:val="35"/>
    <w:semiHidden/>
    <w:unhideWhenUsed/>
    <w:qFormat/>
    <w:pPr/>
    <w:rPr>
      <w:b/>
      <w:bCs/>
      <w:color w:val="4F81BD" w:themeColor="accent1"/>
      <w:sz w:val="18"/>
      <w:szCs w:val="18"/>
    </w:rPr>
  </w:style>
  <w:style w:type="paragraph" w:styleId="Style29">
    <w:name w:val="Footnote Text"/>
    <w:basedOn w:val="Normal"/>
    <w:link w:val="Style8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Style30">
    <w:name w:val="Endnote Text"/>
    <w:basedOn w:val="Normal"/>
    <w:link w:val="Style11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12">
    <w:name w:val="TOC 1"/>
    <w:basedOn w:val="Normal"/>
    <w:next w:val="Normal"/>
    <w:uiPriority w:val="39"/>
    <w:unhideWhenUsed/>
    <w:pPr>
      <w:spacing w:before="0" w:after="57"/>
    </w:pPr>
    <w:rPr/>
  </w:style>
  <w:style w:type="paragraph" w:styleId="23">
    <w:name w:val="TOC 2"/>
    <w:basedOn w:val="Normal"/>
    <w:next w:val="Normal"/>
    <w:uiPriority w:val="39"/>
    <w:unhideWhenUsed/>
    <w:pPr>
      <w:spacing w:before="0" w:after="57"/>
      <w:ind w:left="283" w:hanging="0"/>
    </w:pPr>
    <w:rPr/>
  </w:style>
  <w:style w:type="paragraph" w:styleId="32">
    <w:name w:val="TOC 3"/>
    <w:basedOn w:val="Normal"/>
    <w:next w:val="Normal"/>
    <w:uiPriority w:val="39"/>
    <w:unhideWhenUsed/>
    <w:pPr>
      <w:spacing w:before="0" w:after="57"/>
      <w:ind w:left="567" w:hanging="0"/>
    </w:pPr>
    <w:rPr/>
  </w:style>
  <w:style w:type="paragraph" w:styleId="42">
    <w:name w:val="TOC 4"/>
    <w:basedOn w:val="Normal"/>
    <w:next w:val="Normal"/>
    <w:uiPriority w:val="39"/>
    <w:unhideWhenUsed/>
    <w:pPr>
      <w:spacing w:before="0" w:after="57"/>
      <w:ind w:left="850" w:hanging="0"/>
    </w:pPr>
    <w:rPr/>
  </w:style>
  <w:style w:type="paragraph" w:styleId="52">
    <w:name w:val="TOC 5"/>
    <w:basedOn w:val="Normal"/>
    <w:next w:val="Normal"/>
    <w:uiPriority w:val="39"/>
    <w:unhideWhenUsed/>
    <w:pPr>
      <w:spacing w:before="0" w:after="57"/>
      <w:ind w:left="1134" w:hanging="0"/>
    </w:pPr>
    <w:rPr/>
  </w:style>
  <w:style w:type="paragraph" w:styleId="62">
    <w:name w:val="TOC 6"/>
    <w:basedOn w:val="Normal"/>
    <w:next w:val="Normal"/>
    <w:uiPriority w:val="39"/>
    <w:unhideWhenUsed/>
    <w:pPr>
      <w:spacing w:before="0" w:after="57"/>
      <w:ind w:left="1417" w:hanging="0"/>
    </w:pPr>
    <w:rPr/>
  </w:style>
  <w:style w:type="paragraph" w:styleId="72">
    <w:name w:val="TOC 7"/>
    <w:basedOn w:val="Normal"/>
    <w:next w:val="Normal"/>
    <w:uiPriority w:val="39"/>
    <w:unhideWhenUsed/>
    <w:pPr>
      <w:spacing w:before="0" w:after="57"/>
      <w:ind w:left="1701" w:hanging="0"/>
    </w:pPr>
    <w:rPr/>
  </w:style>
  <w:style w:type="paragraph" w:styleId="82">
    <w:name w:val="TOC 8"/>
    <w:basedOn w:val="Normal"/>
    <w:next w:val="Normal"/>
    <w:uiPriority w:val="39"/>
    <w:unhideWhenUsed/>
    <w:pPr>
      <w:spacing w:before="0" w:after="57"/>
      <w:ind w:left="1984" w:hanging="0"/>
    </w:pPr>
    <w:rPr/>
  </w:style>
  <w:style w:type="paragraph" w:styleId="92">
    <w:name w:val="TOC 9"/>
    <w:basedOn w:val="Normal"/>
    <w:next w:val="Normal"/>
    <w:uiPriority w:val="39"/>
    <w:unhideWhenUsed/>
    <w:pPr>
      <w:spacing w:before="0" w:after="57"/>
      <w:ind w:left="2268" w:hanging="0"/>
    </w:pPr>
    <w:rPr/>
  </w:style>
  <w:style w:type="paragraph" w:styleId="Style31">
    <w:name w:val="Index Heading"/>
    <w:basedOn w:val="Style22"/>
    <w:pPr/>
    <w:rPr/>
  </w:style>
  <w:style w:type="paragraph" w:styleId="Style32">
    <w:name w:val="TOC Heading"/>
    <w:uiPriority w:val="39"/>
    <w:unhideWhenUsed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Tableoffigures">
    <w:name w:val="table of figures"/>
    <w:basedOn w:val="Normal"/>
    <w:next w:val="Normal"/>
    <w:uiPriority w:val="99"/>
    <w:unhideWhenUsed/>
    <w:qFormat/>
    <w:pPr>
      <w:spacing w:before="0" w:after="0"/>
    </w:pPr>
    <w:rPr/>
  </w:style>
  <w:style w:type="paragraph" w:styleId="Msonormal" w:customStyle="1">
    <w:name w:val="msonormal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47" w:customStyle="1">
    <w:name w:val="xl24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48" w:customStyle="1">
    <w:name w:val="xl24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49" w:customStyle="1">
    <w:name w:val="xl249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50" w:customStyle="1">
    <w:name w:val="xl250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lang w:eastAsia="ru-RU"/>
    </w:rPr>
  </w:style>
  <w:style w:type="paragraph" w:styleId="Xl251" w:customStyle="1">
    <w:name w:val="xl251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32"/>
      <w:szCs w:val="32"/>
      <w:lang w:eastAsia="ru-RU"/>
    </w:rPr>
  </w:style>
  <w:style w:type="paragraph" w:styleId="Xl252" w:customStyle="1">
    <w:name w:val="xl252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53" w:customStyle="1">
    <w:name w:val="xl25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54" w:customStyle="1">
    <w:name w:val="xl254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lang w:eastAsia="ru-RU"/>
    </w:rPr>
  </w:style>
  <w:style w:type="paragraph" w:styleId="Xl255" w:customStyle="1">
    <w:name w:val="xl255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56" w:customStyle="1">
    <w:name w:val="xl256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32"/>
      <w:szCs w:val="32"/>
      <w:lang w:eastAsia="ru-RU"/>
    </w:rPr>
  </w:style>
  <w:style w:type="paragraph" w:styleId="Xl257" w:customStyle="1">
    <w:name w:val="xl25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4"/>
      <w:szCs w:val="24"/>
      <w:lang w:eastAsia="ru-RU"/>
    </w:rPr>
  </w:style>
  <w:style w:type="paragraph" w:styleId="Xl258" w:customStyle="1">
    <w:name w:val="xl25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4"/>
      <w:szCs w:val="24"/>
      <w:lang w:eastAsia="ru-RU"/>
    </w:rPr>
  </w:style>
  <w:style w:type="paragraph" w:styleId="Xl259" w:customStyle="1">
    <w:name w:val="xl25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i/>
      <w:iCs/>
      <w:color w:val="000000"/>
      <w:lang w:eastAsia="ru-RU"/>
    </w:rPr>
  </w:style>
  <w:style w:type="paragraph" w:styleId="Xl260" w:customStyle="1">
    <w:name w:val="xl26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i/>
      <w:iCs/>
      <w:color w:val="000000"/>
      <w:lang w:eastAsia="ru-RU"/>
    </w:rPr>
  </w:style>
  <w:style w:type="paragraph" w:styleId="Xl261" w:customStyle="1">
    <w:name w:val="xl26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32"/>
      <w:szCs w:val="32"/>
      <w:lang w:eastAsia="ru-RU"/>
    </w:rPr>
  </w:style>
  <w:style w:type="paragraph" w:styleId="Xl262" w:customStyle="1">
    <w:name w:val="xl26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36"/>
      <w:szCs w:val="36"/>
      <w:lang w:eastAsia="ru-RU"/>
    </w:rPr>
  </w:style>
  <w:style w:type="paragraph" w:styleId="Xl263" w:customStyle="1">
    <w:name w:val="xl26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64" w:customStyle="1">
    <w:name w:val="xl26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i/>
      <w:iCs/>
      <w:color w:val="000000"/>
      <w:sz w:val="28"/>
      <w:szCs w:val="28"/>
      <w:lang w:eastAsia="ru-RU"/>
    </w:rPr>
  </w:style>
  <w:style w:type="paragraph" w:styleId="Xl265" w:customStyle="1">
    <w:name w:val="xl26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66" w:customStyle="1">
    <w:name w:val="xl26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67" w:customStyle="1">
    <w:name w:val="xl26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68" w:customStyle="1">
    <w:name w:val="xl26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69" w:customStyle="1">
    <w:name w:val="xl269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70" w:customStyle="1">
    <w:name w:val="xl270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71" w:customStyle="1">
    <w:name w:val="xl271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72" w:customStyle="1">
    <w:name w:val="xl272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73" w:customStyle="1">
    <w:name w:val="xl273"/>
    <w:basedOn w:val="Normal"/>
    <w:qFormat/>
    <w:pPr>
      <w:shd w:val="clear" w:color="000000" w:fill="FFFFFF"/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Xl274" w:customStyle="1">
    <w:name w:val="xl274"/>
    <w:basedOn w:val="Normal"/>
    <w:qFormat/>
    <w:pPr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75" w:customStyle="1">
    <w:name w:val="xl275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76" w:customStyle="1">
    <w:name w:val="xl276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77" w:customStyle="1">
    <w:name w:val="xl277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78" w:customStyle="1">
    <w:name w:val="xl278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79" w:customStyle="1">
    <w:name w:val="xl27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80" w:customStyle="1">
    <w:name w:val="xl280"/>
    <w:basedOn w:val="Normal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Xl281" w:customStyle="1">
    <w:name w:val="xl281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Xl282" w:customStyle="1">
    <w:name w:val="xl282"/>
    <w:basedOn w:val="Normal"/>
    <w:qFormat/>
    <w:pPr>
      <w:pBdr>
        <w:top w:val="single" w:sz="4" w:space="0" w:color="000000"/>
      </w:pBdr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83" w:customStyle="1">
    <w:name w:val="xl283"/>
    <w:basedOn w:val="Normal"/>
    <w:qFormat/>
    <w:pPr>
      <w:pBdr>
        <w:top w:val="single" w:sz="4" w:space="0" w:color="000000"/>
      </w:pBdr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Xl284" w:customStyle="1">
    <w:name w:val="xl284"/>
    <w:basedOn w:val="Normal"/>
    <w:qFormat/>
    <w:pPr>
      <w:pBdr>
        <w:top w:val="single" w:sz="4" w:space="0" w:color="000000"/>
        <w:right w:val="single" w:sz="4" w:space="0" w:color="000000"/>
      </w:pBdr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Style33">
    <w:name w:val="Колонтитул"/>
    <w:basedOn w:val="Normal"/>
    <w:qFormat/>
    <w:pPr/>
    <w:rPr/>
  </w:style>
  <w:style w:type="paragraph" w:styleId="Style34">
    <w:name w:val="Header"/>
    <w:basedOn w:val="Normal"/>
    <w:link w:val="Style17"/>
    <w:uiPriority w:val="99"/>
    <w:unhideWhenUsed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35">
    <w:name w:val="Footer"/>
    <w:basedOn w:val="Normal"/>
    <w:link w:val="Style18"/>
    <w:uiPriority w:val="99"/>
    <w:unhideWhenUsed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Annotationtext">
    <w:name w:val="annotation text"/>
    <w:basedOn w:val="Normal"/>
    <w:link w:val="Style19"/>
    <w:uiPriority w:val="99"/>
    <w:unhideWhenUsed/>
    <w:qFormat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Style20"/>
    <w:uiPriority w:val="99"/>
    <w:semiHidden/>
    <w:unhideWhenUsed/>
    <w:qFormat/>
    <w:pPr/>
    <w:rPr>
      <w:b/>
      <w:bCs/>
    </w:rPr>
  </w:style>
  <w:style w:type="paragraph" w:styleId="TableParagraph" w:customStyle="1">
    <w:name w:val="Table Paragraph"/>
    <w:uiPriority w:val="1"/>
    <w:qFormat/>
    <w:pPr>
      <w:widowControl w:val="false"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</w:rPr>
  </w:style>
  <w:style w:type="paragraph" w:styleId="Style36" w:customStyle="1">
    <w:name w:val="Текст в заданном формате"/>
    <w:qFormat/>
    <w:pPr>
      <w:widowControl w:val="false"/>
      <w:suppressAutoHyphens w:val="true"/>
      <w:bidi w:val="0"/>
      <w:spacing w:lineRule="auto" w:line="240" w:before="0" w:after="0"/>
      <w:jc w:val="left"/>
    </w:pPr>
    <w:rPr>
      <w:rFonts w:ascii="Liberation Mono" w:hAnsi="Liberation Mono" w:eastAsia="Liberation Mono" w:cs="Liberation Mono"/>
      <w:color w:val="auto"/>
      <w:kern w:val="0"/>
      <w:sz w:val="20"/>
      <w:szCs w:val="20"/>
      <w:lang w:val="ru-RU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tblPr/>
      <w:tcPr>
        <w:shd w:val="clear" w:color="F2F2F2" w:fill="F2F2F2" w:themeFill="text1" w:themeFillTint="d"/>
      </w:tcPr>
    </w:tblStylePr>
    <w:tblStylePr w:type="band1Horz">
      <w:tblPr/>
      <w:tcPr>
        <w:shd w:val="clear" w:color="F2F2F2" w:fill="F2F2F2" w:themeFill="text1" w:themeFillTint="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color w:val="404040"/>
        <w:sz w:val="22"/>
      </w:rPr>
      <w:tblPr/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  <w:color w:val="404040"/>
      </w:rPr>
      <w:tblPr/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A6A6A" w:themeColor="text1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7B4D8" w:themeColor="accent1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DA9896" w:themeColor="accent2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C4D79D" w:themeColor="accent3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B4A4C8" w:themeColor="accent4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5CEDD" w:themeColor="accent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AC192" w:themeColor="accent6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D8AC2" w:themeColor="accen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D8AC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5D8AC2" w:themeColor="accent1" w:sz="4" w:space="0"/>
          <w:left w:val="single" w:color="5D8AC2" w:themeColor="accent1" w:sz="4" w:space="0"/>
          <w:bottom w:val="single" w:color="5D8AC2" w:themeColor="accent1" w:sz="4" w:space="0"/>
          <w:right w:val="single" w:color="5D8AC2" w:themeColor="accent1" w:sz="4" w:space="0"/>
        </w:tcBorders>
        <w:shd w:val="clear" w:color="5D8AC2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5D8AC2" w:themeColor="accen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CE6F2" w:fill="DCE6F2" w:themeFill="accent1" w:themeFillTint="32"/>
      </w:tcPr>
    </w:tblStylePr>
    <w:tblStylePr w:type="band1Horz">
      <w:rPr>
        <w:color w:val="404040"/>
        <w:sz w:val="22"/>
      </w:rPr>
      <w:tblPr/>
      <w:tcPr>
        <w:shd w:val="clear" w:color="DCE6F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D99695" w:themeColor="accent2" w:sz="4" w:space="0"/>
          <w:left w:val="single" w:color="D99695" w:themeColor="accent2" w:sz="4" w:space="0"/>
          <w:bottom w:val="single" w:color="D99695" w:themeColor="accent2" w:sz="4" w:space="0"/>
          <w:right w:val="single" w:color="D99695" w:themeColor="accent2" w:sz="4" w:space="0"/>
        </w:tcBorders>
        <w:shd w:val="clear" w:color="D99695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D99695" w:themeColor="accent2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9ABB59" w:themeColor="accent3" w:sz="4" w:space="0"/>
          <w:left w:val="single" w:color="9ABB59" w:themeColor="accent3" w:sz="4" w:space="0"/>
          <w:bottom w:val="single" w:color="9ABB59" w:themeColor="accent3" w:sz="4" w:space="0"/>
          <w:right w:val="single" w:color="9ABB59" w:themeColor="accent3" w:sz="4" w:space="0"/>
        </w:tcBorders>
        <w:shd w:val="clear" w:color="9ABB59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9ABB59" w:themeColor="accent3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B2A1C6" w:themeColor="accent4" w:sz="4" w:space="0"/>
          <w:left w:val="single" w:color="B2A1C6" w:themeColor="accent4" w:sz="4" w:space="0"/>
          <w:bottom w:val="single" w:color="B2A1C6" w:themeColor="accent4" w:sz="4" w:space="0"/>
          <w:right w:val="single" w:color="B2A1C6" w:themeColor="accent4" w:sz="4" w:space="0"/>
        </w:tcBorders>
        <w:shd w:val="clear" w:color="B2A1C6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  <w:tblStylePr w:type="fir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F81BD" w:fill="4F81BD" w:themeFill="accent1"/>
      </w:tcPr>
    </w:tblStylePr>
    <w:tblStylePr w:type="fir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band1Vert">
      <w:tblPr/>
      <w:tcPr>
        <w:shd w:val="clear" w:color="AEC4E0" w:fill="AEC4E0" w:themeFill="accent1" w:themeFillTint="75"/>
      </w:tcPr>
    </w:tblStylePr>
    <w:tblStylePr w:type="band1Horz">
      <w:tblPr/>
      <w:tcPr>
        <w:shd w:val="clear" w:color="AEC4E0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C0504D" w:fill="C0504D" w:themeFill="accent2"/>
      </w:tcPr>
    </w:tblStylePr>
    <w:tblStylePr w:type="fir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band1Vert">
      <w:tblPr/>
      <w:tcPr>
        <w:shd w:val="clear" w:color="E2AEAD" w:fill="E2AEAD" w:themeFill="accent2" w:themeFillTint="75"/>
      </w:tcPr>
    </w:tblStylePr>
    <w:tblStylePr w:type="band1Horz">
      <w:tblPr/>
      <w:tcPr>
        <w:shd w:val="clear" w:color="E2AEAD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9BBB59" w:fill="9BBB59" w:themeFill="accent3"/>
      </w:tcPr>
    </w:tblStylePr>
    <w:tblStylePr w:type="fir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band1Vert">
      <w:tblPr/>
      <w:tcPr>
        <w:shd w:val="clear" w:color="D0DFB2" w:fill="D0DFB2" w:themeFill="accent3" w:themeFillTint="75"/>
      </w:tcPr>
    </w:tblStylePr>
    <w:tblStylePr w:type="band1Horz">
      <w:tblPr/>
      <w:tcPr>
        <w:shd w:val="clear" w:color="D0DFB2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8064A2" w:fill="8064A2" w:themeFill="accent4"/>
      </w:tcPr>
    </w:tblStylePr>
    <w:tblStylePr w:type="fir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band1Vert">
      <w:tblPr/>
      <w:tcPr>
        <w:shd w:val="clear" w:color="C4B7D4" w:fill="C4B7D4" w:themeFill="accent4" w:themeFillTint="75"/>
      </w:tcPr>
    </w:tblStylePr>
    <w:tblStylePr w:type="band1Horz">
      <w:tblPr/>
      <w:tcPr>
        <w:shd w:val="clear" w:color="C4B7D4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BACC6" w:fill="4BACC6" w:themeFill="accent5"/>
      </w:tcPr>
    </w:tblStylePr>
    <w:tblStylePr w:type="fir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band1Vert">
      <w:tblPr/>
      <w:tcPr>
        <w:shd w:val="clear" w:color="ACD8E4" w:fill="ACD8E4" w:themeFill="accent5" w:themeFillTint="75"/>
      </w:tcPr>
    </w:tblStylePr>
    <w:tblStylePr w:type="band1Horz">
      <w:tblPr/>
      <w:tcPr>
        <w:shd w:val="clear" w:color="ACD8E4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79646" w:fill="F79646" w:themeFill="accent6"/>
      </w:tcPr>
    </w:tblStylePr>
    <w:tblStylePr w:type="fir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band1Vert">
      <w:tblPr/>
      <w:tcPr>
        <w:shd w:val="clear" w:color="FBCEAA" w:fill="FBCEAA" w:themeFill="accent6" w:themeFillTint="75"/>
      </w:tcPr>
    </w:tblStylePr>
    <w:tblStylePr w:type="band1Horz">
      <w:tblPr/>
      <w:tcPr>
        <w:shd w:val="clear" w:color="FBCEAA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b/>
        <w:color w:val="7F7F7F" w:themeColor="text1" w:themeTint="80" w:themeShade="95"/>
      </w:rPr>
      <w:tblPr/>
    </w:tblStylePr>
    <w:tblStylePr w:type="firstCol">
      <w:rPr>
        <w:b/>
        <w:color w:val="7F7F7F" w:themeColor="text1" w:themeTint="80" w:themeShade="95"/>
      </w:rPr>
      <w:tblPr/>
    </w:tblStylePr>
    <w:tblStylePr w:type="lastCol">
      <w:rPr>
        <w:b/>
        <w:color w:val="7F7F7F" w:themeColor="text1" w:themeTint="80" w:themeShade="95"/>
      </w:rPr>
      <w:tblPr/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color="A6BFDD" w:themeColor="accent1" w:sz="12" w:space="0"/>
        </w:tcBorders>
      </w:tcPr>
    </w:tblStylePr>
    <w:tblStylePr w:type="lastRow">
      <w:rPr>
        <w:b/>
        <w:color w:val="A6BFDD" w:themeColor="accent1" w:themeTint="80" w:themeShade="95"/>
      </w:rPr>
      <w:tblPr/>
    </w:tblStylePr>
    <w:tblStylePr w:type="firstCol">
      <w:rPr>
        <w:b/>
        <w:color w:val="A6BFDD" w:themeColor="accent1" w:themeTint="80" w:themeShade="95"/>
      </w:rPr>
      <w:tblPr/>
    </w:tblStylePr>
    <w:tblStylePr w:type="lastCol">
      <w:rPr>
        <w:b/>
        <w:color w:val="A6BFDD" w:themeColor="accent1" w:themeTint="80" w:themeShade="95"/>
      </w:rPr>
      <w:tblPr/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sz="12" w:space="0"/>
        </w:tcBorders>
      </w:tcPr>
    </w:tblStylePr>
    <w:tblStylePr w:type="lastRow">
      <w:rPr>
        <w:b/>
        <w:color w:val="D99695" w:themeColor="accent2" w:themeTint="97" w:themeShade="95"/>
      </w:rPr>
      <w:tblPr/>
    </w:tblStylePr>
    <w:tblStylePr w:type="firstCol">
      <w:rPr>
        <w:b/>
        <w:color w:val="D99695" w:themeColor="accent2" w:themeTint="97" w:themeShade="95"/>
      </w:rPr>
      <w:tblPr/>
    </w:tblStylePr>
    <w:tblStylePr w:type="lastCol">
      <w:rPr>
        <w:b/>
        <w:color w:val="D99695" w:themeColor="accent2" w:themeTint="97" w:themeShade="95"/>
      </w:rPr>
      <w:tblPr/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color="9ABB59" w:themeColor="accent3" w:sz="12" w:space="0"/>
        </w:tcBorders>
      </w:tcPr>
    </w:tblStylePr>
    <w:tblStylePr w:type="lastRow">
      <w:rPr>
        <w:b/>
        <w:color w:val="9ABB59" w:themeColor="accent3" w:themeTint="fe" w:themeShade="95"/>
      </w:rPr>
      <w:tblPr/>
    </w:tblStylePr>
    <w:tblStylePr w:type="firstCol">
      <w:rPr>
        <w:b/>
        <w:color w:val="9ABB59" w:themeColor="accent3" w:themeTint="fe" w:themeShade="95"/>
      </w:rPr>
      <w:tblPr/>
    </w:tblStylePr>
    <w:tblStylePr w:type="lastCol">
      <w:rPr>
        <w:b/>
        <w:color w:val="9ABB59" w:themeColor="accent3" w:themeTint="fe" w:themeShade="95"/>
      </w:rPr>
      <w:tblPr/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  <w:tblPr/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sz="12" w:space="0"/>
        </w:tcBorders>
      </w:tcPr>
    </w:tblStylePr>
    <w:tblStylePr w:type="lastRow">
      <w:rPr>
        <w:b/>
        <w:color w:val="B2A1C6" w:themeColor="accent4" w:themeTint="9a" w:themeShade="95"/>
      </w:rPr>
      <w:tblPr/>
    </w:tblStylePr>
    <w:tblStylePr w:type="firstCol">
      <w:rPr>
        <w:b/>
        <w:color w:val="B2A1C6" w:themeColor="accent4" w:themeTint="9a" w:themeShade="95"/>
      </w:rPr>
      <w:tblPr/>
    </w:tblStylePr>
    <w:tblStylePr w:type="lastCol">
      <w:rPr>
        <w:b/>
        <w:color w:val="B2A1C6" w:themeColor="accent4" w:themeTint="9a" w:themeShade="95"/>
      </w:rPr>
      <w:tblPr/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9" w:themeColor="accent5" w:themeShade="95"/>
      </w:rPr>
      <w:tblPr/>
    </w:tblStylePr>
    <w:tblStylePr w:type="firstCol">
      <w:rPr>
        <w:b/>
        <w:color w:val="266779" w:themeColor="accent5" w:themeShade="95"/>
      </w:rPr>
      <w:tblPr/>
    </w:tblStylePr>
    <w:tblStylePr w:type="lastCol">
      <w:rPr>
        <w:b/>
        <w:color w:val="266779" w:themeColor="accent5" w:themeShade="95"/>
      </w:rPr>
      <w:tblPr/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9" w:themeColor="accent5" w:themeShade="95"/>
      </w:rPr>
      <w:tblPr/>
    </w:tblStylePr>
    <w:tblStylePr w:type="firstCol">
      <w:rPr>
        <w:b/>
        <w:color w:val="266779" w:themeColor="accent5" w:themeShade="95"/>
      </w:rPr>
      <w:tblPr/>
    </w:tblStylePr>
    <w:tblStylePr w:type="lastCol">
      <w:rPr>
        <w:b/>
        <w:color w:val="266779" w:themeColor="accent5" w:themeShade="95"/>
      </w:rPr>
      <w:tblPr/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d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6BFDD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color="A6BFD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sz="4" w:space="0"/>
        </w:tcBorders>
        <w:shd w:val="clear" w:color="FFFFFF" w:fill="auto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single" w:color="A6BFDD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sz="4" w:space="0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single" w:color="D99695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sz="4" w:space="0"/>
        </w:tcBorders>
        <w:shd w:val="clear" w:color="FFFFFF" w:fill="auto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single" w:color="9ABB59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  <w:tblPr/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sz="4" w:space="0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single" w:color="B2A1C6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b/>
        <w:color w:val="266779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sz="4" w:space="0"/>
        </w:tcBorders>
        <w:shd w:val="clear" w:color="FFFFFF" w:fill="auto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color="000000" w:sz="4" w:space="0"/>
          <w:left w:val="single" w:color="99D0DE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b/>
        <w:color w:val="B15407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sz="4" w:space="0"/>
        </w:tcBorders>
        <w:shd w:val="clear" w:color="FFFFFF" w:fill="auto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color="000000" w:sz="4" w:space="0"/>
          <w:left w:val="single" w:color="FAC396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B15407" w:themeColor="accent6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B15407" w:themeColor="accent6" w:themeShade="95"/>
        <w:sz w:val="22"/>
      </w:rPr>
      <w:tblPr/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tblPr/>
      <w:tcPr>
        <w:shd w:val="clear" w:color="D2DFEE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tblPr/>
      <w:tcPr>
        <w:shd w:val="clear" w:color="EFD2D2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tblPr/>
      <w:tcPr>
        <w:shd w:val="clear" w:color="E5EED5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tblPr/>
      <w:tcPr>
        <w:shd w:val="clear" w:color="DFD8E7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tblPr/>
      <w:tcPr>
        <w:shd w:val="clear" w:color="D1EAF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tblPr/>
      <w:tcPr>
        <w:shd w:val="clear" w:color="FDE4D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firstRow">
      <w:rPr>
        <w:b/>
        <w:color w:val="FFFFFF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D99695" w:themeColor="accent2" w:sz="4" w:space="0"/>
          <w:right w:val="single" w:color="D99695" w:themeColor="accent2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99695" w:themeColor="accent2" w:sz="4" w:space="0"/>
          <w:bottom w:val="single" w:color="D99695" w:themeColor="accent2" w:sz="4" w:space="0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firstRow">
      <w:rPr>
        <w:b/>
        <w:color w:val="FFFFFF"/>
        <w:sz w:val="22"/>
      </w:rPr>
      <w:tblPr/>
      <w:tcPr>
        <w:shd w:val="clear" w:color="C3D69B" w:fill="C3D69B" w:themeFill="accent3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C3D69B" w:themeColor="accent3" w:sz="4" w:space="0"/>
          <w:right w:val="single" w:color="C3D69B" w:themeColor="accent3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C3D69B" w:themeColor="accent3" w:sz="4" w:space="0"/>
          <w:bottom w:val="single" w:color="C3D69B" w:themeColor="accent3" w:sz="4" w:space="0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b/>
        <w:color w:val="FFFFFF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B2A1C6" w:themeColor="accent4" w:sz="4" w:space="0"/>
          <w:right w:val="single" w:color="B2A1C6" w:themeColor="accent4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2A1C6" w:themeColor="accent4" w:sz="4" w:space="0"/>
          <w:bottom w:val="single" w:color="B2A1C6" w:themeColor="accent4" w:sz="4" w:space="0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b/>
        <w:color w:val="FFFFFF"/>
        <w:sz w:val="22"/>
      </w:rPr>
      <w:tblPr/>
      <w:tcPr>
        <w:shd w:val="clear" w:color="92CCDC" w:fill="92CCDC" w:themeFill="accent5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92CCDC" w:themeColor="accent5" w:sz="4" w:space="0"/>
          <w:right w:val="single" w:color="92CCDC" w:themeColor="accent5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92CCDC" w:themeColor="accent5" w:sz="4" w:space="0"/>
          <w:bottom w:val="single" w:color="92CCDC" w:themeColor="accent5" w:sz="4" w:space="0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b/>
        <w:color w:val="FFFFFF"/>
        <w:sz w:val="22"/>
      </w:rPr>
      <w:tblPr/>
      <w:tcPr>
        <w:shd w:val="clear" w:color="FAC090" w:fill="FAC090" w:themeFill="accent6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FAC090" w:themeColor="accent6" w:sz="4" w:space="0"/>
          <w:right w:val="single" w:color="FAC090" w:themeColor="accent6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AC090" w:themeColor="accent6" w:sz="4" w:space="0"/>
          <w:bottom w:val="single" w:color="FAC090" w:themeColor="accent6" w:sz="4" w:space="0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fill="4F81BD" w:themeFill="accent1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fill="4F81BD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D99695" w:themeColor="accent2" w:sz="32" w:space="0"/>
          <w:bottom w:val="single" w:color="FFFFFF" w:themeColor="light1" w:sz="12" w:space="0"/>
        </w:tcBorders>
        <w:shd w:val="clear" w:color="D99695" w:fill="D99695" w:themeFill="accent2" w:themeFillTint="97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D99695" w:themeColor="accent2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99695" w:themeColor="accent2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695" w:fill="D9969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fill="D996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C3D69B" w:themeColor="accent3" w:sz="32" w:space="0"/>
          <w:bottom w:val="single" w:color="FFFFFF" w:themeColor="light1" w:sz="12" w:space="0"/>
        </w:tcBorders>
        <w:shd w:val="clear" w:color="C3D69B" w:fill="C3D69B" w:themeFill="accent3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C3D69B" w:themeColor="accent3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3D69B" w:themeColor="accent3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B" w:fill="C3D69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fill="C3D69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B2A1C6" w:themeColor="accent4" w:sz="32" w:space="0"/>
          <w:bottom w:val="single" w:color="FFFFFF" w:themeColor="light1" w:sz="12" w:space="0"/>
        </w:tcBorders>
        <w:shd w:val="clear" w:color="B2A1C6" w:fill="B2A1C6" w:themeFill="accent4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B2A1C6" w:themeColor="accent4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B2A1C6" w:themeColor="accent4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fill="B2A1C6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92CCDC" w:themeColor="accent5" w:sz="32" w:space="0"/>
          <w:bottom w:val="single" w:color="FFFFFF" w:themeColor="light1" w:sz="12" w:space="0"/>
        </w:tcBorders>
        <w:shd w:val="clear" w:color="92CCDC" w:fill="92CCDC" w:themeFill="accent5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92CCDC" w:themeColor="accent5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2CCDC" w:themeColor="accent5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fill="92CCDC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FAC090" w:themeColor="accent6" w:sz="32" w:space="0"/>
          <w:bottom w:val="single" w:color="FFFFFF" w:themeColor="light1" w:sz="12" w:space="0"/>
        </w:tcBorders>
        <w:shd w:val="clear" w:color="FAC090" w:fill="FAC090" w:themeFill="accent6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FAC090" w:themeColor="accent6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AC090" w:themeColor="accent6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fill="FAC090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color w:val="000000" w:themeColor="text1"/>
      </w:rPr>
      <w:tblPr/>
    </w:tblStylePr>
    <w:tblStylePr w:type="lastCol">
      <w:rPr>
        <w:b/>
        <w:color w:val="000000" w:themeColor="text1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  <w:tblPr/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A71" w:themeColor="accent1" w:themeShade="95"/>
      </w:rPr>
      <w:tblPr/>
    </w:tblStylePr>
    <w:tblStylePr w:type="lastCol">
      <w:rPr>
        <w:b/>
        <w:color w:val="2A4A71" w:themeColor="accent1" w:themeShade="95"/>
      </w:rPr>
      <w:tblPr/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  <w:tblPr/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sz="4" w:space="0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color="D99695" w:themeColor="accent2" w:sz="4" w:space="0"/>
        </w:tcBorders>
      </w:tcPr>
    </w:tblStylePr>
    <w:tblStylePr w:type="firstCol">
      <w:rPr>
        <w:b/>
        <w:color w:val="D99695" w:themeColor="accent2" w:themeTint="97" w:themeShade="95"/>
      </w:rPr>
      <w:tblPr/>
    </w:tblStylePr>
    <w:tblStylePr w:type="lastCol">
      <w:rPr>
        <w:b/>
        <w:color w:val="D99695" w:themeColor="accent2" w:themeTint="97" w:themeShade="95"/>
      </w:rPr>
      <w:tblPr/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color="C3D69B" w:themeColor="accent3" w:sz="4" w:space="0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color="C3D69B" w:themeColor="accent3" w:sz="4" w:space="0"/>
        </w:tcBorders>
      </w:tcPr>
    </w:tblStylePr>
    <w:tblStylePr w:type="firstCol">
      <w:rPr>
        <w:b/>
        <w:color w:val="C3D69B" w:themeColor="accent3" w:themeTint="98" w:themeShade="95"/>
      </w:rPr>
      <w:tblPr/>
    </w:tblStylePr>
    <w:tblStylePr w:type="lastCol">
      <w:rPr>
        <w:b/>
        <w:color w:val="C3D69B" w:themeColor="accent3" w:themeTint="98" w:themeShade="95"/>
      </w:rPr>
      <w:tblPr/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  <w:tblPr/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sz="4" w:space="0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color="B2A1C6" w:themeColor="accent4" w:sz="4" w:space="0"/>
        </w:tcBorders>
      </w:tcPr>
    </w:tblStylePr>
    <w:tblStylePr w:type="firstCol">
      <w:rPr>
        <w:b/>
        <w:color w:val="B2A1C6" w:themeColor="accent4" w:themeTint="9a" w:themeShade="95"/>
      </w:rPr>
      <w:tblPr/>
    </w:tblStylePr>
    <w:tblStylePr w:type="lastCol">
      <w:rPr>
        <w:b/>
        <w:color w:val="B2A1C6" w:themeColor="accent4" w:themeTint="9a" w:themeShade="95"/>
      </w:rPr>
      <w:tblPr/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color="92CCDC" w:themeColor="accent5" w:sz="4" w:space="0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color="92CCDC" w:themeColor="accent5" w:sz="4" w:space="0"/>
        </w:tcBorders>
      </w:tcPr>
    </w:tblStylePr>
    <w:tblStylePr w:type="firstCol">
      <w:rPr>
        <w:b/>
        <w:color w:val="92CCDC" w:themeColor="accent5" w:themeTint="9a" w:themeShade="95"/>
      </w:rPr>
      <w:tblPr/>
    </w:tblStylePr>
    <w:tblStylePr w:type="lastCol">
      <w:rPr>
        <w:b/>
        <w:color w:val="92CCDC" w:themeColor="accent5" w:themeTint="9a" w:themeShade="95"/>
      </w:rPr>
      <w:tblPr/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color="FAC090" w:themeColor="accent6" w:sz="4" w:space="0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color="FAC090" w:themeColor="accent6" w:sz="4" w:space="0"/>
        </w:tcBorders>
      </w:tcPr>
    </w:tblStylePr>
    <w:tblStylePr w:type="firstCol">
      <w:rPr>
        <w:b/>
        <w:color w:val="FAC090" w:themeColor="accent6" w:themeTint="98" w:themeShade="95"/>
      </w:rPr>
      <w:tblPr/>
    </w:tblStylePr>
    <w:tblStylePr w:type="lastCol">
      <w:rPr>
        <w:b/>
        <w:color w:val="FAC090" w:themeColor="accent6" w:themeTint="98" w:themeShade="95"/>
      </w:rPr>
      <w:tblPr/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F81BD" w:themeColor="accent1" w:sz="4" w:space="0"/>
      </w:tblBorders>
    </w:tblPr>
    <w:tblStylePr w:type="firstRow">
      <w:rPr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  <w:tblPr/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sz="4" w:space="0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single" w:color="D99695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C3D69B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color="C3D69B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sz="4" w:space="0"/>
        </w:tcBorders>
        <w:shd w:val="clear" w:color="FFFFFF" w:fill="auto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single" w:color="C3D69B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  <w:tblPr/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sz="4" w:space="0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single" w:color="B2A1C6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2CCDC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color="92CCDC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sz="4" w:space="0"/>
        </w:tcBorders>
        <w:shd w:val="clear" w:color="FFFFFF" w:fill="auto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single" w:color="92CCDC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AC09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color="FAC09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sz="4" w:space="0"/>
        </w:tcBorders>
        <w:shd w:val="clear" w:color="FFFFFF" w:fill="auto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single" w:color="FAC090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2A4A71" w:themeColor="accent1" w:sz="4" w:space="0"/>
        <w:left w:val="single" w:color="2A4A71" w:themeColor="accent1" w:sz="4" w:space="0"/>
        <w:bottom w:val="single" w:color="2A4A71" w:themeColor="accent1" w:sz="4" w:space="0"/>
        <w:right w:val="single" w:color="2A4A71" w:themeColor="accent1" w:sz="4" w:space="0"/>
        <w:insideH w:val="single" w:color="2A4A71" w:themeColor="accent1" w:sz="4" w:space="0"/>
        <w:insideV w:val="single" w:color="2A4A71" w:themeColor="accent1" w:sz="4" w:space="0"/>
      </w:tblBorders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732A29" w:themeColor="accent2" w:sz="4" w:space="0"/>
        <w:left w:val="single" w:color="732A29" w:themeColor="accent2" w:sz="4" w:space="0"/>
        <w:bottom w:val="single" w:color="732A29" w:themeColor="accent2" w:sz="4" w:space="0"/>
        <w:right w:val="single" w:color="732A29" w:themeColor="accent2" w:sz="4" w:space="0"/>
        <w:insideH w:val="single" w:color="732A29" w:themeColor="accent2" w:sz="4" w:space="0"/>
        <w:insideV w:val="single" w:color="732A29" w:themeColor="accent2" w:sz="4" w:space="0"/>
      </w:tblBorders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5B722E" w:themeColor="accent3" w:sz="4" w:space="0"/>
        <w:left w:val="single" w:color="5B722E" w:themeColor="accent3" w:sz="4" w:space="0"/>
        <w:bottom w:val="single" w:color="5B722E" w:themeColor="accent3" w:sz="4" w:space="0"/>
        <w:right w:val="single" w:color="5B722E" w:themeColor="accent3" w:sz="4" w:space="0"/>
        <w:insideH w:val="single" w:color="5B722E" w:themeColor="accent3" w:sz="4" w:space="0"/>
        <w:insideV w:val="single" w:color="5B722E" w:themeColor="accent3" w:sz="4" w:space="0"/>
      </w:tblBorders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4A395F" w:themeColor="accent4" w:sz="4" w:space="0"/>
        <w:left w:val="single" w:color="4A395F" w:themeColor="accent4" w:sz="4" w:space="0"/>
        <w:bottom w:val="single" w:color="4A395F" w:themeColor="accent4" w:sz="4" w:space="0"/>
        <w:right w:val="single" w:color="4A395F" w:themeColor="accent4" w:sz="4" w:space="0"/>
        <w:insideH w:val="single" w:color="4A395F" w:themeColor="accent4" w:sz="4" w:space="0"/>
        <w:insideV w:val="single" w:color="4A395F" w:themeColor="accent4" w:sz="4" w:space="0"/>
      </w:tblBorders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266779" w:themeColor="accent5" w:sz="4" w:space="0"/>
        <w:left w:val="single" w:color="266779" w:themeColor="accent5" w:sz="4" w:space="0"/>
        <w:bottom w:val="single" w:color="266779" w:themeColor="accent5" w:sz="4" w:space="0"/>
        <w:right w:val="single" w:color="266779" w:themeColor="accent5" w:sz="4" w:space="0"/>
        <w:insideH w:val="single" w:color="266779" w:themeColor="accent5" w:sz="4" w:space="0"/>
        <w:insideV w:val="single" w:color="266779" w:themeColor="accent5" w:sz="4" w:space="0"/>
      </w:tblBorders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B15407" w:themeColor="accent6" w:sz="4" w:space="0"/>
        <w:left w:val="single" w:color="B15407" w:themeColor="accent6" w:sz="4" w:space="0"/>
        <w:bottom w:val="single" w:color="B15407" w:themeColor="accent6" w:sz="4" w:space="0"/>
        <w:right w:val="single" w:color="B15407" w:themeColor="accent6" w:sz="4" w:space="0"/>
        <w:insideH w:val="single" w:color="B15407" w:themeColor="accent6" w:sz="4" w:space="0"/>
        <w:insideV w:val="single" w:color="B15407" w:themeColor="accent6" w:sz="4" w:space="0"/>
      </w:tblBorders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7F7F7F" w:themeColor="text1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7F7F7F" w:themeColor="text1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4F81BD" w:themeColor="accen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4F81BD" w:themeColor="accent1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4F81BD" w:themeColor="accent1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D99695" w:themeColor="accent2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D99695" w:themeColor="accent2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D99695" w:themeColor="accent2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C3D69B" w:themeColor="accent3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C3D69B" w:themeColor="accent3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C3D69B" w:themeColor="accent3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B2A1C6" w:themeColor="accent4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B2A1C6" w:themeColor="accent4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B2A1C6" w:themeColor="accent4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92CCDC" w:themeColor="accent5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92CCDC" w:themeColor="accent5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92CCDC" w:themeColor="accent5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FAC090" w:themeColor="accent6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FAC090" w:themeColor="accent6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FAC090" w:themeColor="accent6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</w:style>
  <w:style w:type="table" w:styleId="af4">
    <w:name w:val="Table Grid"/>
    <w:basedOn w:val="a1"/>
    <w:pPr>
      <w:spacing w:after="0" w:line="240" w:lineRule="auto"/>
    </w:pPr>
    <w:rPr>
      <w:lang w:eastAsia="ru-RU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header" Target="header4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LibreOffice/7.4.7.2$Linux_X86_64 LibreOffice_project/40$Build-2</Application>
  <AppVersion>15.0000</AppVersion>
  <Pages>4</Pages>
  <Words>580</Words>
  <Characters>3552</Characters>
  <CharactersWithSpaces>3999</CharactersWithSpaces>
  <Paragraphs>149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2026-05-08T12:11:00Z</dcterms:created>
  <dc:creator>user</dc:creator>
  <dc:description/>
  <dc:language>ru-RU</dc:language>
  <cp:lastModifiedBy/>
  <cp:lastPrinted>2026-04-24T09:46:00Z</cp:lastPrinted>
  <dcterms:modified xsi:type="dcterms:W3CDTF">2026-08-31T17:55:48Z</dcterms:modified>
  <cp:revision>4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