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EB919"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48"/>
          <w:szCs w:val="48"/>
        </w:rPr>
        <w:t>Analyzing US Insurance Claim Data</w:t>
      </w:r>
    </w:p>
    <w:p w14:paraId="6CB2DC49" w14:textId="77777777" w:rsidR="00E343D7" w:rsidRPr="00E343D7" w:rsidRDefault="00E343D7" w:rsidP="00E343D7">
      <w:pPr>
        <w:spacing w:before="400" w:after="120"/>
        <w:outlineLvl w:val="0"/>
        <w:rPr>
          <w:rFonts w:ascii="Times New Roman" w:eastAsia="Times New Roman" w:hAnsi="Times New Roman" w:cs="Times New Roman"/>
          <w:b/>
          <w:bCs/>
          <w:kern w:val="36"/>
          <w:sz w:val="48"/>
          <w:szCs w:val="48"/>
        </w:rPr>
      </w:pPr>
      <w:r w:rsidRPr="00E343D7">
        <w:rPr>
          <w:rFonts w:ascii="Calibri" w:eastAsia="Times New Roman" w:hAnsi="Calibri" w:cs="Calibri"/>
          <w:b/>
          <w:bCs/>
          <w:color w:val="434343"/>
          <w:kern w:val="36"/>
          <w:sz w:val="40"/>
          <w:szCs w:val="40"/>
        </w:rPr>
        <w:t>Introduction</w:t>
      </w:r>
    </w:p>
    <w:p w14:paraId="24B9CD10" w14:textId="56CA0C11"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rPr>
        <w:t xml:space="preserve">In this </w:t>
      </w:r>
      <w:r>
        <w:rPr>
          <w:rFonts w:ascii="Calibri" w:eastAsia="Times New Roman" w:hAnsi="Calibri" w:cs="Calibri"/>
          <w:color w:val="434343"/>
        </w:rPr>
        <w:t>project</w:t>
      </w:r>
      <w:r w:rsidRPr="00E343D7">
        <w:rPr>
          <w:rFonts w:ascii="Calibri" w:eastAsia="Times New Roman" w:hAnsi="Calibri" w:cs="Calibri"/>
          <w:color w:val="434343"/>
        </w:rPr>
        <w:t xml:space="preserve">, we </w:t>
      </w:r>
      <w:r w:rsidRPr="00E343D7">
        <w:rPr>
          <w:rFonts w:ascii="Calibri" w:eastAsia="Times New Roman" w:hAnsi="Calibri" w:cs="Calibri"/>
          <w:color w:val="434343"/>
        </w:rPr>
        <w:t>analyze</w:t>
      </w:r>
      <w:r w:rsidRPr="00E343D7">
        <w:rPr>
          <w:rFonts w:ascii="Calibri" w:eastAsia="Times New Roman" w:hAnsi="Calibri" w:cs="Calibri"/>
          <w:color w:val="434343"/>
        </w:rPr>
        <w:t xml:space="preserve"> the US insurance market using Insurance Claim data</w:t>
      </w:r>
      <w:r>
        <w:rPr>
          <w:rFonts w:ascii="Calibri" w:eastAsia="Times New Roman" w:hAnsi="Calibri" w:cs="Calibri"/>
          <w:color w:val="434343"/>
        </w:rPr>
        <w:t xml:space="preserve"> -</w:t>
      </w:r>
      <w:r w:rsidRPr="00E343D7">
        <w:rPr>
          <w:rFonts w:ascii="Calibri" w:eastAsia="Times New Roman" w:hAnsi="Calibri" w:cs="Calibri"/>
          <w:color w:val="434343"/>
        </w:rPr>
        <w:t xml:space="preserve"> All-Payer Claim Data (APCDs) for the year 2016</w:t>
      </w:r>
      <w:r>
        <w:rPr>
          <w:rFonts w:ascii="Calibri" w:eastAsia="Times New Roman" w:hAnsi="Calibri" w:cs="Calibri"/>
          <w:color w:val="434343"/>
        </w:rPr>
        <w:t xml:space="preserve"> in this case</w:t>
      </w:r>
      <w:r w:rsidRPr="00E343D7">
        <w:rPr>
          <w:rFonts w:ascii="Calibri" w:eastAsia="Times New Roman" w:hAnsi="Calibri" w:cs="Calibri"/>
          <w:color w:val="434343"/>
        </w:rPr>
        <w:t>. APCDs are databases that include medical claims, pharmacy claims, dental claims, and eligibility and provider files collected from private and public payers. For this assignment, we used four databases. These databases are inpatient file reports, outpatient reports, emergency room reports, and revenue reports.  </w:t>
      </w:r>
    </w:p>
    <w:p w14:paraId="06FCB210" w14:textId="77777777" w:rsidR="00E343D7" w:rsidRPr="00E343D7" w:rsidRDefault="00E343D7" w:rsidP="00E343D7">
      <w:pPr>
        <w:rPr>
          <w:rFonts w:ascii="Times New Roman" w:eastAsia="Times New Roman" w:hAnsi="Times New Roman" w:cs="Times New Roman"/>
        </w:rPr>
      </w:pPr>
    </w:p>
    <w:p w14:paraId="2747BBB9" w14:textId="44A6B1E8"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rPr>
        <w:t xml:space="preserve">In our analysis, we start by following the journey of seven patients and their interaction with the healthcare system. For each patient, we identify their demographics, type of illness, doctor diagnosis, services/drugs </w:t>
      </w:r>
      <w:r w:rsidRPr="00E343D7">
        <w:rPr>
          <w:rFonts w:ascii="Calibri" w:eastAsia="Times New Roman" w:hAnsi="Calibri" w:cs="Calibri"/>
          <w:color w:val="434343"/>
        </w:rPr>
        <w:t>provided,</w:t>
      </w:r>
      <w:r w:rsidRPr="00E343D7">
        <w:rPr>
          <w:rFonts w:ascii="Calibri" w:eastAsia="Times New Roman" w:hAnsi="Calibri" w:cs="Calibri"/>
          <w:color w:val="434343"/>
        </w:rPr>
        <w:t xml:space="preserve"> and the costs associated with each diagnosis. We also supplement this analysis with relevant additional information.</w:t>
      </w:r>
    </w:p>
    <w:p w14:paraId="05F96C9F" w14:textId="77777777" w:rsidR="00E343D7" w:rsidRPr="00E343D7" w:rsidRDefault="00E343D7" w:rsidP="00E343D7">
      <w:pPr>
        <w:rPr>
          <w:rFonts w:ascii="Times New Roman" w:eastAsia="Times New Roman" w:hAnsi="Times New Roman" w:cs="Times New Roman"/>
        </w:rPr>
      </w:pPr>
    </w:p>
    <w:p w14:paraId="4CC8BD05" w14:textId="797B0101"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rPr>
        <w:t xml:space="preserve">We proceed by </w:t>
      </w:r>
      <w:r w:rsidRPr="00E343D7">
        <w:rPr>
          <w:rFonts w:ascii="Calibri" w:eastAsia="Times New Roman" w:hAnsi="Calibri" w:cs="Calibri"/>
          <w:color w:val="434343"/>
        </w:rPr>
        <w:t>analyzing</w:t>
      </w:r>
      <w:r w:rsidRPr="00E343D7">
        <w:rPr>
          <w:rFonts w:ascii="Calibri" w:eastAsia="Times New Roman" w:hAnsi="Calibri" w:cs="Calibri"/>
          <w:color w:val="434343"/>
        </w:rPr>
        <w:t xml:space="preserve"> the services and costs provided by the major insurance providers for inpatient hospitalizations. The major insurance providers are Medicare, Medicaid, and Commercial Payers (Blue Cross and Commercial Insurance). Here we calculate the total costs for these major insurance providers across the 25 Major Diagnostic </w:t>
      </w:r>
      <w:r w:rsidRPr="00E343D7">
        <w:rPr>
          <w:rFonts w:ascii="Calibri" w:eastAsia="Times New Roman" w:hAnsi="Calibri" w:cs="Calibri"/>
          <w:color w:val="434343"/>
        </w:rPr>
        <w:t>Categories (</w:t>
      </w:r>
      <w:r w:rsidRPr="00E343D7">
        <w:rPr>
          <w:rFonts w:ascii="Calibri" w:eastAsia="Times New Roman" w:hAnsi="Calibri" w:cs="Calibri"/>
          <w:color w:val="434343"/>
        </w:rPr>
        <w:t>MDC). </w:t>
      </w:r>
    </w:p>
    <w:p w14:paraId="4C083791" w14:textId="77777777" w:rsidR="00E343D7" w:rsidRPr="00E343D7" w:rsidRDefault="00E343D7" w:rsidP="00E343D7">
      <w:pPr>
        <w:rPr>
          <w:rFonts w:ascii="Times New Roman" w:eastAsia="Times New Roman" w:hAnsi="Times New Roman" w:cs="Times New Roman"/>
        </w:rPr>
      </w:pPr>
    </w:p>
    <w:p w14:paraId="72488BD7" w14:textId="537F1C2E"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rPr>
        <w:t xml:space="preserve">Lastly, we </w:t>
      </w:r>
      <w:r w:rsidRPr="00E343D7">
        <w:rPr>
          <w:rFonts w:ascii="Calibri" w:eastAsia="Times New Roman" w:hAnsi="Calibri" w:cs="Calibri"/>
          <w:color w:val="434343"/>
        </w:rPr>
        <w:t>analyze</w:t>
      </w:r>
      <w:r w:rsidRPr="00E343D7">
        <w:rPr>
          <w:rFonts w:ascii="Calibri" w:eastAsia="Times New Roman" w:hAnsi="Calibri" w:cs="Calibri"/>
          <w:color w:val="434343"/>
        </w:rPr>
        <w:t xml:space="preserve"> the severity of illicit drugs and prescription drugs overdose in the US using the emergency room data. We calculate the size of ED visits related to drug abuse and the associated type of diagnosis. We also </w:t>
      </w:r>
      <w:r w:rsidRPr="00E343D7">
        <w:rPr>
          <w:rFonts w:ascii="Calibri" w:eastAsia="Times New Roman" w:hAnsi="Calibri" w:cs="Calibri"/>
          <w:color w:val="434343"/>
        </w:rPr>
        <w:t>analyze</w:t>
      </w:r>
      <w:r w:rsidRPr="00E343D7">
        <w:rPr>
          <w:rFonts w:ascii="Calibri" w:eastAsia="Times New Roman" w:hAnsi="Calibri" w:cs="Calibri"/>
          <w:color w:val="434343"/>
        </w:rPr>
        <w:t xml:space="preserve"> the distribution opioid and drug abuse across gender and location in the US.</w:t>
      </w:r>
    </w:p>
    <w:p w14:paraId="6429B2F6" w14:textId="77777777" w:rsidR="00E343D7" w:rsidRPr="00E343D7" w:rsidRDefault="00E343D7" w:rsidP="00E343D7">
      <w:pPr>
        <w:rPr>
          <w:rFonts w:ascii="Times New Roman" w:eastAsia="Times New Roman" w:hAnsi="Times New Roman" w:cs="Times New Roman"/>
        </w:rPr>
      </w:pPr>
    </w:p>
    <w:p w14:paraId="2EC36AF3" w14:textId="77777777" w:rsidR="00E343D7" w:rsidRPr="00E343D7" w:rsidRDefault="00E343D7" w:rsidP="00E343D7">
      <w:pPr>
        <w:spacing w:before="400" w:after="120"/>
        <w:outlineLvl w:val="0"/>
        <w:rPr>
          <w:rFonts w:ascii="Times New Roman" w:eastAsia="Times New Roman" w:hAnsi="Times New Roman" w:cs="Times New Roman"/>
          <w:b/>
          <w:bCs/>
          <w:kern w:val="36"/>
          <w:sz w:val="48"/>
          <w:szCs w:val="48"/>
        </w:rPr>
      </w:pPr>
      <w:r w:rsidRPr="00E343D7">
        <w:rPr>
          <w:rFonts w:ascii="Calibri" w:eastAsia="Times New Roman" w:hAnsi="Calibri" w:cs="Calibri"/>
          <w:b/>
          <w:bCs/>
          <w:color w:val="434343"/>
          <w:kern w:val="36"/>
          <w:sz w:val="40"/>
          <w:szCs w:val="40"/>
        </w:rPr>
        <w:t>Results and Discussions</w:t>
      </w:r>
    </w:p>
    <w:p w14:paraId="19EAAF1E" w14:textId="3CBDD455" w:rsidR="00E343D7" w:rsidRPr="00E343D7" w:rsidRDefault="00E343D7" w:rsidP="00E343D7">
      <w:pPr>
        <w:spacing w:before="360" w:after="120"/>
        <w:outlineLvl w:val="1"/>
        <w:rPr>
          <w:rFonts w:ascii="Times New Roman" w:eastAsia="Times New Roman" w:hAnsi="Times New Roman" w:cs="Times New Roman"/>
          <w:b/>
          <w:bCs/>
          <w:sz w:val="36"/>
          <w:szCs w:val="36"/>
        </w:rPr>
      </w:pPr>
      <w:r w:rsidRPr="00E343D7">
        <w:rPr>
          <w:rFonts w:ascii="Calibri" w:eastAsia="Times New Roman" w:hAnsi="Calibri" w:cs="Calibri"/>
          <w:color w:val="434343"/>
          <w:sz w:val="32"/>
          <w:szCs w:val="32"/>
        </w:rPr>
        <w:t>Patient vignettes</w:t>
      </w:r>
    </w:p>
    <w:p w14:paraId="5B4CC646" w14:textId="77777777" w:rsidR="00E343D7" w:rsidRPr="00E343D7" w:rsidRDefault="00E343D7" w:rsidP="00E343D7">
      <w:pPr>
        <w:numPr>
          <w:ilvl w:val="0"/>
          <w:numId w:val="1"/>
        </w:numPr>
        <w:spacing w:before="320" w:after="80"/>
        <w:textAlignment w:val="baseline"/>
        <w:outlineLvl w:val="2"/>
        <w:rPr>
          <w:rFonts w:ascii="Calibri" w:eastAsia="Times New Roman" w:hAnsi="Calibri" w:cs="Calibri"/>
          <w:b/>
          <w:bCs/>
          <w:color w:val="434343"/>
          <w:sz w:val="27"/>
          <w:szCs w:val="27"/>
        </w:rPr>
      </w:pPr>
      <w:r w:rsidRPr="00E343D7">
        <w:rPr>
          <w:rFonts w:ascii="Calibri" w:eastAsia="Times New Roman" w:hAnsi="Calibri" w:cs="Calibri"/>
          <w:b/>
          <w:bCs/>
          <w:color w:val="434343"/>
          <w:sz w:val="28"/>
          <w:szCs w:val="28"/>
        </w:rPr>
        <w:t>ID: 507033</w:t>
      </w:r>
    </w:p>
    <w:p w14:paraId="2B5F43FF"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 xml:space="preserve">This is a female patient within the age of 25-29 who lives in a city/town in Vermont. She voluntarily left her home and went to Northwestern Medical Center in the state. This patient went to the hospital as she was in labor. She was diagnosed with a </w:t>
      </w:r>
      <w:proofErr w:type="gramStart"/>
      <w:r w:rsidRPr="00E343D7">
        <w:rPr>
          <w:rFonts w:ascii="Calibri" w:eastAsia="Times New Roman" w:hAnsi="Calibri" w:cs="Calibri"/>
          <w:color w:val="434343"/>
        </w:rPr>
        <w:t>40 week</w:t>
      </w:r>
      <w:proofErr w:type="gramEnd"/>
      <w:r w:rsidRPr="00E343D7">
        <w:rPr>
          <w:rFonts w:ascii="Calibri" w:eastAsia="Times New Roman" w:hAnsi="Calibri" w:cs="Calibri"/>
          <w:color w:val="434343"/>
        </w:rPr>
        <w:t xml:space="preserve"> pregnancy due delivery. The doctors at the hospital rendered to her two services namely </w:t>
      </w:r>
      <w:r w:rsidRPr="00E343D7">
        <w:rPr>
          <w:rFonts w:ascii="Calibri" w:eastAsia="Times New Roman" w:hAnsi="Calibri" w:cs="Calibri"/>
          <w:i/>
          <w:iCs/>
          <w:color w:val="434343"/>
        </w:rPr>
        <w:t>“Delivery of Products of Conception, External Approach</w:t>
      </w:r>
      <w:r w:rsidRPr="00E343D7">
        <w:rPr>
          <w:rFonts w:ascii="Calibri" w:eastAsia="Times New Roman" w:hAnsi="Calibri" w:cs="Calibri"/>
          <w:color w:val="434343"/>
        </w:rPr>
        <w:t>” and “</w:t>
      </w:r>
      <w:r w:rsidRPr="00E343D7">
        <w:rPr>
          <w:rFonts w:ascii="Calibri" w:eastAsia="Times New Roman" w:hAnsi="Calibri" w:cs="Calibri"/>
          <w:i/>
          <w:iCs/>
          <w:color w:val="434343"/>
        </w:rPr>
        <w:t>Drainage of Amniotic Fluid, Therapeutic from Products of Conception, Via Natural or Artificial Opening”</w:t>
      </w:r>
      <w:r w:rsidRPr="00E343D7">
        <w:rPr>
          <w:rFonts w:ascii="Calibri" w:eastAsia="Times New Roman" w:hAnsi="Calibri" w:cs="Calibri"/>
          <w:color w:val="434343"/>
        </w:rPr>
        <w:t xml:space="preserve">. The patient successfully conceived a baby while admitted at the hospital. Her delivery proceeded without any complications and she was discharged home the following </w:t>
      </w:r>
      <w:proofErr w:type="spellStart"/>
      <w:proofErr w:type="gramStart"/>
      <w:r w:rsidRPr="00E343D7">
        <w:rPr>
          <w:rFonts w:ascii="Calibri" w:eastAsia="Times New Roman" w:hAnsi="Calibri" w:cs="Calibri"/>
          <w:color w:val="434343"/>
        </w:rPr>
        <w:t>day.The</w:t>
      </w:r>
      <w:proofErr w:type="spellEnd"/>
      <w:proofErr w:type="gramEnd"/>
      <w:r w:rsidRPr="00E343D7">
        <w:rPr>
          <w:rFonts w:ascii="Calibri" w:eastAsia="Times New Roman" w:hAnsi="Calibri" w:cs="Calibri"/>
          <w:color w:val="434343"/>
        </w:rPr>
        <w:t xml:space="preserve"> costs associated with this trip came up to $3,233.29 with </w:t>
      </w:r>
      <w:r w:rsidRPr="00E343D7">
        <w:rPr>
          <w:rFonts w:ascii="Calibri" w:eastAsia="Times New Roman" w:hAnsi="Calibri" w:cs="Calibri"/>
          <w:color w:val="434343"/>
        </w:rPr>
        <w:lastRenderedPageBreak/>
        <w:t>labor room charges accounting for the most at 39.4% ($1273.76). Here is a detailed breakdown of the costs that she incurred.</w:t>
      </w:r>
    </w:p>
    <w:p w14:paraId="6E93D8E8" w14:textId="59878E0E"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Room &amp; Board -Semi-Private 2 beds ($1002.13); Clinical Diagnostic ($341.00); Medical/Surgical Supplies: Sterile supplies ($334.33); Pharmacy: IV solutions ($92.10), Pharmacy ($83.44); Medical/Surgical Supplies ($75.22); and Pharmacy: Other ($31.31). Her principal payment source for this hospital visit is Blue Cross Insurance Company. Across the US, a baby delivery without complications costs $2,600 for those with health insurance. This brief exercise suggests that the cost of having a baby in Vermont might be higher than in other states. </w:t>
      </w:r>
    </w:p>
    <w:p w14:paraId="38F52A81" w14:textId="77777777" w:rsidR="00E343D7" w:rsidRPr="00E343D7" w:rsidRDefault="00E343D7" w:rsidP="00E343D7">
      <w:pPr>
        <w:numPr>
          <w:ilvl w:val="0"/>
          <w:numId w:val="2"/>
        </w:numPr>
        <w:spacing w:before="320" w:after="80"/>
        <w:jc w:val="both"/>
        <w:textAlignment w:val="baseline"/>
        <w:outlineLvl w:val="2"/>
        <w:rPr>
          <w:rFonts w:ascii="Calibri" w:eastAsia="Times New Roman" w:hAnsi="Calibri" w:cs="Calibri"/>
          <w:b/>
          <w:bCs/>
          <w:color w:val="434343"/>
          <w:sz w:val="27"/>
          <w:szCs w:val="27"/>
        </w:rPr>
      </w:pPr>
      <w:r w:rsidRPr="00E343D7">
        <w:rPr>
          <w:rFonts w:ascii="Calibri" w:eastAsia="Times New Roman" w:hAnsi="Calibri" w:cs="Calibri"/>
          <w:b/>
          <w:bCs/>
          <w:color w:val="434343"/>
          <w:sz w:val="28"/>
          <w:szCs w:val="28"/>
        </w:rPr>
        <w:t>ID: 40436</w:t>
      </w:r>
    </w:p>
    <w:p w14:paraId="306C5D5F" w14:textId="7952F7D1"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 xml:space="preserve">This patient, served by University of Vermont Medical Center, was transferred from a skilled nursing facility. This patient is an older lady, aged 70-74. The admission type is urgent. Doctors diagnosed that the patient had Atherosclerotic heart disease of native coronary artery without angina pectoris and Type 2 diabetes mellitus with diabetic neuropathy. In addition, this patient was diagnosed with Acute </w:t>
      </w:r>
      <w:proofErr w:type="spellStart"/>
      <w:r w:rsidRPr="00E343D7">
        <w:rPr>
          <w:rFonts w:ascii="Calibri" w:eastAsia="Times New Roman" w:hAnsi="Calibri" w:cs="Calibri"/>
          <w:color w:val="434343"/>
        </w:rPr>
        <w:t>posthemorrhagic</w:t>
      </w:r>
      <w:proofErr w:type="spellEnd"/>
      <w:r w:rsidRPr="00E343D7">
        <w:rPr>
          <w:rFonts w:ascii="Calibri" w:eastAsia="Times New Roman" w:hAnsi="Calibri" w:cs="Calibri"/>
          <w:color w:val="434343"/>
        </w:rPr>
        <w:t xml:space="preserve"> anemia, Hyperlipidemia and Unspecified asthma. This patient has some medical history that cannot be ignored. For example, this patient has Personal history of transient ischemic attack (TIA), cerebral infarction without residual deficits, and Family history of ischemic heart disease and other diseases of the circulatory system. After diagnosis, she underwent Percutaneous transluminal coronary angioplasty (PTCA), which are operations on the cardiovascular system. She just stayed in hospital for 1 day and was discharged home after that. Her primary payment source was MEDICARE and the total cost was $70,275.41. The cost includes Room &amp; Board ($1692), Pharmacy ($293.61), Medical/Surgical Supplies: Sterile supplies ($741.33), Medical/Surgical Supplies: Other implants ($10146.5), Laboratory-Clinical Diagnostic ($2226.59), Radiology Diagnostic ($348.82),Nuclear </w:t>
      </w:r>
      <w:proofErr w:type="spellStart"/>
      <w:r w:rsidRPr="00E343D7">
        <w:rPr>
          <w:rFonts w:ascii="Calibri" w:eastAsia="Times New Roman" w:hAnsi="Calibri" w:cs="Calibri"/>
          <w:color w:val="434343"/>
        </w:rPr>
        <w:t>Medicine:Diagnostic</w:t>
      </w:r>
      <w:proofErr w:type="spellEnd"/>
      <w:r w:rsidRPr="00E343D7">
        <w:rPr>
          <w:rFonts w:ascii="Calibri" w:eastAsia="Times New Roman" w:hAnsi="Calibri" w:cs="Calibri"/>
          <w:color w:val="434343"/>
        </w:rPr>
        <w:t xml:space="preserve">($5065),Diagnostic </w:t>
      </w:r>
      <w:proofErr w:type="spellStart"/>
      <w:r w:rsidRPr="00E343D7">
        <w:rPr>
          <w:rFonts w:ascii="Calibri" w:eastAsia="Times New Roman" w:hAnsi="Calibri" w:cs="Calibri"/>
          <w:color w:val="434343"/>
        </w:rPr>
        <w:t>Radiopharms</w:t>
      </w:r>
      <w:proofErr w:type="spellEnd"/>
      <w:r w:rsidRPr="00E343D7">
        <w:rPr>
          <w:rFonts w:ascii="Calibri" w:eastAsia="Times New Roman" w:hAnsi="Calibri" w:cs="Calibri"/>
          <w:color w:val="434343"/>
        </w:rPr>
        <w:t xml:space="preserve">($784), CT </w:t>
      </w:r>
      <w:proofErr w:type="spellStart"/>
      <w:r w:rsidRPr="00E343D7">
        <w:rPr>
          <w:rFonts w:ascii="Calibri" w:eastAsia="Times New Roman" w:hAnsi="Calibri" w:cs="Calibri"/>
          <w:color w:val="434343"/>
        </w:rPr>
        <w:t>Scan:body</w:t>
      </w:r>
      <w:proofErr w:type="spellEnd"/>
      <w:r w:rsidRPr="00E343D7">
        <w:rPr>
          <w:rFonts w:ascii="Calibri" w:eastAsia="Times New Roman" w:hAnsi="Calibri" w:cs="Calibri"/>
          <w:color w:val="434343"/>
        </w:rPr>
        <w:t xml:space="preserve"> ($4112.29),</w:t>
      </w:r>
      <w:r w:rsidRPr="00E343D7">
        <w:rPr>
          <w:rFonts w:ascii="Calibri" w:eastAsia="Times New Roman" w:hAnsi="Calibri" w:cs="Calibri"/>
          <w:color w:val="434343"/>
          <w:shd w:val="clear" w:color="auto" w:fill="FFFFFF"/>
        </w:rPr>
        <w:t>Other Imaging Services :Ultrasound ($764.38) ,Cardiology ($23,275.4) ,Cardiology: Cardiac catheter lab($8387.29),Cardiology: Stress test($238),Cardiology: Echocardiology ($2142.82),</w:t>
      </w:r>
      <w:r w:rsidRPr="00E343D7">
        <w:rPr>
          <w:rFonts w:ascii="Calibri" w:eastAsia="Times New Roman" w:hAnsi="Calibri" w:cs="Calibri"/>
          <w:color w:val="434343"/>
          <w:shd w:val="clear" w:color="auto" w:fill="F5F5F5"/>
        </w:rPr>
        <w:t>Drugs Require Specific ID: Drugs requiring det ($5703.7),Drugs Require Specific ID: Self admin drugs ($301.74),EKG/ECG ($104),Treatment/Observation Room: Observation room($3948).</w:t>
      </w:r>
    </w:p>
    <w:p w14:paraId="4846DC6E" w14:textId="77777777" w:rsidR="00E343D7" w:rsidRPr="00E343D7" w:rsidRDefault="00E343D7" w:rsidP="00E343D7">
      <w:pPr>
        <w:numPr>
          <w:ilvl w:val="0"/>
          <w:numId w:val="3"/>
        </w:numPr>
        <w:spacing w:before="320" w:after="80"/>
        <w:textAlignment w:val="baseline"/>
        <w:outlineLvl w:val="2"/>
        <w:rPr>
          <w:rFonts w:ascii="Calibri" w:eastAsia="Times New Roman" w:hAnsi="Calibri" w:cs="Calibri"/>
          <w:b/>
          <w:bCs/>
          <w:color w:val="434343"/>
          <w:sz w:val="27"/>
          <w:szCs w:val="27"/>
        </w:rPr>
      </w:pPr>
      <w:r w:rsidRPr="00E343D7">
        <w:rPr>
          <w:rFonts w:ascii="Calibri" w:eastAsia="Times New Roman" w:hAnsi="Calibri" w:cs="Calibri"/>
          <w:b/>
          <w:bCs/>
          <w:color w:val="434343"/>
          <w:sz w:val="28"/>
          <w:szCs w:val="28"/>
        </w:rPr>
        <w:t>ID: 859382</w:t>
      </w:r>
    </w:p>
    <w:p w14:paraId="01CB3ACE" w14:textId="7EFA0EEC"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 xml:space="preserve">In 2016 Q2, a male patient, aged between 30-34, living in 05700-05799 zip range, was first accepted by the emergency department of Rutland Regional Medical Center. His admission type was emergency and the admission source </w:t>
      </w:r>
      <w:proofErr w:type="gramStart"/>
      <w:r w:rsidRPr="00E343D7">
        <w:rPr>
          <w:rFonts w:ascii="Calibri" w:eastAsia="Times New Roman" w:hAnsi="Calibri" w:cs="Calibri"/>
          <w:color w:val="434343"/>
        </w:rPr>
        <w:t>is</w:t>
      </w:r>
      <w:proofErr w:type="gramEnd"/>
      <w:r w:rsidRPr="00E343D7">
        <w:rPr>
          <w:rFonts w:ascii="Calibri" w:eastAsia="Times New Roman" w:hAnsi="Calibri" w:cs="Calibri"/>
          <w:color w:val="434343"/>
        </w:rPr>
        <w:t xml:space="preserve"> a non-health care facility point of origin. He was discharged because he died later. His CCS diagnosis group was mental disorder. His primary diagnosis is accidental poisoning by heroin, other diagnosis </w:t>
      </w:r>
      <w:proofErr w:type="gramStart"/>
      <w:r w:rsidRPr="00E343D7">
        <w:rPr>
          <w:rFonts w:ascii="Calibri" w:eastAsia="Times New Roman" w:hAnsi="Calibri" w:cs="Calibri"/>
          <w:color w:val="434343"/>
        </w:rPr>
        <w:t>include</w:t>
      </w:r>
      <w:proofErr w:type="gramEnd"/>
      <w:r w:rsidRPr="00E343D7">
        <w:rPr>
          <w:rFonts w:ascii="Calibri" w:eastAsia="Times New Roman" w:hAnsi="Calibri" w:cs="Calibri"/>
          <w:color w:val="434343"/>
        </w:rPr>
        <w:t xml:space="preserve"> Acute respiratory failure with hypercapnia, compression of brain, Opioid dependence, Anoxic brain damage, ventricular fibrillation, and Cardiac arrest due to other underlying condition. The primary procedure is Respiratory Ventilation, other procedures include the Insertion of Endotracheal Airway into Trachea and Performance of Cardiac Output. After these procedures, this patient died on the day of admission or the day after admission. His primary payment source was self-pay. Bill type is hospital-based, inpatient final bill. His total charges </w:t>
      </w:r>
      <w:proofErr w:type="gramStart"/>
      <w:r w:rsidRPr="00E343D7">
        <w:rPr>
          <w:rFonts w:ascii="Calibri" w:eastAsia="Times New Roman" w:hAnsi="Calibri" w:cs="Calibri"/>
          <w:color w:val="434343"/>
        </w:rPr>
        <w:t>was</w:t>
      </w:r>
      <w:proofErr w:type="gramEnd"/>
      <w:r w:rsidRPr="00E343D7">
        <w:rPr>
          <w:rFonts w:ascii="Calibri" w:eastAsia="Times New Roman" w:hAnsi="Calibri" w:cs="Calibri"/>
          <w:color w:val="434343"/>
        </w:rPr>
        <w:t xml:space="preserve"> $13128.19, including Intensive care ($4450), Pharmacy ($923.99), Pharmacy IV solutions ($38.99), Laboratory - Clinical Diagnostic </w:t>
      </w:r>
      <w:r w:rsidRPr="00E343D7">
        <w:rPr>
          <w:rFonts w:ascii="Calibri" w:eastAsia="Times New Roman" w:hAnsi="Calibri" w:cs="Calibri"/>
          <w:color w:val="434343"/>
        </w:rPr>
        <w:lastRenderedPageBreak/>
        <w:t>($3339.63), Radiology - Diagnostic ($328), Respiratory Services ($2575.58), Emergency room ($1227) and EKG/ECG ($245). </w:t>
      </w:r>
    </w:p>
    <w:p w14:paraId="6C9BB073" w14:textId="77777777" w:rsidR="00E343D7" w:rsidRPr="00E343D7" w:rsidRDefault="00E343D7" w:rsidP="00E343D7">
      <w:pPr>
        <w:numPr>
          <w:ilvl w:val="0"/>
          <w:numId w:val="4"/>
        </w:numPr>
        <w:spacing w:before="320" w:after="80"/>
        <w:textAlignment w:val="baseline"/>
        <w:outlineLvl w:val="2"/>
        <w:rPr>
          <w:rFonts w:ascii="Calibri" w:eastAsia="Times New Roman" w:hAnsi="Calibri" w:cs="Calibri"/>
          <w:b/>
          <w:bCs/>
          <w:color w:val="434343"/>
          <w:sz w:val="27"/>
          <w:szCs w:val="27"/>
        </w:rPr>
      </w:pPr>
      <w:r w:rsidRPr="00E343D7">
        <w:rPr>
          <w:rFonts w:ascii="Calibri" w:eastAsia="Times New Roman" w:hAnsi="Calibri" w:cs="Calibri"/>
          <w:b/>
          <w:bCs/>
          <w:color w:val="434343"/>
          <w:sz w:val="28"/>
          <w:szCs w:val="28"/>
        </w:rPr>
        <w:t>ID: 1585831</w:t>
      </w:r>
    </w:p>
    <w:p w14:paraId="7496B90C" w14:textId="5A1B79A1"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 xml:space="preserve">The patient, previously never admitted by any healthcare facility on records, was served by North Country Hospital </w:t>
      </w:r>
      <w:proofErr w:type="gramStart"/>
      <w:r w:rsidRPr="00E343D7">
        <w:rPr>
          <w:rFonts w:ascii="Calibri" w:eastAsia="Times New Roman" w:hAnsi="Calibri" w:cs="Calibri"/>
          <w:color w:val="434343"/>
        </w:rPr>
        <w:t>And</w:t>
      </w:r>
      <w:proofErr w:type="gramEnd"/>
      <w:r w:rsidRPr="00E343D7">
        <w:rPr>
          <w:rFonts w:ascii="Calibri" w:eastAsia="Times New Roman" w:hAnsi="Calibri" w:cs="Calibri"/>
          <w:color w:val="434343"/>
        </w:rPr>
        <w:t xml:space="preserve"> Health Center and she lived in Middlebury. This patient was in her early 40s and was finally recorded as “</w:t>
      </w:r>
      <w:proofErr w:type="gramStart"/>
      <w:r w:rsidRPr="00E343D7">
        <w:rPr>
          <w:rFonts w:ascii="Calibri" w:eastAsia="Times New Roman" w:hAnsi="Calibri" w:cs="Calibri"/>
          <w:color w:val="434343"/>
        </w:rPr>
        <w:t>Dead”  in</w:t>
      </w:r>
      <w:proofErr w:type="gramEnd"/>
      <w:r w:rsidRPr="00E343D7">
        <w:rPr>
          <w:rFonts w:ascii="Calibri" w:eastAsia="Times New Roman" w:hAnsi="Calibri" w:cs="Calibri"/>
          <w:color w:val="434343"/>
        </w:rPr>
        <w:t xml:space="preserve"> the last quarter of 2016. Her admission type was emergency and her principal payment type was Medicaid. She had as many as 19 different diagnoses and 11 discharge on record. The patient had been diagnosed as unintentionally poisoning by heroin at the very first stage. Also, there appeared to be acute respiratory failure with </w:t>
      </w:r>
      <w:proofErr w:type="gramStart"/>
      <w:r w:rsidRPr="00E343D7">
        <w:rPr>
          <w:rFonts w:ascii="Calibri" w:eastAsia="Times New Roman" w:hAnsi="Calibri" w:cs="Calibri"/>
          <w:color w:val="434343"/>
        </w:rPr>
        <w:t>hypoxia,  acute</w:t>
      </w:r>
      <w:proofErr w:type="gramEnd"/>
      <w:r w:rsidRPr="00E343D7">
        <w:rPr>
          <w:rFonts w:ascii="Calibri" w:eastAsia="Times New Roman" w:hAnsi="Calibri" w:cs="Calibri"/>
          <w:color w:val="434343"/>
        </w:rPr>
        <w:t xml:space="preserve"> pulmonary edema and acute and subacute infective endocarditis in her diagnosis. We believe that the condition of the patient was quite complicated. She had a record of Failure of sterile precautions during infusion or transfusion, opioid dependence, uncomplicated, reimbursement purposes, poisoning by benzodiazepines, cardiac arrest due to other underlying condition, neurogenic shock, </w:t>
      </w:r>
      <w:proofErr w:type="gramStart"/>
      <w:r w:rsidRPr="00E343D7">
        <w:rPr>
          <w:rFonts w:ascii="Calibri" w:eastAsia="Times New Roman" w:hAnsi="Calibri" w:cs="Calibri"/>
          <w:color w:val="434343"/>
        </w:rPr>
        <w:t>etc..</w:t>
      </w:r>
      <w:proofErr w:type="gramEnd"/>
      <w:r w:rsidRPr="00E343D7">
        <w:rPr>
          <w:rFonts w:ascii="Calibri" w:eastAsia="Times New Roman" w:hAnsi="Calibri" w:cs="Calibri"/>
          <w:color w:val="434343"/>
        </w:rPr>
        <w:t xml:space="preserve"> For her discharge records, the patient first had intensive care of one unit and cost $4450. Later, in Pharmacy she had IV solution and other expenses, costing her $5600 respectively. In Med supplies charged to patient there was 5500 charges for Medical/Surgical Supplies. Among all charges on records, Emergency room was the most, being $6100. The total charge of her procedure was </w:t>
      </w:r>
      <w:proofErr w:type="gramStart"/>
      <w:r w:rsidRPr="00E343D7">
        <w:rPr>
          <w:rFonts w:ascii="Calibri" w:eastAsia="Times New Roman" w:hAnsi="Calibri" w:cs="Calibri"/>
          <w:color w:val="434343"/>
        </w:rPr>
        <w:t>$17093.8</w:t>
      </w:r>
      <w:proofErr w:type="gramEnd"/>
      <w:r w:rsidRPr="00E343D7">
        <w:rPr>
          <w:rFonts w:ascii="Calibri" w:eastAsia="Times New Roman" w:hAnsi="Calibri" w:cs="Calibri"/>
          <w:color w:val="434343"/>
        </w:rPr>
        <w:t xml:space="preserve"> and her bill type was Hospital base, Inpatient final bill. </w:t>
      </w:r>
    </w:p>
    <w:p w14:paraId="55460A2D" w14:textId="77777777" w:rsidR="00E343D7" w:rsidRPr="00E343D7" w:rsidRDefault="00E343D7" w:rsidP="00E343D7">
      <w:pPr>
        <w:numPr>
          <w:ilvl w:val="0"/>
          <w:numId w:val="5"/>
        </w:numPr>
        <w:spacing w:before="320" w:after="80"/>
        <w:textAlignment w:val="baseline"/>
        <w:outlineLvl w:val="2"/>
        <w:rPr>
          <w:rFonts w:ascii="Calibri" w:eastAsia="Times New Roman" w:hAnsi="Calibri" w:cs="Calibri"/>
          <w:b/>
          <w:bCs/>
          <w:color w:val="434343"/>
          <w:sz w:val="27"/>
          <w:szCs w:val="27"/>
        </w:rPr>
      </w:pPr>
      <w:r w:rsidRPr="00E343D7">
        <w:rPr>
          <w:rFonts w:ascii="Calibri" w:eastAsia="Times New Roman" w:hAnsi="Calibri" w:cs="Calibri"/>
          <w:b/>
          <w:bCs/>
          <w:color w:val="434343"/>
          <w:sz w:val="28"/>
          <w:szCs w:val="28"/>
        </w:rPr>
        <w:t>ID: 200760</w:t>
      </w:r>
    </w:p>
    <w:p w14:paraId="7D0A681A" w14:textId="6B16061A"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The patient, served by University of Vermont Medical Center, was from non-health care facility point with emergent health condition. She, a 18-24 years old young lady, had gone through a motor-vehicle accident. She accepted diagnosis in the medical center where it was found that displaced fracture of medical malleolus of left tibia and unspecified fracture of shaft of left fibula. During the diagnosis process, doctor also diagnosed that the patient had major depressive disorder and gastro-esophageal reflux disease. After that, the doctor gave her a reposition on left tibia and fibula with internal fixation device. She stayed in the hospital for 4 days and was discharged home afterwards. Her charge by the hospital was over $49K, whose costs included Room &amp; Board ($6768), Pharmacy ($1387.36), Medical/Surgical Supplies: Sterile supplies ($409.96), Medical/Surgical Supplies: Other implants ($10696.77), Laboratory-Clinical Diagnostic ($610.08), Radiology Diagnostic ($833.28), Operating Room Services ($14055.8), Anesthesia ($2590.07), Physical Therapy ($138.63), Physical Therapy: Evaluation/re-evaluation ($350.34), and Emergency Room ($2582.43). The costs were covered by her commercial insurance. </w:t>
      </w:r>
    </w:p>
    <w:p w14:paraId="13489EAA" w14:textId="77777777" w:rsidR="00E343D7" w:rsidRPr="00E343D7" w:rsidRDefault="00E343D7" w:rsidP="00E343D7">
      <w:pPr>
        <w:numPr>
          <w:ilvl w:val="0"/>
          <w:numId w:val="6"/>
        </w:numPr>
        <w:spacing w:before="320" w:after="80"/>
        <w:textAlignment w:val="baseline"/>
        <w:outlineLvl w:val="2"/>
        <w:rPr>
          <w:rFonts w:ascii="Calibri" w:eastAsia="Times New Roman" w:hAnsi="Calibri" w:cs="Calibri"/>
          <w:b/>
          <w:bCs/>
          <w:color w:val="434343"/>
          <w:sz w:val="27"/>
          <w:szCs w:val="27"/>
        </w:rPr>
      </w:pPr>
      <w:r w:rsidRPr="00E343D7">
        <w:rPr>
          <w:rFonts w:ascii="Calibri" w:eastAsia="Times New Roman" w:hAnsi="Calibri" w:cs="Calibri"/>
          <w:b/>
          <w:bCs/>
          <w:color w:val="434343"/>
          <w:sz w:val="28"/>
          <w:szCs w:val="28"/>
        </w:rPr>
        <w:t>ID: 3692</w:t>
      </w:r>
    </w:p>
    <w:p w14:paraId="47F297F3" w14:textId="46F513DF"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 xml:space="preserve">The patient with ID 3692, a young male, whose age is between 18-24, was transferred to the University of Vermont Medical Center from a non-health care facility due to urgent issues. When admitted to the medical center, he was first accepted by the emergency room and was diagnosed as having mental disorders. The primary diagnosis included bipolar disorder, suicidal ideations, traumatic brain injury, cannabis dependence, and nicotine dependence, </w:t>
      </w:r>
      <w:proofErr w:type="gramStart"/>
      <w:r w:rsidRPr="00E343D7">
        <w:rPr>
          <w:rFonts w:ascii="Calibri" w:eastAsia="Times New Roman" w:hAnsi="Calibri" w:cs="Calibri"/>
          <w:color w:val="434343"/>
        </w:rPr>
        <w:t>etc..</w:t>
      </w:r>
      <w:proofErr w:type="gramEnd"/>
      <w:r w:rsidRPr="00E343D7">
        <w:rPr>
          <w:rFonts w:ascii="Calibri" w:eastAsia="Times New Roman" w:hAnsi="Calibri" w:cs="Calibri"/>
          <w:color w:val="434343"/>
        </w:rPr>
        <w:t xml:space="preserve"> During his time in </w:t>
      </w:r>
      <w:r w:rsidRPr="00E343D7">
        <w:rPr>
          <w:rFonts w:ascii="Calibri" w:eastAsia="Times New Roman" w:hAnsi="Calibri" w:cs="Calibri"/>
          <w:color w:val="434343"/>
        </w:rPr>
        <w:lastRenderedPageBreak/>
        <w:t xml:space="preserve">the hospital, he underwent a series of alcohol and drug rehabilitation treatments, which involves pharmacotherapy for substance abuse and detoxification services for substance abuse. After a 58-day inpatient hospital stay, he was then discharged home during the time period between October and December in 2016. He had his insurance covered by Blue Cross Blue Shield insurance company. His total charges </w:t>
      </w:r>
      <w:proofErr w:type="gramStart"/>
      <w:r w:rsidRPr="00E343D7">
        <w:rPr>
          <w:rFonts w:ascii="Calibri" w:eastAsia="Times New Roman" w:hAnsi="Calibri" w:cs="Calibri"/>
          <w:color w:val="434343"/>
        </w:rPr>
        <w:t>was</w:t>
      </w:r>
      <w:proofErr w:type="gramEnd"/>
      <w:r w:rsidRPr="00E343D7">
        <w:rPr>
          <w:rFonts w:ascii="Calibri" w:eastAsia="Times New Roman" w:hAnsi="Calibri" w:cs="Calibri"/>
          <w:color w:val="434343"/>
        </w:rPr>
        <w:t xml:space="preserve"> $117895.3, including Psychiatric ($106662.00), Pharmacy ($5608.26), Laboratory - Clinical Diagnostic ($1716.92), Radiology - Diagnostic ($1873.08), Emergency Room ($1983.03), and EKG/ECG ($52.00). </w:t>
      </w:r>
    </w:p>
    <w:p w14:paraId="40BC112E" w14:textId="77777777" w:rsidR="00E343D7" w:rsidRPr="00E343D7" w:rsidRDefault="00E343D7" w:rsidP="00E343D7">
      <w:pPr>
        <w:numPr>
          <w:ilvl w:val="0"/>
          <w:numId w:val="7"/>
        </w:numPr>
        <w:spacing w:before="320" w:after="80"/>
        <w:textAlignment w:val="baseline"/>
        <w:outlineLvl w:val="2"/>
        <w:rPr>
          <w:rFonts w:ascii="Calibri" w:eastAsia="Times New Roman" w:hAnsi="Calibri" w:cs="Calibri"/>
          <w:b/>
          <w:bCs/>
          <w:color w:val="434343"/>
          <w:sz w:val="27"/>
          <w:szCs w:val="27"/>
        </w:rPr>
      </w:pPr>
      <w:r w:rsidRPr="00E343D7">
        <w:rPr>
          <w:rFonts w:ascii="Calibri" w:eastAsia="Times New Roman" w:hAnsi="Calibri" w:cs="Calibri"/>
          <w:b/>
          <w:bCs/>
          <w:color w:val="434343"/>
          <w:sz w:val="28"/>
          <w:szCs w:val="28"/>
        </w:rPr>
        <w:t>ID: 690326</w:t>
      </w:r>
    </w:p>
    <w:p w14:paraId="09EBEBA1"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The patient, a middle-aged female with an ID of 690326, whose age is between 40-44, was transferred to the University of Vermont Medical Center from a non-health care facility due to urgent issues. When admitted to the medical center, she was first accepted by the emergency room and was diagnosed as having diseases of the Skin, Subcutaneous Tissue &amp; Breast without complication or comorbidity (CC) or a major complication or comorbidity (MCC). The primary diagnosis included encounter for cosmetic surgery, pruritus, tachycardia, other muscle spasms, and bariatric surgery. During her time in the hospital, she underwent a series of therapeutic procedures on skin and breast. The doctors at the hospital rendered to her two services that are an alteration of bilateral breast and an alteration of the abdominal wall. After a 3-day inpatient hospital stay, she was then discharged home in 2016. She self-paid the bill of all the treatment she received possibly because of the nature of the treatment. Her entire charges was $43425.53, including Room &amp; Board (Semi-Private 2 beds) ($5076.00), Pharmacy ($1351.25), Medical/Surgical Supplies: Nonsterile supplies ($146.18), Medical/Surgical Supplies: Sterile supplies ($642.32), Laboratory - Clinical Diagnostic ($327.75), Laboratory - Pathology ($273.98), CT Scan: Body ($3273.01), Operating Room Services ($25619.89), Anesthesia($4609.64), and Respiratory Services ($111.68). </w:t>
      </w:r>
    </w:p>
    <w:p w14:paraId="3ABB31C4" w14:textId="0D738B41" w:rsidR="00E343D7" w:rsidRDefault="00E343D7" w:rsidP="00E343D7">
      <w:pPr>
        <w:rPr>
          <w:rFonts w:ascii="Times New Roman" w:eastAsia="Times New Roman" w:hAnsi="Times New Roman" w:cs="Times New Roman"/>
        </w:rPr>
      </w:pPr>
    </w:p>
    <w:p w14:paraId="24B1FACE" w14:textId="5AEF8188" w:rsidR="00E343D7" w:rsidRDefault="00E343D7" w:rsidP="00E343D7">
      <w:pPr>
        <w:rPr>
          <w:rFonts w:ascii="Times New Roman" w:eastAsia="Times New Roman" w:hAnsi="Times New Roman" w:cs="Times New Roman"/>
        </w:rPr>
      </w:pPr>
    </w:p>
    <w:p w14:paraId="3149304C" w14:textId="5FCEB10B" w:rsidR="00E343D7" w:rsidRDefault="00E343D7" w:rsidP="00E343D7">
      <w:pPr>
        <w:rPr>
          <w:rFonts w:ascii="Times New Roman" w:eastAsia="Times New Roman" w:hAnsi="Times New Roman" w:cs="Times New Roman"/>
        </w:rPr>
      </w:pPr>
    </w:p>
    <w:p w14:paraId="176AE03F" w14:textId="7A297DEA" w:rsidR="00E343D7" w:rsidRDefault="00E343D7" w:rsidP="00E343D7">
      <w:pPr>
        <w:rPr>
          <w:rFonts w:ascii="Times New Roman" w:eastAsia="Times New Roman" w:hAnsi="Times New Roman" w:cs="Times New Roman"/>
        </w:rPr>
      </w:pPr>
    </w:p>
    <w:p w14:paraId="24D08095" w14:textId="6DE1904B" w:rsidR="00E343D7" w:rsidRDefault="00E343D7" w:rsidP="00E343D7">
      <w:pPr>
        <w:rPr>
          <w:rFonts w:ascii="Times New Roman" w:eastAsia="Times New Roman" w:hAnsi="Times New Roman" w:cs="Times New Roman"/>
        </w:rPr>
      </w:pPr>
    </w:p>
    <w:p w14:paraId="016987FC" w14:textId="4892700A" w:rsidR="00E343D7" w:rsidRDefault="00E343D7" w:rsidP="00E343D7">
      <w:pPr>
        <w:rPr>
          <w:rFonts w:ascii="Times New Roman" w:eastAsia="Times New Roman" w:hAnsi="Times New Roman" w:cs="Times New Roman"/>
        </w:rPr>
      </w:pPr>
    </w:p>
    <w:p w14:paraId="34E110E4" w14:textId="3951D74A" w:rsidR="00E343D7" w:rsidRDefault="00E343D7" w:rsidP="00E343D7">
      <w:pPr>
        <w:rPr>
          <w:rFonts w:ascii="Times New Roman" w:eastAsia="Times New Roman" w:hAnsi="Times New Roman" w:cs="Times New Roman"/>
        </w:rPr>
      </w:pPr>
    </w:p>
    <w:p w14:paraId="13BD1145" w14:textId="574C404F" w:rsidR="00E343D7" w:rsidRDefault="00E343D7" w:rsidP="00E343D7">
      <w:pPr>
        <w:rPr>
          <w:rFonts w:ascii="Times New Roman" w:eastAsia="Times New Roman" w:hAnsi="Times New Roman" w:cs="Times New Roman"/>
        </w:rPr>
      </w:pPr>
    </w:p>
    <w:p w14:paraId="234BF20A" w14:textId="33912D38" w:rsidR="00E343D7" w:rsidRDefault="00E343D7" w:rsidP="00E343D7">
      <w:pPr>
        <w:rPr>
          <w:rFonts w:ascii="Times New Roman" w:eastAsia="Times New Roman" w:hAnsi="Times New Roman" w:cs="Times New Roman"/>
        </w:rPr>
      </w:pPr>
    </w:p>
    <w:p w14:paraId="71004F0A" w14:textId="33E51B75" w:rsidR="00E343D7" w:rsidRDefault="00E343D7" w:rsidP="00E343D7">
      <w:pPr>
        <w:rPr>
          <w:rFonts w:ascii="Times New Roman" w:eastAsia="Times New Roman" w:hAnsi="Times New Roman" w:cs="Times New Roman"/>
        </w:rPr>
      </w:pPr>
    </w:p>
    <w:p w14:paraId="775B35D6" w14:textId="012D46E3" w:rsidR="00E343D7" w:rsidRDefault="00E343D7" w:rsidP="00E343D7">
      <w:pPr>
        <w:rPr>
          <w:rFonts w:ascii="Times New Roman" w:eastAsia="Times New Roman" w:hAnsi="Times New Roman" w:cs="Times New Roman"/>
        </w:rPr>
      </w:pPr>
    </w:p>
    <w:p w14:paraId="4105148F" w14:textId="7AF27E39" w:rsidR="00E343D7" w:rsidRDefault="00E343D7" w:rsidP="00E343D7">
      <w:pPr>
        <w:rPr>
          <w:rFonts w:ascii="Times New Roman" w:eastAsia="Times New Roman" w:hAnsi="Times New Roman" w:cs="Times New Roman"/>
        </w:rPr>
      </w:pPr>
    </w:p>
    <w:p w14:paraId="43E158ED" w14:textId="371D5EA1" w:rsidR="00E343D7" w:rsidRDefault="00E343D7" w:rsidP="00E343D7">
      <w:pPr>
        <w:rPr>
          <w:rFonts w:ascii="Times New Roman" w:eastAsia="Times New Roman" w:hAnsi="Times New Roman" w:cs="Times New Roman"/>
        </w:rPr>
      </w:pPr>
    </w:p>
    <w:p w14:paraId="7CC41ADB" w14:textId="0A4731A2" w:rsidR="00E343D7" w:rsidRDefault="00E343D7" w:rsidP="00E343D7">
      <w:pPr>
        <w:rPr>
          <w:rFonts w:ascii="Times New Roman" w:eastAsia="Times New Roman" w:hAnsi="Times New Roman" w:cs="Times New Roman"/>
        </w:rPr>
      </w:pPr>
    </w:p>
    <w:p w14:paraId="6847C0E2" w14:textId="23BF7E50" w:rsidR="00E343D7" w:rsidRDefault="00E343D7" w:rsidP="00E343D7">
      <w:pPr>
        <w:rPr>
          <w:rFonts w:ascii="Times New Roman" w:eastAsia="Times New Roman" w:hAnsi="Times New Roman" w:cs="Times New Roman"/>
        </w:rPr>
      </w:pPr>
    </w:p>
    <w:p w14:paraId="045D7F3C" w14:textId="11E6CECE" w:rsidR="00E343D7" w:rsidRDefault="00E343D7" w:rsidP="00E343D7">
      <w:pPr>
        <w:rPr>
          <w:rFonts w:ascii="Times New Roman" w:eastAsia="Times New Roman" w:hAnsi="Times New Roman" w:cs="Times New Roman"/>
        </w:rPr>
      </w:pPr>
    </w:p>
    <w:p w14:paraId="5E987C8A" w14:textId="1AEEB3D2" w:rsidR="00E343D7" w:rsidRDefault="00E343D7" w:rsidP="00E343D7">
      <w:pPr>
        <w:rPr>
          <w:rFonts w:ascii="Times New Roman" w:eastAsia="Times New Roman" w:hAnsi="Times New Roman" w:cs="Times New Roman"/>
        </w:rPr>
      </w:pPr>
    </w:p>
    <w:p w14:paraId="5275322A" w14:textId="77777777" w:rsidR="00E343D7" w:rsidRPr="00E343D7" w:rsidRDefault="00E343D7" w:rsidP="00E343D7">
      <w:pPr>
        <w:rPr>
          <w:rFonts w:ascii="Times New Roman" w:eastAsia="Times New Roman" w:hAnsi="Times New Roman" w:cs="Times New Roman"/>
        </w:rPr>
      </w:pPr>
    </w:p>
    <w:p w14:paraId="3A710179" w14:textId="390199BC" w:rsidR="00E343D7" w:rsidRPr="00E343D7" w:rsidRDefault="00E343D7" w:rsidP="00E343D7">
      <w:pPr>
        <w:spacing w:before="360" w:after="120"/>
        <w:outlineLvl w:val="1"/>
        <w:rPr>
          <w:rFonts w:ascii="Times New Roman" w:eastAsia="Times New Roman" w:hAnsi="Times New Roman" w:cs="Times New Roman"/>
          <w:b/>
          <w:bCs/>
          <w:sz w:val="36"/>
          <w:szCs w:val="36"/>
        </w:rPr>
      </w:pPr>
      <w:r w:rsidRPr="00E343D7">
        <w:rPr>
          <w:rFonts w:ascii="Calibri" w:eastAsia="Times New Roman" w:hAnsi="Calibri" w:cs="Calibri"/>
          <w:b/>
          <w:bCs/>
          <w:color w:val="434343"/>
          <w:sz w:val="32"/>
          <w:szCs w:val="32"/>
        </w:rPr>
        <w:lastRenderedPageBreak/>
        <w:t xml:space="preserve"> Service and Cost Profile Of major insurances</w:t>
      </w:r>
    </w:p>
    <w:p w14:paraId="1C524D8F" w14:textId="77777777" w:rsidR="00E343D7" w:rsidRPr="00E343D7" w:rsidRDefault="00E343D7" w:rsidP="00E343D7">
      <w:pPr>
        <w:numPr>
          <w:ilvl w:val="0"/>
          <w:numId w:val="8"/>
        </w:numPr>
        <w:spacing w:before="320" w:after="80"/>
        <w:textAlignment w:val="baseline"/>
        <w:outlineLvl w:val="2"/>
        <w:rPr>
          <w:rFonts w:ascii="Calibri" w:eastAsia="Times New Roman" w:hAnsi="Calibri" w:cs="Calibri"/>
          <w:b/>
          <w:bCs/>
          <w:color w:val="434343"/>
          <w:sz w:val="27"/>
          <w:szCs w:val="27"/>
        </w:rPr>
      </w:pPr>
      <w:r w:rsidRPr="00E343D7">
        <w:rPr>
          <w:rFonts w:ascii="Calibri" w:eastAsia="Times New Roman" w:hAnsi="Calibri" w:cs="Calibri"/>
          <w:b/>
          <w:bCs/>
          <w:color w:val="434343"/>
          <w:sz w:val="28"/>
          <w:szCs w:val="28"/>
        </w:rPr>
        <w:t>Medicare</w:t>
      </w:r>
    </w:p>
    <w:p w14:paraId="1C762F2F" w14:textId="5A68CBFF"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sz w:val="22"/>
          <w:szCs w:val="22"/>
          <w:bdr w:val="none" w:sz="0" w:space="0" w:color="auto" w:frame="1"/>
        </w:rPr>
        <w:fldChar w:fldCharType="begin"/>
      </w:r>
      <w:r w:rsidRPr="00E343D7">
        <w:rPr>
          <w:rFonts w:ascii="Calibri" w:eastAsia="Times New Roman" w:hAnsi="Calibri" w:cs="Calibri"/>
          <w:color w:val="434343"/>
          <w:sz w:val="22"/>
          <w:szCs w:val="22"/>
          <w:bdr w:val="none" w:sz="0" w:space="0" w:color="auto" w:frame="1"/>
        </w:rPr>
        <w:instrText xml:space="preserve"> INCLUDEPICTURE "https://lh6.googleusercontent.com/UAqvY_poNpC2nvZUfRUbt70eERkJzc_JyZtaMp7a91ZeqFnsXBq9BB0TJryK0U8rcwFoMrSq21koLGMxpzfcaQrBziDrop-LuJCN4I3xJvO1aCuTwbhPDyXVBpM0JL5Zu59ASZ00" \* MERGEFORMATINET </w:instrText>
      </w:r>
      <w:r w:rsidRPr="00E343D7">
        <w:rPr>
          <w:rFonts w:ascii="Calibri" w:eastAsia="Times New Roman" w:hAnsi="Calibri" w:cs="Calibri"/>
          <w:color w:val="434343"/>
          <w:sz w:val="22"/>
          <w:szCs w:val="22"/>
          <w:bdr w:val="none" w:sz="0" w:space="0" w:color="auto" w:frame="1"/>
        </w:rPr>
        <w:fldChar w:fldCharType="separate"/>
      </w:r>
      <w:r w:rsidRPr="00E343D7">
        <w:rPr>
          <w:rFonts w:ascii="Calibri" w:eastAsia="Times New Roman" w:hAnsi="Calibri" w:cs="Calibri"/>
          <w:noProof/>
          <w:color w:val="434343"/>
          <w:sz w:val="22"/>
          <w:szCs w:val="22"/>
          <w:bdr w:val="none" w:sz="0" w:space="0" w:color="auto" w:frame="1"/>
        </w:rPr>
        <w:drawing>
          <wp:inline distT="0" distB="0" distL="0" distR="0" wp14:anchorId="44F42579" wp14:editId="1A888CE2">
            <wp:extent cx="4387174" cy="3030712"/>
            <wp:effectExtent l="0" t="0" r="0" b="508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5322" cy="3043249"/>
                    </a:xfrm>
                    <a:prstGeom prst="rect">
                      <a:avLst/>
                    </a:prstGeom>
                    <a:noFill/>
                    <a:ln>
                      <a:noFill/>
                    </a:ln>
                  </pic:spPr>
                </pic:pic>
              </a:graphicData>
            </a:graphic>
          </wp:inline>
        </w:drawing>
      </w:r>
      <w:r w:rsidRPr="00E343D7">
        <w:rPr>
          <w:rFonts w:ascii="Calibri" w:eastAsia="Times New Roman" w:hAnsi="Calibri" w:cs="Calibri"/>
          <w:color w:val="434343"/>
          <w:sz w:val="22"/>
          <w:szCs w:val="22"/>
          <w:bdr w:val="none" w:sz="0" w:space="0" w:color="auto" w:frame="1"/>
        </w:rPr>
        <w:fldChar w:fldCharType="end"/>
      </w:r>
    </w:p>
    <w:p w14:paraId="7CFCD571" w14:textId="77777777" w:rsidR="00E343D7" w:rsidRPr="00E343D7" w:rsidRDefault="00E343D7" w:rsidP="00E343D7">
      <w:pPr>
        <w:jc w:val="center"/>
        <w:rPr>
          <w:rFonts w:ascii="Times New Roman" w:eastAsia="Times New Roman" w:hAnsi="Times New Roman" w:cs="Times New Roman"/>
        </w:rPr>
      </w:pPr>
      <w:r w:rsidRPr="00E343D7">
        <w:rPr>
          <w:rFonts w:ascii="Calibri" w:eastAsia="Times New Roman" w:hAnsi="Calibri" w:cs="Calibri"/>
          <w:color w:val="434343"/>
          <w:sz w:val="22"/>
          <w:szCs w:val="22"/>
        </w:rPr>
        <w:t>Figure 2.1</w:t>
      </w:r>
    </w:p>
    <w:p w14:paraId="0A95592C" w14:textId="77777777" w:rsidR="00E343D7" w:rsidRPr="00E343D7" w:rsidRDefault="00E343D7" w:rsidP="00E343D7">
      <w:pPr>
        <w:rPr>
          <w:rFonts w:ascii="Times New Roman" w:eastAsia="Times New Roman" w:hAnsi="Times New Roman" w:cs="Times New Roman"/>
        </w:rPr>
      </w:pPr>
    </w:p>
    <w:p w14:paraId="1E8AB00C"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Medicare is primarily known as the United States federal health insurance program that is available to the senior US citizen who is 65-year-old or older. On top of this, Medicare also offers health coverage to people who have a disability, regardless of their income. Bearing those thoughts in mind, we hypothesize that the most common MDC’s covered by Medicare reflect the most prevalent diseases among the elder.  It comes as no surprise that, as is shown in the pie chart, Musculoskeletal and Heart &amp; Circulatory relevant diseases are the two major problems, together accounting for more than 40% of all major diagnostic categories. Brain &amp; Central Nervous System related diseases come in third place. According to MedlinePlus, as we age, our brains and spinal cord lose nerve cells and weight, and this can cause abnormal changes in the brain called plaques and tangles to form. The fact that aging can affect your senses and possibly lead to diseases further validates our assumption that the major components in the charts are diseases the elder tend to suffer.</w:t>
      </w:r>
    </w:p>
    <w:p w14:paraId="499085A4" w14:textId="77777777" w:rsidR="00E343D7" w:rsidRPr="00E343D7" w:rsidRDefault="00E343D7" w:rsidP="00E343D7">
      <w:pPr>
        <w:numPr>
          <w:ilvl w:val="0"/>
          <w:numId w:val="9"/>
        </w:numPr>
        <w:spacing w:before="320" w:after="80"/>
        <w:textAlignment w:val="baseline"/>
        <w:outlineLvl w:val="2"/>
        <w:rPr>
          <w:rFonts w:ascii="Calibri" w:eastAsia="Times New Roman" w:hAnsi="Calibri" w:cs="Calibri"/>
          <w:b/>
          <w:bCs/>
          <w:color w:val="434343"/>
          <w:sz w:val="27"/>
          <w:szCs w:val="27"/>
        </w:rPr>
      </w:pPr>
      <w:r w:rsidRPr="00E343D7">
        <w:rPr>
          <w:rFonts w:ascii="Calibri" w:eastAsia="Times New Roman" w:hAnsi="Calibri" w:cs="Calibri"/>
          <w:b/>
          <w:bCs/>
          <w:color w:val="434343"/>
          <w:sz w:val="28"/>
          <w:szCs w:val="28"/>
        </w:rPr>
        <w:t>Medicaid</w:t>
      </w:r>
    </w:p>
    <w:p w14:paraId="4863B0C8" w14:textId="4C428E4A"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sz w:val="22"/>
          <w:szCs w:val="22"/>
          <w:bdr w:val="none" w:sz="0" w:space="0" w:color="auto" w:frame="1"/>
        </w:rPr>
        <w:lastRenderedPageBreak/>
        <w:fldChar w:fldCharType="begin"/>
      </w:r>
      <w:r w:rsidRPr="00E343D7">
        <w:rPr>
          <w:rFonts w:ascii="Calibri" w:eastAsia="Times New Roman" w:hAnsi="Calibri" w:cs="Calibri"/>
          <w:color w:val="434343"/>
          <w:sz w:val="22"/>
          <w:szCs w:val="22"/>
          <w:bdr w:val="none" w:sz="0" w:space="0" w:color="auto" w:frame="1"/>
        </w:rPr>
        <w:instrText xml:space="preserve"> INCLUDEPICTURE "https://lh5.googleusercontent.com/uFp4e7Mf_hysPktlmttMEcP6GEY4ZG03N9PA6G_7JXCjMiuHBCYuLRk0jqH1rQ6S4tIMreWi0a1OCYn40R1y-94988vFJf5ZwC8zitwjiwosG08FTyxD9xqiAujY0Nb-Id0yGkVw" \* MERGEFORMATINET </w:instrText>
      </w:r>
      <w:r w:rsidRPr="00E343D7">
        <w:rPr>
          <w:rFonts w:ascii="Calibri" w:eastAsia="Times New Roman" w:hAnsi="Calibri" w:cs="Calibri"/>
          <w:color w:val="434343"/>
          <w:sz w:val="22"/>
          <w:szCs w:val="22"/>
          <w:bdr w:val="none" w:sz="0" w:space="0" w:color="auto" w:frame="1"/>
        </w:rPr>
        <w:fldChar w:fldCharType="separate"/>
      </w:r>
      <w:r w:rsidRPr="00E343D7">
        <w:rPr>
          <w:rFonts w:ascii="Calibri" w:eastAsia="Times New Roman" w:hAnsi="Calibri" w:cs="Calibri"/>
          <w:noProof/>
          <w:color w:val="434343"/>
          <w:sz w:val="22"/>
          <w:szCs w:val="22"/>
          <w:bdr w:val="none" w:sz="0" w:space="0" w:color="auto" w:frame="1"/>
        </w:rPr>
        <w:drawing>
          <wp:inline distT="0" distB="0" distL="0" distR="0" wp14:anchorId="654E5A23" wp14:editId="42A9C23E">
            <wp:extent cx="4679004" cy="2795906"/>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7438" cy="2806921"/>
                    </a:xfrm>
                    <a:prstGeom prst="rect">
                      <a:avLst/>
                    </a:prstGeom>
                    <a:noFill/>
                    <a:ln>
                      <a:noFill/>
                    </a:ln>
                  </pic:spPr>
                </pic:pic>
              </a:graphicData>
            </a:graphic>
          </wp:inline>
        </w:drawing>
      </w:r>
      <w:r w:rsidRPr="00E343D7">
        <w:rPr>
          <w:rFonts w:ascii="Calibri" w:eastAsia="Times New Roman" w:hAnsi="Calibri" w:cs="Calibri"/>
          <w:color w:val="434343"/>
          <w:sz w:val="22"/>
          <w:szCs w:val="22"/>
          <w:bdr w:val="none" w:sz="0" w:space="0" w:color="auto" w:frame="1"/>
        </w:rPr>
        <w:fldChar w:fldCharType="end"/>
      </w:r>
    </w:p>
    <w:p w14:paraId="3381B815" w14:textId="77777777" w:rsidR="00E343D7" w:rsidRPr="00E343D7" w:rsidRDefault="00E343D7" w:rsidP="00E343D7">
      <w:pPr>
        <w:jc w:val="center"/>
        <w:rPr>
          <w:rFonts w:ascii="Times New Roman" w:eastAsia="Times New Roman" w:hAnsi="Times New Roman" w:cs="Times New Roman"/>
        </w:rPr>
      </w:pPr>
      <w:r w:rsidRPr="00E343D7">
        <w:rPr>
          <w:rFonts w:ascii="Calibri" w:eastAsia="Times New Roman" w:hAnsi="Calibri" w:cs="Calibri"/>
          <w:color w:val="434343"/>
          <w:sz w:val="22"/>
          <w:szCs w:val="22"/>
        </w:rPr>
        <w:t>Figure 2.2</w:t>
      </w:r>
    </w:p>
    <w:p w14:paraId="127FC5CA" w14:textId="77777777" w:rsidR="00E343D7" w:rsidRPr="00E343D7" w:rsidRDefault="00E343D7" w:rsidP="00E343D7">
      <w:pPr>
        <w:rPr>
          <w:rFonts w:ascii="Times New Roman" w:eastAsia="Times New Roman" w:hAnsi="Times New Roman" w:cs="Times New Roman"/>
        </w:rPr>
      </w:pPr>
    </w:p>
    <w:p w14:paraId="4AD386C9"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 xml:space="preserve">Medicaid is different from Medicare, which is a state and federal program that provides health coverage if you have a very low income. From this pie chart, we can notice that SPLEEN &amp; BLOOD and MENTAL ILLNESS have the highest proportion. Our assumption is that low income people may drink more often and not have a particularly stable life, which may lead to spleen &amp; blood problems. Meanwhile, low-income people face huge life pressure compared with </w:t>
      </w:r>
      <w:proofErr w:type="gramStart"/>
      <w:r w:rsidRPr="00E343D7">
        <w:rPr>
          <w:rFonts w:ascii="Calibri" w:eastAsia="Times New Roman" w:hAnsi="Calibri" w:cs="Calibri"/>
          <w:color w:val="434343"/>
        </w:rPr>
        <w:t>middle or high income</w:t>
      </w:r>
      <w:proofErr w:type="gramEnd"/>
      <w:r w:rsidRPr="00E343D7">
        <w:rPr>
          <w:rFonts w:ascii="Calibri" w:eastAsia="Times New Roman" w:hAnsi="Calibri" w:cs="Calibri"/>
          <w:color w:val="434343"/>
        </w:rPr>
        <w:t xml:space="preserve"> groups, thus they are more likely to suffer from mental illness. For </w:t>
      </w:r>
      <w:proofErr w:type="spellStart"/>
      <w:proofErr w:type="gramStart"/>
      <w:r w:rsidRPr="00E343D7">
        <w:rPr>
          <w:rFonts w:ascii="Calibri" w:eastAsia="Times New Roman" w:hAnsi="Calibri" w:cs="Calibri"/>
          <w:color w:val="434343"/>
        </w:rPr>
        <w:t>example,depression</w:t>
      </w:r>
      <w:proofErr w:type="spellEnd"/>
      <w:proofErr w:type="gramEnd"/>
      <w:r w:rsidRPr="00E343D7">
        <w:rPr>
          <w:rFonts w:ascii="Calibri" w:eastAsia="Times New Roman" w:hAnsi="Calibri" w:cs="Calibri"/>
          <w:color w:val="434343"/>
        </w:rPr>
        <w:t xml:space="preserve"> is a very common psychological disease, people may suffer from it because of various life shocks, and the poor are more likely to suffer from it than the rich. Lymphatic and digestive diagnoses account for more than 10% of Medicaid services portfolio, which also supports our assumption that the low-income group is more likely to suffer from digestive diseases because it would be more difficult for them to keep a healthy and hygienic eating habits due to poverty. Another MDC category we cannot ignore is substance abuse, which presents 7% of Medicaid services portfolio. Our assumption is that low-income people are more likely to abuse drugs, such as addiction to some dependent or hallucinogenic drugs.</w:t>
      </w:r>
    </w:p>
    <w:p w14:paraId="2FE6B3E6" w14:textId="77777777" w:rsidR="00E343D7" w:rsidRPr="00E343D7" w:rsidRDefault="00E343D7" w:rsidP="00E343D7">
      <w:pPr>
        <w:numPr>
          <w:ilvl w:val="0"/>
          <w:numId w:val="10"/>
        </w:numPr>
        <w:spacing w:before="320" w:after="80"/>
        <w:textAlignment w:val="baseline"/>
        <w:outlineLvl w:val="2"/>
        <w:rPr>
          <w:rFonts w:ascii="Calibri" w:eastAsia="Times New Roman" w:hAnsi="Calibri" w:cs="Calibri"/>
          <w:b/>
          <w:bCs/>
          <w:color w:val="434343"/>
          <w:sz w:val="27"/>
          <w:szCs w:val="27"/>
        </w:rPr>
      </w:pPr>
      <w:r w:rsidRPr="00E343D7">
        <w:rPr>
          <w:rFonts w:ascii="Calibri" w:eastAsia="Times New Roman" w:hAnsi="Calibri" w:cs="Calibri"/>
          <w:b/>
          <w:bCs/>
          <w:color w:val="434343"/>
          <w:sz w:val="28"/>
          <w:szCs w:val="28"/>
        </w:rPr>
        <w:t>Commercial insurers</w:t>
      </w:r>
    </w:p>
    <w:p w14:paraId="40904117" w14:textId="33C6310E"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sz w:val="22"/>
          <w:szCs w:val="22"/>
          <w:bdr w:val="none" w:sz="0" w:space="0" w:color="auto" w:frame="1"/>
        </w:rPr>
        <w:lastRenderedPageBreak/>
        <w:fldChar w:fldCharType="begin"/>
      </w:r>
      <w:r w:rsidRPr="00E343D7">
        <w:rPr>
          <w:rFonts w:ascii="Calibri" w:eastAsia="Times New Roman" w:hAnsi="Calibri" w:cs="Calibri"/>
          <w:color w:val="434343"/>
          <w:sz w:val="22"/>
          <w:szCs w:val="22"/>
          <w:bdr w:val="none" w:sz="0" w:space="0" w:color="auto" w:frame="1"/>
        </w:rPr>
        <w:instrText xml:space="preserve"> INCLUDEPICTURE "https://lh3.googleusercontent.com/v6baeA5Ed5pwdX6o9sRzD_1YY9M9hYMu50oDAYVQosy5rA3473CkNEBabOqmDbEZezPyd0sjTUS9zxPXnceJKghQ4KOqkkkCkzF-kCkQoc-Ysib1ma7w5ykmFNamdnlYPMD65cHX" \* MERGEFORMATINET </w:instrText>
      </w:r>
      <w:r w:rsidRPr="00E343D7">
        <w:rPr>
          <w:rFonts w:ascii="Calibri" w:eastAsia="Times New Roman" w:hAnsi="Calibri" w:cs="Calibri"/>
          <w:color w:val="434343"/>
          <w:sz w:val="22"/>
          <w:szCs w:val="22"/>
          <w:bdr w:val="none" w:sz="0" w:space="0" w:color="auto" w:frame="1"/>
        </w:rPr>
        <w:fldChar w:fldCharType="separate"/>
      </w:r>
      <w:r w:rsidRPr="00E343D7">
        <w:rPr>
          <w:rFonts w:ascii="Calibri" w:eastAsia="Times New Roman" w:hAnsi="Calibri" w:cs="Calibri"/>
          <w:noProof/>
          <w:color w:val="434343"/>
          <w:sz w:val="22"/>
          <w:szCs w:val="22"/>
          <w:bdr w:val="none" w:sz="0" w:space="0" w:color="auto" w:frame="1"/>
        </w:rPr>
        <w:drawing>
          <wp:inline distT="0" distB="0" distL="0" distR="0" wp14:anchorId="09E4DFFD" wp14:editId="6197FB80">
            <wp:extent cx="4810124" cy="3151762"/>
            <wp:effectExtent l="0" t="0" r="381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3614" cy="3160601"/>
                    </a:xfrm>
                    <a:prstGeom prst="rect">
                      <a:avLst/>
                    </a:prstGeom>
                    <a:noFill/>
                    <a:ln>
                      <a:noFill/>
                    </a:ln>
                  </pic:spPr>
                </pic:pic>
              </a:graphicData>
            </a:graphic>
          </wp:inline>
        </w:drawing>
      </w:r>
      <w:r w:rsidRPr="00E343D7">
        <w:rPr>
          <w:rFonts w:ascii="Calibri" w:eastAsia="Times New Roman" w:hAnsi="Calibri" w:cs="Calibri"/>
          <w:color w:val="434343"/>
          <w:sz w:val="22"/>
          <w:szCs w:val="22"/>
          <w:bdr w:val="none" w:sz="0" w:space="0" w:color="auto" w:frame="1"/>
        </w:rPr>
        <w:fldChar w:fldCharType="end"/>
      </w:r>
    </w:p>
    <w:p w14:paraId="791DF495" w14:textId="77777777" w:rsidR="00E343D7" w:rsidRPr="00E343D7" w:rsidRDefault="00E343D7" w:rsidP="00E343D7">
      <w:pPr>
        <w:jc w:val="center"/>
        <w:rPr>
          <w:rFonts w:ascii="Times New Roman" w:eastAsia="Times New Roman" w:hAnsi="Times New Roman" w:cs="Times New Roman"/>
        </w:rPr>
      </w:pPr>
      <w:r w:rsidRPr="00E343D7">
        <w:rPr>
          <w:rFonts w:ascii="Calibri" w:eastAsia="Times New Roman" w:hAnsi="Calibri" w:cs="Calibri"/>
          <w:color w:val="434343"/>
          <w:sz w:val="22"/>
          <w:szCs w:val="22"/>
        </w:rPr>
        <w:t>Figure 2.3</w:t>
      </w:r>
    </w:p>
    <w:p w14:paraId="0D3CE12F" w14:textId="77777777" w:rsidR="00E343D7" w:rsidRPr="00E343D7" w:rsidRDefault="00E343D7" w:rsidP="00E343D7">
      <w:pPr>
        <w:rPr>
          <w:rFonts w:ascii="Times New Roman" w:eastAsia="Times New Roman" w:hAnsi="Times New Roman" w:cs="Times New Roman"/>
        </w:rPr>
      </w:pPr>
    </w:p>
    <w:p w14:paraId="73976EA9"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 xml:space="preserve">Commercial Insurers provide insurance to everyone who is ineligible for Medicare and Medicaid. These would predominantly be adults below the age of 65 with relatively healthy lifestyles. The proportion of men in this coverage might also be higher since some adult </w:t>
      </w:r>
      <w:proofErr w:type="gramStart"/>
      <w:r w:rsidRPr="00E343D7">
        <w:rPr>
          <w:rFonts w:ascii="Calibri" w:eastAsia="Times New Roman" w:hAnsi="Calibri" w:cs="Calibri"/>
          <w:color w:val="434343"/>
        </w:rPr>
        <w:t>women(</w:t>
      </w:r>
      <w:proofErr w:type="gramEnd"/>
      <w:r w:rsidRPr="00E343D7">
        <w:rPr>
          <w:rFonts w:ascii="Calibri" w:eastAsia="Times New Roman" w:hAnsi="Calibri" w:cs="Calibri"/>
          <w:color w:val="434343"/>
        </w:rPr>
        <w:t xml:space="preserve">pregnant women) are eligible for Medicaid. Consequently, our hypothesis would be that the most common MDC’s covered by Commercial Insurers reflect the most common diseases among adults. The pie chart above supports this assumption with </w:t>
      </w:r>
      <w:r w:rsidRPr="00E343D7">
        <w:rPr>
          <w:rFonts w:ascii="Calibri" w:eastAsia="Times New Roman" w:hAnsi="Calibri" w:cs="Calibri"/>
          <w:i/>
          <w:iCs/>
          <w:color w:val="434343"/>
        </w:rPr>
        <w:t>Musculoskeleta</w:t>
      </w:r>
      <w:r w:rsidRPr="00E343D7">
        <w:rPr>
          <w:rFonts w:ascii="Calibri" w:eastAsia="Times New Roman" w:hAnsi="Calibri" w:cs="Calibri"/>
          <w:color w:val="434343"/>
        </w:rPr>
        <w:t xml:space="preserve">l diagnoses being the highest at 13% of Commercial Insurers’ inpatient services portfolio. The incidence rate for these ailments such as accidents, falls, fractures, and dislocations is higher since most people in this age group are more likely to live an active lifestyle. </w:t>
      </w:r>
      <w:r w:rsidRPr="00E343D7">
        <w:rPr>
          <w:rFonts w:ascii="Calibri" w:eastAsia="Times New Roman" w:hAnsi="Calibri" w:cs="Calibri"/>
          <w:i/>
          <w:iCs/>
          <w:color w:val="434343"/>
        </w:rPr>
        <w:t>Brain &amp; Central Nervous System</w:t>
      </w:r>
      <w:r w:rsidRPr="00E343D7">
        <w:rPr>
          <w:rFonts w:ascii="Calibri" w:eastAsia="Times New Roman" w:hAnsi="Calibri" w:cs="Calibri"/>
          <w:color w:val="434343"/>
        </w:rPr>
        <w:t xml:space="preserve"> diseases and </w:t>
      </w:r>
      <w:r w:rsidRPr="00E343D7">
        <w:rPr>
          <w:rFonts w:ascii="Calibri" w:eastAsia="Times New Roman" w:hAnsi="Calibri" w:cs="Calibri"/>
          <w:i/>
          <w:iCs/>
          <w:color w:val="434343"/>
        </w:rPr>
        <w:t>Heart &amp; Circulatory</w:t>
      </w:r>
      <w:r w:rsidRPr="00E343D7">
        <w:rPr>
          <w:rFonts w:ascii="Calibri" w:eastAsia="Times New Roman" w:hAnsi="Calibri" w:cs="Calibri"/>
          <w:color w:val="434343"/>
        </w:rPr>
        <w:t xml:space="preserve"> diseases are also common in this age group. More importantly, adults in the group are in the child-bearing stage of their lives. </w:t>
      </w:r>
      <w:proofErr w:type="gramStart"/>
      <w:r w:rsidRPr="00E343D7">
        <w:rPr>
          <w:rFonts w:ascii="Calibri" w:eastAsia="Times New Roman" w:hAnsi="Calibri" w:cs="Calibri"/>
          <w:color w:val="434343"/>
        </w:rPr>
        <w:t>Therefore</w:t>
      </w:r>
      <w:proofErr w:type="gramEnd"/>
      <w:r w:rsidRPr="00E343D7">
        <w:rPr>
          <w:rFonts w:ascii="Calibri" w:eastAsia="Times New Roman" w:hAnsi="Calibri" w:cs="Calibri"/>
          <w:color w:val="434343"/>
        </w:rPr>
        <w:t xml:space="preserve"> it is not surprising that </w:t>
      </w:r>
      <w:r w:rsidRPr="00E343D7">
        <w:rPr>
          <w:rFonts w:ascii="Calibri" w:eastAsia="Times New Roman" w:hAnsi="Calibri" w:cs="Calibri"/>
          <w:i/>
          <w:iCs/>
          <w:color w:val="434343"/>
        </w:rPr>
        <w:t>Pregnancy, Childbirth, and Puerperium</w:t>
      </w:r>
      <w:r w:rsidRPr="00E343D7">
        <w:rPr>
          <w:rFonts w:ascii="Calibri" w:eastAsia="Times New Roman" w:hAnsi="Calibri" w:cs="Calibri"/>
          <w:color w:val="434343"/>
        </w:rPr>
        <w:t xml:space="preserve"> hospitalizations are in the top five with 9% of all charges for Commercial Insurers.</w:t>
      </w:r>
    </w:p>
    <w:p w14:paraId="137D3824" w14:textId="77777777" w:rsidR="00E343D7" w:rsidRPr="00E343D7" w:rsidRDefault="00E343D7" w:rsidP="00E343D7">
      <w:pPr>
        <w:spacing w:after="240"/>
        <w:rPr>
          <w:rFonts w:ascii="Times New Roman" w:eastAsia="Times New Roman" w:hAnsi="Times New Roman" w:cs="Times New Roman"/>
        </w:rPr>
      </w:pPr>
      <w:r w:rsidRPr="00E343D7">
        <w:rPr>
          <w:rFonts w:ascii="Times New Roman" w:eastAsia="Times New Roman" w:hAnsi="Times New Roman" w:cs="Times New Roman"/>
        </w:rPr>
        <w:br/>
      </w:r>
    </w:p>
    <w:p w14:paraId="45DF8289" w14:textId="39DFBA48" w:rsidR="00E343D7" w:rsidRPr="00E343D7" w:rsidRDefault="00E343D7" w:rsidP="00E343D7">
      <w:pPr>
        <w:spacing w:before="360" w:after="120"/>
        <w:jc w:val="both"/>
        <w:outlineLvl w:val="1"/>
        <w:rPr>
          <w:rFonts w:ascii="Times New Roman" w:eastAsia="Times New Roman" w:hAnsi="Times New Roman" w:cs="Times New Roman"/>
          <w:b/>
          <w:bCs/>
          <w:sz w:val="36"/>
          <w:szCs w:val="36"/>
        </w:rPr>
      </w:pPr>
      <w:r w:rsidRPr="00E343D7">
        <w:rPr>
          <w:rFonts w:ascii="Calibri" w:eastAsia="Times New Roman" w:hAnsi="Calibri" w:cs="Calibri"/>
          <w:b/>
          <w:bCs/>
          <w:color w:val="434343"/>
          <w:sz w:val="32"/>
          <w:szCs w:val="32"/>
        </w:rPr>
        <w:t>Illicit drugs and prescription opioids use/abuse/overdose</w:t>
      </w:r>
    </w:p>
    <w:p w14:paraId="2A9FAA39"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b/>
          <w:bCs/>
          <w:color w:val="434343"/>
        </w:rPr>
        <w:t>Drug use/abuse situation:</w:t>
      </w:r>
    </w:p>
    <w:p w14:paraId="4A520820"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Drug overdose has become a severe problem in the US causing many unnecessary cost and losses. Therefore, we were curious about how many ED patients in our data set had been drug abuse. After processing the data, we found 2151 ED visits have been diagnosed as drug user/abuser.</w:t>
      </w:r>
    </w:p>
    <w:p w14:paraId="480E8F0A" w14:textId="77777777" w:rsidR="00E343D7" w:rsidRPr="00E343D7" w:rsidRDefault="00E343D7" w:rsidP="00E343D7">
      <w:pPr>
        <w:rPr>
          <w:rFonts w:ascii="Times New Roman" w:eastAsia="Times New Roman" w:hAnsi="Times New Roman" w:cs="Times New Roman"/>
        </w:rPr>
      </w:pPr>
    </w:p>
    <w:p w14:paraId="71923D2F"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b/>
          <w:bCs/>
          <w:color w:val="434343"/>
        </w:rPr>
        <w:t>Gender bias:</w:t>
      </w:r>
      <w:r w:rsidRPr="00E343D7">
        <w:rPr>
          <w:rFonts w:ascii="Calibri" w:eastAsia="Times New Roman" w:hAnsi="Calibri" w:cs="Calibri"/>
          <w:b/>
          <w:bCs/>
          <w:color w:val="434343"/>
        </w:rPr>
        <w:tab/>
      </w:r>
    </w:p>
    <w:p w14:paraId="12422A04"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lastRenderedPageBreak/>
        <w:t>We also want to check if men and women have significant differences in drug using/abusing. In our case, all the N/A values in “sex” column had been dropped. After aggregation, we got the data as below and applied Fisher Exact test: </w:t>
      </w:r>
    </w:p>
    <w:p w14:paraId="0F528B56" w14:textId="77777777" w:rsidR="00E343D7" w:rsidRPr="00E343D7" w:rsidRDefault="00E343D7" w:rsidP="00E343D7">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12"/>
        <w:gridCol w:w="870"/>
        <w:gridCol w:w="870"/>
        <w:gridCol w:w="870"/>
      </w:tblGrid>
      <w:tr w:rsidR="00E343D7" w:rsidRPr="00E343D7" w14:paraId="1CA1CDAC"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81857" w14:textId="77777777" w:rsidR="00E343D7" w:rsidRPr="00E343D7" w:rsidRDefault="00E343D7" w:rsidP="00E343D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AA0FD"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EC96"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73F3D"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i/>
                <w:iCs/>
                <w:color w:val="434343"/>
                <w:sz w:val="22"/>
                <w:szCs w:val="22"/>
              </w:rPr>
              <w:t>Total</w:t>
            </w:r>
          </w:p>
        </w:tc>
      </w:tr>
      <w:tr w:rsidR="00E343D7" w:rsidRPr="00E343D7" w14:paraId="3765D438"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BF00B"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Not drug use/abuse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47E16"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sz w:val="22"/>
                <w:szCs w:val="22"/>
              </w:rPr>
              <w:t>123149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5CC48"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sz w:val="22"/>
                <w:szCs w:val="22"/>
              </w:rPr>
              <w:t>140553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AF280"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263702</w:t>
            </w:r>
          </w:p>
        </w:tc>
      </w:tr>
      <w:tr w:rsidR="00E343D7" w:rsidRPr="00E343D7" w14:paraId="2247E2E7"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B3944"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 within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C622"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sz w:val="22"/>
                <w:szCs w:val="22"/>
              </w:rPr>
              <w:t>46.3%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DFDCA"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sz w:val="22"/>
                <w:szCs w:val="22"/>
              </w:rPr>
              <w:t>52.9%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DF68B"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99.2%</w:t>
            </w:r>
          </w:p>
        </w:tc>
      </w:tr>
      <w:tr w:rsidR="00E343D7" w:rsidRPr="00E343D7" w14:paraId="56AC015C"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8786F"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Drug use/abuse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FCDD"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sz w:val="22"/>
                <w:szCs w:val="22"/>
              </w:rPr>
              <w:t>1009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16926"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sz w:val="22"/>
                <w:szCs w:val="22"/>
              </w:rPr>
              <w:t>1141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BFDC"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2150</w:t>
            </w:r>
          </w:p>
        </w:tc>
      </w:tr>
      <w:tr w:rsidR="00E343D7" w:rsidRPr="00E343D7" w14:paraId="6F0AB7B6"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073B"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 within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2FFC"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sz w:val="22"/>
                <w:szCs w:val="22"/>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CB04F"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sz w:val="22"/>
                <w:szCs w:val="22"/>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4B7C5"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0.8%</w:t>
            </w:r>
          </w:p>
        </w:tc>
      </w:tr>
      <w:tr w:rsidR="00E343D7" w:rsidRPr="00E343D7" w14:paraId="0FD5D5CF"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6B556"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i/>
                <w:iCs/>
                <w:color w:val="434343"/>
                <w:sz w:val="22"/>
                <w:szCs w:val="22"/>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74D3B"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124158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A919E"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141694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5BA6"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265852</w:t>
            </w:r>
          </w:p>
        </w:tc>
      </w:tr>
      <w:tr w:rsidR="00E343D7" w:rsidRPr="00E343D7" w14:paraId="6DA68372"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82C43"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B373"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46.7%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F0397"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53.3%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99644"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sz w:val="22"/>
                <w:szCs w:val="22"/>
              </w:rPr>
              <w:t>100.0%</w:t>
            </w:r>
          </w:p>
        </w:tc>
      </w:tr>
    </w:tbl>
    <w:p w14:paraId="280D96F7" w14:textId="77777777" w:rsidR="00E343D7" w:rsidRPr="00E343D7" w:rsidRDefault="00E343D7" w:rsidP="00E343D7">
      <w:pPr>
        <w:jc w:val="center"/>
        <w:rPr>
          <w:rFonts w:ascii="Times New Roman" w:eastAsia="Times New Roman" w:hAnsi="Times New Roman" w:cs="Times New Roman"/>
        </w:rPr>
      </w:pPr>
      <w:r w:rsidRPr="00E343D7">
        <w:rPr>
          <w:rFonts w:ascii="Calibri" w:eastAsia="Times New Roman" w:hAnsi="Calibri" w:cs="Calibri"/>
          <w:color w:val="434343"/>
          <w:sz w:val="22"/>
          <w:szCs w:val="22"/>
        </w:rPr>
        <w:t>Table 3.1 Fisher Exact test results</w:t>
      </w:r>
    </w:p>
    <w:p w14:paraId="2C654099"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color w:val="434343"/>
          <w:sz w:val="22"/>
          <w:szCs w:val="22"/>
        </w:rPr>
        <w:t>Odds ratio = 0.99, P-value = 0.84</w:t>
      </w:r>
    </w:p>
    <w:p w14:paraId="436BF045" w14:textId="77777777" w:rsidR="00E343D7" w:rsidRPr="00E343D7" w:rsidRDefault="00E343D7" w:rsidP="00E343D7">
      <w:pPr>
        <w:rPr>
          <w:rFonts w:ascii="Times New Roman" w:eastAsia="Times New Roman" w:hAnsi="Times New Roman" w:cs="Times New Roman"/>
        </w:rPr>
      </w:pPr>
    </w:p>
    <w:p w14:paraId="1EED53DF" w14:textId="77777777" w:rsidR="00E343D7" w:rsidRPr="00E343D7" w:rsidRDefault="00E343D7" w:rsidP="00E343D7">
      <w:pPr>
        <w:rPr>
          <w:rFonts w:ascii="Times New Roman" w:eastAsia="Times New Roman" w:hAnsi="Times New Roman" w:cs="Times New Roman"/>
        </w:rPr>
      </w:pPr>
      <w:r w:rsidRPr="00E343D7">
        <w:rPr>
          <w:rFonts w:ascii="Calibri" w:eastAsia="Times New Roman" w:hAnsi="Calibri" w:cs="Calibri"/>
          <w:b/>
          <w:bCs/>
          <w:color w:val="434343"/>
        </w:rPr>
        <w:t>Analysis:</w:t>
      </w:r>
    </w:p>
    <w:p w14:paraId="11B74C75"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According to the cross table above, there are small differences in drug use/abuse between male and female patients. After Fisher Exact testing, we found no statistically significant gender bias on drug use/abuse as the p-value was greater than 0.05, which means women have no better protection measures to stay away from drug use/abuse than men. </w:t>
      </w:r>
    </w:p>
    <w:p w14:paraId="3FFCF20E" w14:textId="6105BB79" w:rsidR="00E343D7" w:rsidRPr="00E343D7" w:rsidRDefault="00E343D7" w:rsidP="00E343D7">
      <w:pPr>
        <w:spacing w:after="240"/>
        <w:rPr>
          <w:rFonts w:ascii="Times New Roman" w:eastAsia="Times New Roman" w:hAnsi="Times New Roman" w:cs="Times New Roman"/>
        </w:rPr>
      </w:pPr>
    </w:p>
    <w:p w14:paraId="65DEDCD9"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b/>
          <w:bCs/>
          <w:color w:val="434343"/>
        </w:rPr>
        <w:t>Payment on drug overdose:</w:t>
      </w:r>
    </w:p>
    <w:p w14:paraId="31CB61E6"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There are tens of millions of dollars reportedly spent on drug use related cases the year alone. Below listed the exact dollar amount for identified patients and the share of each of the total payment of Medicare, Medicaid and Commercial Payers.</w:t>
      </w:r>
    </w:p>
    <w:p w14:paraId="62779210" w14:textId="77777777" w:rsidR="00E343D7" w:rsidRPr="00E343D7" w:rsidRDefault="00E343D7" w:rsidP="00E343D7">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240"/>
        <w:gridCol w:w="3120"/>
      </w:tblGrid>
      <w:tr w:rsidR="00E343D7" w:rsidRPr="00E343D7" w14:paraId="649C4582"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B6407"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b/>
                <w:bCs/>
                <w:color w:val="434343"/>
              </w:rPr>
              <w:t>Type of Insurance 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92FD1"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b/>
                <w:bCs/>
                <w:color w:val="434343"/>
              </w:rPr>
              <w:t>Amount</w:t>
            </w:r>
          </w:p>
        </w:tc>
      </w:tr>
      <w:tr w:rsidR="00E343D7" w:rsidRPr="00E343D7" w14:paraId="72A3C7AD"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36B3C"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Medicare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5C2ED"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b/>
                <w:bCs/>
                <w:color w:val="434343"/>
                <w:shd w:val="clear" w:color="auto" w:fill="FFFFFF"/>
              </w:rPr>
              <w:t>17237917.63</w:t>
            </w:r>
          </w:p>
        </w:tc>
      </w:tr>
      <w:tr w:rsidR="00E343D7" w:rsidRPr="00E343D7" w14:paraId="0336D729"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01FED"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Medicaid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5861D"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shd w:val="clear" w:color="auto" w:fill="FFFFFF"/>
              </w:rPr>
              <w:t>6713846.42</w:t>
            </w:r>
          </w:p>
        </w:tc>
      </w:tr>
      <w:tr w:rsidR="00E343D7" w:rsidRPr="00E343D7" w14:paraId="1F002B8A"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90474"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Commercial Payers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B7B4"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shd w:val="clear" w:color="auto" w:fill="FFFFFF"/>
              </w:rPr>
              <w:t>5777497.88</w:t>
            </w:r>
          </w:p>
        </w:tc>
      </w:tr>
      <w:tr w:rsidR="00E343D7" w:rsidRPr="00E343D7" w14:paraId="75E8CCDE"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31AFB"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Total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F04D1"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b/>
                <w:bCs/>
                <w:color w:val="434343"/>
                <w:shd w:val="clear" w:color="auto" w:fill="FFFFFF"/>
              </w:rPr>
              <w:t>30741219.53</w:t>
            </w:r>
          </w:p>
        </w:tc>
      </w:tr>
    </w:tbl>
    <w:p w14:paraId="7F086618" w14:textId="77777777" w:rsidR="00E343D7" w:rsidRPr="00E343D7" w:rsidRDefault="00E343D7" w:rsidP="00E343D7">
      <w:pPr>
        <w:jc w:val="center"/>
        <w:rPr>
          <w:rFonts w:ascii="Times New Roman" w:eastAsia="Times New Roman" w:hAnsi="Times New Roman" w:cs="Times New Roman"/>
        </w:rPr>
      </w:pPr>
      <w:r w:rsidRPr="00E343D7">
        <w:rPr>
          <w:rFonts w:ascii="Calibri" w:eastAsia="Times New Roman" w:hAnsi="Calibri" w:cs="Calibri"/>
          <w:color w:val="434343"/>
          <w:sz w:val="22"/>
          <w:szCs w:val="22"/>
        </w:rPr>
        <w:t>Table 3.4</w:t>
      </w:r>
    </w:p>
    <w:p w14:paraId="004193E5" w14:textId="77777777" w:rsidR="00E343D7" w:rsidRPr="00E343D7" w:rsidRDefault="00E343D7" w:rsidP="00E343D7">
      <w:pPr>
        <w:rPr>
          <w:rFonts w:ascii="Times New Roman" w:eastAsia="Times New Roman" w:hAnsi="Times New Roman" w:cs="Times New Roman"/>
        </w:rPr>
      </w:pPr>
    </w:p>
    <w:p w14:paraId="6ED35E54"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Medicare companies take up more than half of the payment and Medicaid has slightly more than Commercial companies.</w:t>
      </w:r>
    </w:p>
    <w:p w14:paraId="3DD6A7D1" w14:textId="77777777" w:rsidR="00E343D7" w:rsidRPr="00E343D7" w:rsidRDefault="00E343D7" w:rsidP="00E343D7">
      <w:pPr>
        <w:rPr>
          <w:rFonts w:ascii="Times New Roman" w:eastAsia="Times New Roman" w:hAnsi="Times New Roman" w:cs="Times New Roman"/>
        </w:rPr>
      </w:pPr>
    </w:p>
    <w:p w14:paraId="6EF0C2FB" w14:textId="78249F35"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bdr w:val="none" w:sz="0" w:space="0" w:color="auto" w:frame="1"/>
        </w:rPr>
        <w:lastRenderedPageBreak/>
        <w:fldChar w:fldCharType="begin"/>
      </w:r>
      <w:r w:rsidRPr="00E343D7">
        <w:rPr>
          <w:rFonts w:ascii="Calibri" w:eastAsia="Times New Roman" w:hAnsi="Calibri" w:cs="Calibri"/>
          <w:color w:val="434343"/>
          <w:bdr w:val="none" w:sz="0" w:space="0" w:color="auto" w:frame="1"/>
        </w:rPr>
        <w:instrText xml:space="preserve"> INCLUDEPICTURE "https://lh5.googleusercontent.com/sDcXpn38g48uvyrWFPzmn-FliATD926epqgLibpzBCWIjsYiGyiDo_B1YMTEE-BZKztxdAAweBagsqmsnWyN5c1gfHNtzKysNHUfbIhhDgHfrvagGGkwNCaTx3cxOPW_Wdry_AzT" \* MERGEFORMATINET </w:instrText>
      </w:r>
      <w:r w:rsidRPr="00E343D7">
        <w:rPr>
          <w:rFonts w:ascii="Calibri" w:eastAsia="Times New Roman" w:hAnsi="Calibri" w:cs="Calibri"/>
          <w:color w:val="434343"/>
          <w:bdr w:val="none" w:sz="0" w:space="0" w:color="auto" w:frame="1"/>
        </w:rPr>
        <w:fldChar w:fldCharType="separate"/>
      </w:r>
      <w:r w:rsidRPr="00E343D7">
        <w:rPr>
          <w:rFonts w:ascii="Calibri" w:eastAsia="Times New Roman" w:hAnsi="Calibri" w:cs="Calibri"/>
          <w:noProof/>
          <w:color w:val="434343"/>
          <w:bdr w:val="none" w:sz="0" w:space="0" w:color="auto" w:frame="1"/>
        </w:rPr>
        <w:drawing>
          <wp:inline distT="0" distB="0" distL="0" distR="0" wp14:anchorId="2C719646" wp14:editId="7EED7EC1">
            <wp:extent cx="5943600" cy="251587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5870"/>
                    </a:xfrm>
                    <a:prstGeom prst="rect">
                      <a:avLst/>
                    </a:prstGeom>
                    <a:noFill/>
                    <a:ln>
                      <a:noFill/>
                    </a:ln>
                  </pic:spPr>
                </pic:pic>
              </a:graphicData>
            </a:graphic>
          </wp:inline>
        </w:drawing>
      </w:r>
      <w:r w:rsidRPr="00E343D7">
        <w:rPr>
          <w:rFonts w:ascii="Calibri" w:eastAsia="Times New Roman" w:hAnsi="Calibri" w:cs="Calibri"/>
          <w:color w:val="434343"/>
          <w:bdr w:val="none" w:sz="0" w:space="0" w:color="auto" w:frame="1"/>
        </w:rPr>
        <w:fldChar w:fldCharType="end"/>
      </w:r>
    </w:p>
    <w:p w14:paraId="25751105" w14:textId="77777777" w:rsidR="00E343D7" w:rsidRPr="00E343D7" w:rsidRDefault="00E343D7" w:rsidP="00E343D7">
      <w:pPr>
        <w:rPr>
          <w:rFonts w:ascii="Times New Roman" w:eastAsia="Times New Roman" w:hAnsi="Times New Roman" w:cs="Times New Roman"/>
        </w:rPr>
      </w:pPr>
    </w:p>
    <w:p w14:paraId="171AADC8" w14:textId="77777777" w:rsidR="00E343D7" w:rsidRPr="00E343D7" w:rsidRDefault="00E343D7" w:rsidP="00E343D7">
      <w:pPr>
        <w:jc w:val="center"/>
        <w:rPr>
          <w:rFonts w:ascii="Times New Roman" w:eastAsia="Times New Roman" w:hAnsi="Times New Roman" w:cs="Times New Roman"/>
        </w:rPr>
      </w:pPr>
      <w:r w:rsidRPr="00E343D7">
        <w:rPr>
          <w:rFonts w:ascii="Calibri" w:eastAsia="Times New Roman" w:hAnsi="Calibri" w:cs="Calibri"/>
          <w:color w:val="434343"/>
          <w:sz w:val="22"/>
          <w:szCs w:val="22"/>
        </w:rPr>
        <w:t>Figure 3.1 Amount share across Medicaid, Medicare and commercial players</w:t>
      </w:r>
    </w:p>
    <w:p w14:paraId="758997A3" w14:textId="77777777" w:rsidR="00E343D7" w:rsidRPr="00E343D7" w:rsidRDefault="00E343D7" w:rsidP="00E343D7">
      <w:pPr>
        <w:rPr>
          <w:rFonts w:ascii="Times New Roman" w:eastAsia="Times New Roman" w:hAnsi="Times New Roman" w:cs="Times New Roman"/>
        </w:rPr>
      </w:pPr>
    </w:p>
    <w:p w14:paraId="3A8B3B15" w14:textId="77777777" w:rsidR="00E343D7" w:rsidRPr="00E343D7" w:rsidRDefault="00E343D7" w:rsidP="00E343D7">
      <w:pPr>
        <w:spacing w:after="200"/>
        <w:jc w:val="both"/>
        <w:rPr>
          <w:rFonts w:ascii="Times New Roman" w:eastAsia="Times New Roman" w:hAnsi="Times New Roman" w:cs="Times New Roman"/>
        </w:rPr>
      </w:pPr>
      <w:r w:rsidRPr="00E343D7">
        <w:rPr>
          <w:rFonts w:ascii="Calibri" w:eastAsia="Times New Roman" w:hAnsi="Calibri" w:cs="Calibri"/>
          <w:b/>
          <w:bCs/>
          <w:color w:val="434343"/>
        </w:rPr>
        <w:t>Synthetic Narcotics Related Issue:</w:t>
      </w:r>
    </w:p>
    <w:p w14:paraId="0A6659A4" w14:textId="77777777" w:rsidR="00E343D7" w:rsidRPr="00E343D7" w:rsidRDefault="00E343D7" w:rsidP="00E343D7">
      <w:pPr>
        <w:spacing w:after="200"/>
        <w:jc w:val="both"/>
        <w:rPr>
          <w:rFonts w:ascii="Times New Roman" w:eastAsia="Times New Roman" w:hAnsi="Times New Roman" w:cs="Times New Roman"/>
        </w:rPr>
      </w:pPr>
      <w:r w:rsidRPr="00E343D7">
        <w:rPr>
          <w:rFonts w:ascii="Calibri" w:eastAsia="Times New Roman" w:hAnsi="Calibri" w:cs="Calibri"/>
          <w:color w:val="434343"/>
        </w:rPr>
        <w:t xml:space="preserve">The use of synthetic narcotics is rising alarmingly in part due to the marketing campaign for such meds. There were </w:t>
      </w:r>
      <w:r w:rsidRPr="00E343D7">
        <w:rPr>
          <w:rFonts w:ascii="Calibri" w:eastAsia="Times New Roman" w:hAnsi="Calibri" w:cs="Calibri"/>
          <w:b/>
          <w:bCs/>
          <w:color w:val="434343"/>
        </w:rPr>
        <w:t xml:space="preserve">156 </w:t>
      </w:r>
      <w:r w:rsidRPr="00E343D7">
        <w:rPr>
          <w:rFonts w:ascii="Calibri" w:eastAsia="Times New Roman" w:hAnsi="Calibri" w:cs="Calibri"/>
          <w:color w:val="434343"/>
        </w:rPr>
        <w:t>cases on record that patients were brought to ED for diagnosis related to synthetic narcotics or amphetamines.</w:t>
      </w:r>
    </w:p>
    <w:p w14:paraId="1389A739" w14:textId="77777777" w:rsidR="00E343D7" w:rsidRPr="00E343D7" w:rsidRDefault="00E343D7" w:rsidP="00E343D7">
      <w:pPr>
        <w:rPr>
          <w:rFonts w:ascii="Times New Roman" w:eastAsia="Times New Roman" w:hAnsi="Times New Roman" w:cs="Times New Roman"/>
        </w:rPr>
      </w:pPr>
    </w:p>
    <w:p w14:paraId="22E0E37E"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b/>
          <w:bCs/>
          <w:color w:val="434343"/>
        </w:rPr>
        <w:t>Top 3 Zip code regions in drug abuse:</w:t>
      </w:r>
    </w:p>
    <w:tbl>
      <w:tblPr>
        <w:tblW w:w="0" w:type="auto"/>
        <w:tblCellMar>
          <w:top w:w="15" w:type="dxa"/>
          <w:left w:w="15" w:type="dxa"/>
          <w:bottom w:w="15" w:type="dxa"/>
          <w:right w:w="15" w:type="dxa"/>
        </w:tblCellMar>
        <w:tblLook w:val="04A0" w:firstRow="1" w:lastRow="0" w:firstColumn="1" w:lastColumn="0" w:noHBand="0" w:noVBand="1"/>
      </w:tblPr>
      <w:tblGrid>
        <w:gridCol w:w="809"/>
        <w:gridCol w:w="6314"/>
        <w:gridCol w:w="1834"/>
      </w:tblGrid>
      <w:tr w:rsidR="00E343D7" w:rsidRPr="00E343D7" w14:paraId="4564A706"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40B94"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Zip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CE615"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3B21C"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Number of cases</w:t>
            </w:r>
          </w:p>
        </w:tc>
      </w:tr>
      <w:tr w:rsidR="00E343D7" w:rsidRPr="00E343D7" w14:paraId="28FFDA5A"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87CA1"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1F218"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Zip in 05400-05499 range, excluding Burlington to Saint Albans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791A"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326</w:t>
            </w:r>
          </w:p>
        </w:tc>
      </w:tr>
      <w:tr w:rsidR="00E343D7" w:rsidRPr="00E343D7" w14:paraId="2ABD4CB1"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86491"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6FF85"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Zip in 05700-05799 range, excluding 05701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5A12"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214</w:t>
            </w:r>
          </w:p>
        </w:tc>
      </w:tr>
      <w:tr w:rsidR="00E343D7" w:rsidRPr="00E343D7" w14:paraId="2F8DF25E"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3E836"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05701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02526"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Rutland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E1238"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181</w:t>
            </w:r>
          </w:p>
        </w:tc>
      </w:tr>
    </w:tbl>
    <w:p w14:paraId="7397DC15" w14:textId="540B8FED" w:rsidR="00E343D7" w:rsidRPr="00E343D7" w:rsidRDefault="00E343D7" w:rsidP="00E343D7">
      <w:pPr>
        <w:jc w:val="center"/>
        <w:rPr>
          <w:rFonts w:ascii="Times New Roman" w:eastAsia="Times New Roman" w:hAnsi="Times New Roman" w:cs="Times New Roman"/>
        </w:rPr>
      </w:pPr>
      <w:r w:rsidRPr="00E343D7">
        <w:rPr>
          <w:rFonts w:ascii="Calibri" w:eastAsia="Times New Roman" w:hAnsi="Calibri" w:cs="Calibri"/>
          <w:color w:val="434343"/>
          <w:sz w:val="22"/>
          <w:szCs w:val="22"/>
        </w:rPr>
        <w:t xml:space="preserve">Table 3.2 Top 3 </w:t>
      </w:r>
      <w:r w:rsidR="00196370" w:rsidRPr="00E343D7">
        <w:rPr>
          <w:rFonts w:ascii="Calibri" w:eastAsia="Times New Roman" w:hAnsi="Calibri" w:cs="Calibri"/>
          <w:color w:val="434343"/>
          <w:sz w:val="22"/>
          <w:szCs w:val="22"/>
        </w:rPr>
        <w:t>Zip code</w:t>
      </w:r>
      <w:r w:rsidRPr="00E343D7">
        <w:rPr>
          <w:rFonts w:ascii="Calibri" w:eastAsia="Times New Roman" w:hAnsi="Calibri" w:cs="Calibri"/>
          <w:color w:val="434343"/>
          <w:sz w:val="22"/>
          <w:szCs w:val="22"/>
        </w:rPr>
        <w:t xml:space="preserve"> regions in drug abuse</w:t>
      </w:r>
    </w:p>
    <w:p w14:paraId="23E30CF7" w14:textId="77777777" w:rsidR="00E343D7" w:rsidRPr="00E343D7" w:rsidRDefault="00E343D7" w:rsidP="00E343D7">
      <w:pPr>
        <w:rPr>
          <w:rFonts w:ascii="Times New Roman" w:eastAsia="Times New Roman" w:hAnsi="Times New Roman" w:cs="Times New Roman"/>
        </w:rPr>
      </w:pPr>
    </w:p>
    <w:p w14:paraId="5875129B"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b/>
          <w:bCs/>
          <w:color w:val="434343"/>
        </w:rPr>
        <w:t>10 most common diagnoses of drug abuse</w:t>
      </w:r>
      <w:r w:rsidRPr="00E343D7">
        <w:rPr>
          <w:rFonts w:ascii="Calibri" w:eastAsia="Times New Roman" w:hAnsi="Calibri" w:cs="Calibri"/>
          <w:color w:val="434343"/>
        </w:rPr>
        <w:t>:</w:t>
      </w:r>
    </w:p>
    <w:tbl>
      <w:tblPr>
        <w:tblW w:w="0" w:type="auto"/>
        <w:tblCellMar>
          <w:top w:w="15" w:type="dxa"/>
          <w:left w:w="15" w:type="dxa"/>
          <w:bottom w:w="15" w:type="dxa"/>
          <w:right w:w="15" w:type="dxa"/>
        </w:tblCellMar>
        <w:tblLook w:val="04A0" w:firstRow="1" w:lastRow="0" w:firstColumn="1" w:lastColumn="0" w:noHBand="0" w:noVBand="1"/>
      </w:tblPr>
      <w:tblGrid>
        <w:gridCol w:w="1453"/>
        <w:gridCol w:w="6370"/>
        <w:gridCol w:w="1517"/>
      </w:tblGrid>
      <w:tr w:rsidR="00E343D7" w:rsidRPr="00E343D7" w14:paraId="36BC9504"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7AAF6"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Diagnosis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6735D"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48203"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Number of cases</w:t>
            </w:r>
          </w:p>
        </w:tc>
      </w:tr>
      <w:tr w:rsidR="00E343D7" w:rsidRPr="00E343D7" w14:paraId="2D69423F"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D91D1"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T401X1A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FF72F"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Poisoning by heroin, accidental (unintentional), initial encounter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AB471"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258</w:t>
            </w:r>
          </w:p>
        </w:tc>
      </w:tr>
      <w:tr w:rsidR="00E343D7" w:rsidRPr="00E343D7" w14:paraId="53D17500"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F33A5"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T402X5A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D02BA"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Adverse effect of other opioids, initial encounter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E85D8"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256</w:t>
            </w:r>
          </w:p>
        </w:tc>
      </w:tr>
      <w:tr w:rsidR="00E343D7" w:rsidRPr="00E343D7" w14:paraId="11C03433"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2706C"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T424X2A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F9689"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Poisoning by benzodiazepines, intentional self-harm, initial encounter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EBB32"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123</w:t>
            </w:r>
          </w:p>
        </w:tc>
      </w:tr>
      <w:tr w:rsidR="00E343D7" w:rsidRPr="00E343D7" w14:paraId="73CC83E5"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F4380"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lastRenderedPageBreak/>
              <w:t>T424X5A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D371B"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Adverse effect of benzodiazepines, initial encounter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C3BA"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114</w:t>
            </w:r>
          </w:p>
        </w:tc>
      </w:tr>
      <w:tr w:rsidR="00E343D7" w:rsidRPr="00E343D7" w14:paraId="2D6A5EB1"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D36B"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T40605A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760A7"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Adverse effect of unspecified narcotics, initial encounter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3A3A9"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112</w:t>
            </w:r>
          </w:p>
        </w:tc>
      </w:tr>
      <w:tr w:rsidR="00E343D7" w:rsidRPr="00E343D7" w14:paraId="5D860660"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F6D09"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T43222A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6F014"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Poisoning by selective serotonin reuptake inhibitors, intentional self-harm, initial encounter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4E1C4"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82</w:t>
            </w:r>
          </w:p>
        </w:tc>
      </w:tr>
      <w:tr w:rsidR="00E343D7" w:rsidRPr="00E343D7" w14:paraId="548AE0FD"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F7979"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T402X1A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406AC"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Poisoning by other opioids, accidental (unintentional), initial encounter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EE17"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81</w:t>
            </w:r>
          </w:p>
        </w:tc>
      </w:tr>
      <w:tr w:rsidR="00E343D7" w:rsidRPr="00E343D7" w14:paraId="33D71C53"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634D5"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T424X1A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5B0F0"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Poisoning by benzodiazepines, accidental (unintentional), initial encounter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1ADD8"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80</w:t>
            </w:r>
          </w:p>
        </w:tc>
      </w:tr>
      <w:tr w:rsidR="00E343D7" w:rsidRPr="00E343D7" w14:paraId="093484D8"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66282"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T426X5A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0493"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Adverse effect of other antiepileptic and sedative-hypnotic drugs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22BBC"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75</w:t>
            </w:r>
          </w:p>
        </w:tc>
      </w:tr>
      <w:tr w:rsidR="00E343D7" w:rsidRPr="00E343D7" w14:paraId="27D59D3D" w14:textId="77777777" w:rsidTr="00E343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91920"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T426X2A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5C57B"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Poisoning by other antiepileptic and sedative-hypnotic drugs, intentional self-harm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C5E4"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74</w:t>
            </w:r>
          </w:p>
        </w:tc>
      </w:tr>
    </w:tbl>
    <w:p w14:paraId="48FDE5BB" w14:textId="77777777" w:rsidR="00E343D7" w:rsidRPr="00E343D7" w:rsidRDefault="00E343D7" w:rsidP="00E343D7">
      <w:pPr>
        <w:jc w:val="center"/>
        <w:rPr>
          <w:rFonts w:ascii="Times New Roman" w:eastAsia="Times New Roman" w:hAnsi="Times New Roman" w:cs="Times New Roman"/>
        </w:rPr>
      </w:pPr>
      <w:r w:rsidRPr="00E343D7">
        <w:rPr>
          <w:rFonts w:ascii="Calibri" w:eastAsia="Times New Roman" w:hAnsi="Calibri" w:cs="Calibri"/>
          <w:color w:val="434343"/>
          <w:sz w:val="22"/>
          <w:szCs w:val="22"/>
        </w:rPr>
        <w:t>Table 3.3 Top 10 most common diagnoses of drug abuse</w:t>
      </w:r>
    </w:p>
    <w:p w14:paraId="4F631618" w14:textId="77777777" w:rsidR="00E343D7" w:rsidRPr="00E343D7" w:rsidRDefault="00E343D7" w:rsidP="00E343D7">
      <w:pPr>
        <w:rPr>
          <w:rFonts w:ascii="Times New Roman" w:eastAsia="Times New Roman" w:hAnsi="Times New Roman" w:cs="Times New Roman"/>
        </w:rPr>
      </w:pPr>
    </w:p>
    <w:p w14:paraId="2753646C" w14:textId="77777777" w:rsidR="00E343D7" w:rsidRPr="00E343D7" w:rsidRDefault="00E343D7" w:rsidP="00E343D7">
      <w:pPr>
        <w:spacing w:after="200"/>
        <w:jc w:val="both"/>
        <w:rPr>
          <w:rFonts w:ascii="Times New Roman" w:eastAsia="Times New Roman" w:hAnsi="Times New Roman" w:cs="Times New Roman"/>
        </w:rPr>
      </w:pPr>
      <w:r w:rsidRPr="00E343D7">
        <w:rPr>
          <w:rFonts w:ascii="Calibri" w:eastAsia="Times New Roman" w:hAnsi="Calibri" w:cs="Calibri"/>
          <w:b/>
          <w:bCs/>
          <w:color w:val="434343"/>
        </w:rPr>
        <w:t>Analysis:</w:t>
      </w:r>
      <w:r w:rsidRPr="00E343D7">
        <w:rPr>
          <w:rFonts w:ascii="Calibri" w:eastAsia="Times New Roman" w:hAnsi="Calibri" w:cs="Calibri"/>
          <w:color w:val="434343"/>
        </w:rPr>
        <w:t xml:space="preserve"> </w:t>
      </w:r>
      <w:r w:rsidRPr="00E343D7">
        <w:rPr>
          <w:rFonts w:ascii="Calibri" w:eastAsia="Times New Roman" w:hAnsi="Calibri" w:cs="Calibri"/>
          <w:color w:val="434343"/>
        </w:rPr>
        <w:br/>
        <w:t>After summarizing the drug abuse data, we found that the most zip code regions where most drug abuse cases happen are zip codes starts with 054 and 057 (Burlington and Rutland). The most common diagnoses of drug abuse in the emergency department include heroin, opioids and benzodiazepines.</w:t>
      </w:r>
      <w:r w:rsidRPr="00E343D7">
        <w:rPr>
          <w:rFonts w:ascii="Calibri" w:eastAsia="Times New Roman" w:hAnsi="Calibri" w:cs="Calibri"/>
          <w:color w:val="434343"/>
          <w:sz w:val="22"/>
          <w:szCs w:val="22"/>
        </w:rPr>
        <w:t> </w:t>
      </w:r>
    </w:p>
    <w:p w14:paraId="45404492" w14:textId="77777777" w:rsidR="00E343D7" w:rsidRPr="00E343D7" w:rsidRDefault="00E343D7" w:rsidP="00E343D7">
      <w:pPr>
        <w:spacing w:before="400" w:after="120"/>
        <w:jc w:val="both"/>
        <w:outlineLvl w:val="0"/>
        <w:rPr>
          <w:rFonts w:ascii="Times New Roman" w:eastAsia="Times New Roman" w:hAnsi="Times New Roman" w:cs="Times New Roman"/>
          <w:b/>
          <w:bCs/>
          <w:kern w:val="36"/>
          <w:sz w:val="48"/>
          <w:szCs w:val="48"/>
        </w:rPr>
      </w:pPr>
      <w:r w:rsidRPr="00E343D7">
        <w:rPr>
          <w:rFonts w:ascii="Calibri" w:eastAsia="Times New Roman" w:hAnsi="Calibri" w:cs="Calibri"/>
          <w:b/>
          <w:bCs/>
          <w:color w:val="434343"/>
          <w:kern w:val="36"/>
          <w:sz w:val="40"/>
          <w:szCs w:val="40"/>
        </w:rPr>
        <w:t>Conclusion</w:t>
      </w:r>
    </w:p>
    <w:p w14:paraId="4D937DDD" w14:textId="7F37C93C"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The analysis on patient vignettes has enlightened us on the reason patients visit a hospital. We have learned how healthcare providers capture and manage information associated with each patient visit. More importantly, we have discovered some of the most expensive one-time services/products that hospitals can provide to a patient. These include cardiology ($</w:t>
      </w:r>
      <w:r w:rsidRPr="00E343D7">
        <w:rPr>
          <w:rFonts w:ascii="Calibri" w:eastAsia="Times New Roman" w:hAnsi="Calibri" w:cs="Calibri"/>
          <w:color w:val="434343"/>
          <w:shd w:val="clear" w:color="auto" w:fill="FFFFFF"/>
        </w:rPr>
        <w:t>23,275)</w:t>
      </w:r>
      <w:r w:rsidRPr="00E343D7">
        <w:rPr>
          <w:rFonts w:ascii="Calibri" w:eastAsia="Times New Roman" w:hAnsi="Calibri" w:cs="Calibri"/>
          <w:color w:val="434343"/>
        </w:rPr>
        <w:t>, body implants</w:t>
      </w:r>
      <w:r>
        <w:rPr>
          <w:rFonts w:ascii="Calibri" w:eastAsia="Times New Roman" w:hAnsi="Calibri" w:cs="Calibri"/>
          <w:color w:val="434343"/>
        </w:rPr>
        <w:t xml:space="preserve"> </w:t>
      </w:r>
      <w:r w:rsidRPr="00E343D7">
        <w:rPr>
          <w:rFonts w:ascii="Calibri" w:eastAsia="Times New Roman" w:hAnsi="Calibri" w:cs="Calibri"/>
          <w:color w:val="434343"/>
        </w:rPr>
        <w:t>($10,696) and psychiatric services ($10,666). </w:t>
      </w:r>
    </w:p>
    <w:p w14:paraId="2E50658C" w14:textId="77777777" w:rsidR="00E343D7" w:rsidRPr="00E343D7" w:rsidRDefault="00E343D7" w:rsidP="00E343D7">
      <w:pPr>
        <w:rPr>
          <w:rFonts w:ascii="Times New Roman" w:eastAsia="Times New Roman" w:hAnsi="Times New Roman" w:cs="Times New Roman"/>
        </w:rPr>
      </w:pPr>
    </w:p>
    <w:p w14:paraId="5D5472AA"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Our analysis also shows that there is variation in the inpatient services portfolio among Medicare, Medicaid, and Commercial insurers.  Our results show that Spleen and Blood illnesses are the most common MDC for Medicaid. On the contrary, Musculoskeletal illnesses are the most common MDC for both Medicaid and Commercial insurers with a share of 22% and 21% respectively. This variation in the top five MDCs is mostly attributed to the demographics of patients under coverage in each insurance type. Medicare has more MDCs associated with older people, Medicaid has more MDCs common among lower income individuals, and Commercial insurers have more MDCs common among healthy adults.</w:t>
      </w:r>
    </w:p>
    <w:p w14:paraId="0BBFD68D" w14:textId="77777777" w:rsidR="00E343D7" w:rsidRPr="00E343D7" w:rsidRDefault="00E343D7" w:rsidP="00E343D7">
      <w:pPr>
        <w:rPr>
          <w:rFonts w:ascii="Times New Roman" w:eastAsia="Times New Roman" w:hAnsi="Times New Roman" w:cs="Times New Roman"/>
        </w:rPr>
      </w:pPr>
    </w:p>
    <w:p w14:paraId="59969D30" w14:textId="340DB06F"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lastRenderedPageBreak/>
        <w:t xml:space="preserve">The Emergency Department data shows 2151 ED visits have been diagnosed as drug overdose. Our analysis presents no statistical evidence on gender bias on drug abuse. After summarizing the drug abuse data, we found that 156 patients were brought to ED for diagnosis related to synthetic narcotics or amphetamines. Also, </w:t>
      </w:r>
      <w:r w:rsidRPr="00E343D7">
        <w:rPr>
          <w:rFonts w:ascii="Calibri" w:eastAsia="Times New Roman" w:hAnsi="Calibri" w:cs="Calibri"/>
          <w:color w:val="434343"/>
        </w:rPr>
        <w:t>most</w:t>
      </w:r>
      <w:r w:rsidRPr="00E343D7">
        <w:rPr>
          <w:rFonts w:ascii="Calibri" w:eastAsia="Times New Roman" w:hAnsi="Calibri" w:cs="Calibri"/>
          <w:color w:val="434343"/>
        </w:rPr>
        <w:t xml:space="preserve"> drug abuse cases happened in Burlington and Rutland and the most common diagnoses of drug abuse in emergency department include heroin, opioids and benzodiazepines. Besides, it is presented that Medicare companies take up more than half of the payment in emergency department, and Medicaid takes over one fifth and has slightly more than Commercial companies. </w:t>
      </w:r>
    </w:p>
    <w:p w14:paraId="02191C99" w14:textId="77777777" w:rsidR="00E343D7" w:rsidRPr="00E343D7" w:rsidRDefault="00E343D7" w:rsidP="00E343D7">
      <w:pPr>
        <w:rPr>
          <w:rFonts w:ascii="Times New Roman" w:eastAsia="Times New Roman" w:hAnsi="Times New Roman" w:cs="Times New Roman"/>
        </w:rPr>
      </w:pPr>
    </w:p>
    <w:p w14:paraId="186ACB1D" w14:textId="77777777" w:rsidR="00E343D7" w:rsidRPr="00E343D7" w:rsidRDefault="00E343D7" w:rsidP="00E343D7">
      <w:pPr>
        <w:spacing w:before="400" w:after="120"/>
        <w:jc w:val="both"/>
        <w:outlineLvl w:val="0"/>
        <w:rPr>
          <w:rFonts w:ascii="Times New Roman" w:eastAsia="Times New Roman" w:hAnsi="Times New Roman" w:cs="Times New Roman"/>
          <w:b/>
          <w:bCs/>
          <w:kern w:val="36"/>
          <w:sz w:val="48"/>
          <w:szCs w:val="48"/>
        </w:rPr>
      </w:pPr>
      <w:r w:rsidRPr="00E343D7">
        <w:rPr>
          <w:rFonts w:ascii="Calibri" w:eastAsia="Times New Roman" w:hAnsi="Calibri" w:cs="Calibri"/>
          <w:b/>
          <w:bCs/>
          <w:color w:val="434343"/>
          <w:kern w:val="36"/>
          <w:sz w:val="40"/>
          <w:szCs w:val="40"/>
        </w:rPr>
        <w:t>Recommendation</w:t>
      </w:r>
    </w:p>
    <w:p w14:paraId="53FECD7C"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ACPDs collect and store patient and provider claims data including the amount charged to patients and paid by payers. “You can’t manage what you can’t measure.” Based on the current database, we recommend policymakers and hospital admissions make ACPDs more transparent tools and provide patients and healthcare service researchers with critical information in a timely manner.</w:t>
      </w:r>
    </w:p>
    <w:p w14:paraId="711DF67F" w14:textId="77777777" w:rsidR="00E343D7" w:rsidRPr="00E343D7" w:rsidRDefault="00E343D7" w:rsidP="00E343D7">
      <w:pPr>
        <w:rPr>
          <w:rFonts w:ascii="Times New Roman" w:eastAsia="Times New Roman" w:hAnsi="Times New Roman" w:cs="Times New Roman"/>
        </w:rPr>
      </w:pPr>
    </w:p>
    <w:p w14:paraId="258647EC" w14:textId="1A18FF14"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 xml:space="preserve">According to our analysis, the top 3 MDC categories, Musculoskeletal, Heart &amp; Circulatory and Respiratory, charged by </w:t>
      </w:r>
      <w:r w:rsidRPr="00E343D7">
        <w:rPr>
          <w:rFonts w:ascii="Calibri" w:eastAsia="Times New Roman" w:hAnsi="Calibri" w:cs="Calibri"/>
          <w:color w:val="434343"/>
        </w:rPr>
        <w:t>Medicare</w:t>
      </w:r>
      <w:r w:rsidRPr="00E343D7">
        <w:rPr>
          <w:rFonts w:ascii="Calibri" w:eastAsia="Times New Roman" w:hAnsi="Calibri" w:cs="Calibri"/>
          <w:color w:val="434343"/>
        </w:rPr>
        <w:t xml:space="preserve"> insurance companies are not covered by any of the major categories of Medicaid insurance, while commercial payers share some common major services with both </w:t>
      </w:r>
      <w:r w:rsidRPr="00E343D7">
        <w:rPr>
          <w:rFonts w:ascii="Calibri" w:eastAsia="Times New Roman" w:hAnsi="Calibri" w:cs="Calibri"/>
          <w:color w:val="434343"/>
        </w:rPr>
        <w:t>Medicare</w:t>
      </w:r>
      <w:r w:rsidRPr="00E343D7">
        <w:rPr>
          <w:rFonts w:ascii="Calibri" w:eastAsia="Times New Roman" w:hAnsi="Calibri" w:cs="Calibri"/>
          <w:color w:val="434343"/>
        </w:rPr>
        <w:t xml:space="preserve"> and Medicaid but still have their own focus. Different insurance companies have their own target services. In this case, on the patients’ behalf, it is important to understand the insurance options, rights, and protections and learn how to get a fast appeal for Medicare-covered services needed, especially for those elders in our family. For the payers, there are also some takeaways from the data. Stockholders can find services that are most demanded and design insurance packages that are more customized for their target market.</w:t>
      </w:r>
    </w:p>
    <w:p w14:paraId="2B81DDDC" w14:textId="77777777" w:rsidR="00E343D7" w:rsidRPr="00E343D7" w:rsidRDefault="00E343D7" w:rsidP="00E343D7">
      <w:pPr>
        <w:rPr>
          <w:rFonts w:ascii="Times New Roman" w:eastAsia="Times New Roman" w:hAnsi="Times New Roman" w:cs="Times New Roman"/>
        </w:rPr>
      </w:pPr>
    </w:p>
    <w:p w14:paraId="30291272" w14:textId="77777777" w:rsidR="00E343D7" w:rsidRPr="00E343D7" w:rsidRDefault="00E343D7" w:rsidP="00E343D7">
      <w:pPr>
        <w:jc w:val="both"/>
        <w:rPr>
          <w:rFonts w:ascii="Times New Roman" w:eastAsia="Times New Roman" w:hAnsi="Times New Roman" w:cs="Times New Roman"/>
        </w:rPr>
      </w:pPr>
      <w:r w:rsidRPr="00E343D7">
        <w:rPr>
          <w:rFonts w:ascii="Calibri" w:eastAsia="Times New Roman" w:hAnsi="Calibri" w:cs="Calibri"/>
          <w:color w:val="434343"/>
        </w:rPr>
        <w:t>Drug overdose causes too many costs and losses. There are more than 2000 cases reported with drug use/abuse issues. Both government and payers should keep an eye on the providers’ records of drugs overdose while choosing hospital or health service facility they cooperate with. Also, there should be penalty for providers that are involved with this issue frequently.</w:t>
      </w:r>
    </w:p>
    <w:p w14:paraId="32B56ADE" w14:textId="77777777" w:rsidR="00E343D7" w:rsidRPr="00E343D7" w:rsidRDefault="00E343D7" w:rsidP="00E343D7">
      <w:pPr>
        <w:rPr>
          <w:rFonts w:ascii="Times New Roman" w:eastAsia="Times New Roman" w:hAnsi="Times New Roman" w:cs="Times New Roman"/>
        </w:rPr>
      </w:pPr>
    </w:p>
    <w:p w14:paraId="74D19D1D" w14:textId="77777777" w:rsidR="00E343D7" w:rsidRPr="00E343D7" w:rsidRDefault="00E343D7" w:rsidP="00E343D7">
      <w:pPr>
        <w:spacing w:before="400" w:after="120"/>
        <w:outlineLvl w:val="0"/>
        <w:rPr>
          <w:rFonts w:ascii="Times New Roman" w:eastAsia="Times New Roman" w:hAnsi="Times New Roman" w:cs="Times New Roman"/>
          <w:b/>
          <w:bCs/>
          <w:kern w:val="36"/>
          <w:sz w:val="48"/>
          <w:szCs w:val="48"/>
        </w:rPr>
      </w:pPr>
      <w:r w:rsidRPr="00E343D7">
        <w:rPr>
          <w:rFonts w:ascii="Calibri" w:eastAsia="Times New Roman" w:hAnsi="Calibri" w:cs="Calibri"/>
          <w:color w:val="434343"/>
          <w:kern w:val="36"/>
          <w:sz w:val="40"/>
          <w:szCs w:val="40"/>
        </w:rPr>
        <w:t>Reference</w:t>
      </w:r>
    </w:p>
    <w:p w14:paraId="288552E7" w14:textId="77777777" w:rsidR="00E343D7" w:rsidRPr="00E343D7" w:rsidRDefault="00E343D7" w:rsidP="00E343D7">
      <w:pPr>
        <w:numPr>
          <w:ilvl w:val="0"/>
          <w:numId w:val="11"/>
        </w:numPr>
        <w:textAlignment w:val="baseline"/>
        <w:rPr>
          <w:rFonts w:ascii="Calibri" w:eastAsia="Times New Roman" w:hAnsi="Calibri" w:cs="Calibri"/>
          <w:color w:val="000000"/>
          <w:sz w:val="22"/>
          <w:szCs w:val="22"/>
        </w:rPr>
      </w:pPr>
      <w:hyperlink r:id="rId9" w:history="1">
        <w:r w:rsidRPr="00E343D7">
          <w:rPr>
            <w:rFonts w:ascii="Calibri" w:eastAsia="Times New Roman" w:hAnsi="Calibri" w:cs="Calibri"/>
            <w:color w:val="1155CC"/>
            <w:sz w:val="22"/>
            <w:szCs w:val="22"/>
            <w:u w:val="single"/>
          </w:rPr>
          <w:t>https://dexur.com/icd10/T401X1A/</w:t>
        </w:r>
      </w:hyperlink>
      <w:r w:rsidRPr="00E343D7">
        <w:rPr>
          <w:rFonts w:ascii="Calibri" w:eastAsia="Times New Roman" w:hAnsi="Calibri" w:cs="Calibri"/>
          <w:color w:val="000000"/>
          <w:sz w:val="22"/>
          <w:szCs w:val="22"/>
        </w:rPr>
        <w:t>  -ICD 10 Diagnosis Codes</w:t>
      </w:r>
    </w:p>
    <w:p w14:paraId="1DCA3B04" w14:textId="77777777" w:rsidR="00E343D7" w:rsidRPr="00E343D7" w:rsidRDefault="00E343D7" w:rsidP="00E343D7">
      <w:pPr>
        <w:numPr>
          <w:ilvl w:val="0"/>
          <w:numId w:val="11"/>
        </w:numPr>
        <w:textAlignment w:val="baseline"/>
        <w:rPr>
          <w:rFonts w:ascii="Calibri" w:eastAsia="Times New Roman" w:hAnsi="Calibri" w:cs="Calibri"/>
          <w:color w:val="000000"/>
          <w:sz w:val="22"/>
          <w:szCs w:val="22"/>
        </w:rPr>
      </w:pPr>
      <w:hyperlink r:id="rId10" w:history="1">
        <w:r w:rsidRPr="00E343D7">
          <w:rPr>
            <w:rFonts w:ascii="Calibri" w:eastAsia="Times New Roman" w:hAnsi="Calibri" w:cs="Calibri"/>
            <w:color w:val="1155CC"/>
            <w:sz w:val="22"/>
            <w:szCs w:val="22"/>
            <w:u w:val="single"/>
          </w:rPr>
          <w:t>https://www.findacode.com/cpt-code-set.html</w:t>
        </w:r>
      </w:hyperlink>
      <w:r w:rsidRPr="00E343D7">
        <w:rPr>
          <w:rFonts w:ascii="Calibri" w:eastAsia="Times New Roman" w:hAnsi="Calibri" w:cs="Calibri"/>
          <w:color w:val="000000"/>
          <w:sz w:val="22"/>
          <w:szCs w:val="22"/>
        </w:rPr>
        <w:t xml:space="preserve"> -CPT Procedure Codes</w:t>
      </w:r>
    </w:p>
    <w:p w14:paraId="3E7EEF37" w14:textId="02B4AE30" w:rsidR="00E343D7" w:rsidRDefault="00E343D7" w:rsidP="00E343D7">
      <w:pPr>
        <w:spacing w:after="240"/>
        <w:rPr>
          <w:rFonts w:ascii="Times New Roman" w:hAnsi="Times New Roman" w:cs="Times New Roman"/>
        </w:rPr>
      </w:pPr>
      <w:r>
        <w:br/>
      </w:r>
    </w:p>
    <w:p w14:paraId="26ABF29D" w14:textId="77777777" w:rsidR="00E343D7" w:rsidRDefault="00B256C4" w:rsidP="00E343D7">
      <w:r>
        <w:rPr>
          <w:noProof/>
        </w:rPr>
        <w:pict w14:anchorId="03927BA1">
          <v:rect id="_x0000_i1025" alt="" style="width:468pt;height:.05pt;mso-width-percent:0;mso-height-percent:0;mso-width-percent:0;mso-height-percent:0" o:hralign="center" o:hrstd="t" o:hr="t" fillcolor="#a0a0a0" stroked="f"/>
        </w:pict>
      </w:r>
    </w:p>
    <w:p w14:paraId="2D873E83" w14:textId="77777777" w:rsidR="00E343D7" w:rsidRDefault="00E343D7" w:rsidP="00E343D7">
      <w:pPr>
        <w:pStyle w:val="NormalWeb"/>
        <w:spacing w:before="0" w:beforeAutospacing="0" w:after="0" w:afterAutospacing="0"/>
      </w:pPr>
      <w:r>
        <w:rPr>
          <w:rFonts w:ascii="Calibri" w:hAnsi="Calibri" w:cs="Calibri"/>
          <w:color w:val="434343"/>
          <w:sz w:val="22"/>
          <w:szCs w:val="22"/>
        </w:rPr>
        <w:t>END</w:t>
      </w:r>
    </w:p>
    <w:p w14:paraId="551C3DBC" w14:textId="77777777" w:rsidR="00E343D7" w:rsidRDefault="00E343D7"/>
    <w:sectPr w:rsidR="00E343D7" w:rsidSect="001D364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0743"/>
    <w:multiLevelType w:val="multilevel"/>
    <w:tmpl w:val="72720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F361E"/>
    <w:multiLevelType w:val="multilevel"/>
    <w:tmpl w:val="BA969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87195"/>
    <w:multiLevelType w:val="multilevel"/>
    <w:tmpl w:val="883CF6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64745"/>
    <w:multiLevelType w:val="multilevel"/>
    <w:tmpl w:val="C0D89D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72DEF"/>
    <w:multiLevelType w:val="multilevel"/>
    <w:tmpl w:val="B8B4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D5704"/>
    <w:multiLevelType w:val="multilevel"/>
    <w:tmpl w:val="1A6C01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C67470"/>
    <w:multiLevelType w:val="multilevel"/>
    <w:tmpl w:val="5668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E4912"/>
    <w:multiLevelType w:val="multilevel"/>
    <w:tmpl w:val="EB4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C7977"/>
    <w:multiLevelType w:val="multilevel"/>
    <w:tmpl w:val="2758A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29566F"/>
    <w:multiLevelType w:val="multilevel"/>
    <w:tmpl w:val="544076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36153C"/>
    <w:multiLevelType w:val="multilevel"/>
    <w:tmpl w:val="CB1C7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9F53A5"/>
    <w:multiLevelType w:val="multilevel"/>
    <w:tmpl w:val="360A8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9"/>
    <w:lvlOverride w:ilvl="0">
      <w:lvl w:ilvl="0">
        <w:numFmt w:val="decimal"/>
        <w:lvlText w:val="%1."/>
        <w:lvlJc w:val="left"/>
      </w:lvl>
    </w:lvlOverride>
  </w:num>
  <w:num w:numId="5">
    <w:abstractNumId w:val="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3"/>
    <w:lvlOverride w:ilvl="0">
      <w:lvl w:ilvl="0">
        <w:numFmt w:val="decimal"/>
        <w:lvlText w:val="%1."/>
        <w:lvlJc w:val="left"/>
      </w:lvl>
    </w:lvlOverride>
  </w:num>
  <w:num w:numId="8">
    <w:abstractNumId w:val="8"/>
  </w:num>
  <w:num w:numId="9">
    <w:abstractNumId w:val="1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D7"/>
    <w:rsid w:val="00007F0B"/>
    <w:rsid w:val="00196370"/>
    <w:rsid w:val="001D3645"/>
    <w:rsid w:val="00B256C4"/>
    <w:rsid w:val="00B45634"/>
    <w:rsid w:val="00E343D7"/>
    <w:rsid w:val="00E4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0096"/>
  <w14:defaultImageDpi w14:val="32767"/>
  <w15:chartTrackingRefBased/>
  <w15:docId w15:val="{FDAB60D3-61CE-FF47-88BA-97202B4A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43D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43D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43D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3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43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43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43D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343D7"/>
  </w:style>
  <w:style w:type="character" w:styleId="Hyperlink">
    <w:name w:val="Hyperlink"/>
    <w:basedOn w:val="DefaultParagraphFont"/>
    <w:uiPriority w:val="99"/>
    <w:semiHidden/>
    <w:unhideWhenUsed/>
    <w:rsid w:val="00E343D7"/>
    <w:rPr>
      <w:color w:val="0000FF"/>
      <w:u w:val="single"/>
    </w:rPr>
  </w:style>
  <w:style w:type="paragraph" w:styleId="ListParagraph">
    <w:name w:val="List Paragraph"/>
    <w:basedOn w:val="Normal"/>
    <w:uiPriority w:val="34"/>
    <w:qFormat/>
    <w:rsid w:val="00E34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666051">
      <w:bodyDiv w:val="1"/>
      <w:marLeft w:val="0"/>
      <w:marRight w:val="0"/>
      <w:marTop w:val="0"/>
      <w:marBottom w:val="0"/>
      <w:divBdr>
        <w:top w:val="none" w:sz="0" w:space="0" w:color="auto"/>
        <w:left w:val="none" w:sz="0" w:space="0" w:color="auto"/>
        <w:bottom w:val="none" w:sz="0" w:space="0" w:color="auto"/>
        <w:right w:val="none" w:sz="0" w:space="0" w:color="auto"/>
      </w:divBdr>
      <w:divsChild>
        <w:div w:id="2061395598">
          <w:marLeft w:val="45"/>
          <w:marRight w:val="0"/>
          <w:marTop w:val="0"/>
          <w:marBottom w:val="0"/>
          <w:divBdr>
            <w:top w:val="none" w:sz="0" w:space="0" w:color="auto"/>
            <w:left w:val="none" w:sz="0" w:space="0" w:color="auto"/>
            <w:bottom w:val="none" w:sz="0" w:space="0" w:color="auto"/>
            <w:right w:val="none" w:sz="0" w:space="0" w:color="auto"/>
          </w:divBdr>
        </w:div>
      </w:divsChild>
    </w:div>
    <w:div w:id="618953933">
      <w:bodyDiv w:val="1"/>
      <w:marLeft w:val="0"/>
      <w:marRight w:val="0"/>
      <w:marTop w:val="0"/>
      <w:marBottom w:val="0"/>
      <w:divBdr>
        <w:top w:val="none" w:sz="0" w:space="0" w:color="auto"/>
        <w:left w:val="none" w:sz="0" w:space="0" w:color="auto"/>
        <w:bottom w:val="none" w:sz="0" w:space="0" w:color="auto"/>
        <w:right w:val="none" w:sz="0" w:space="0" w:color="auto"/>
      </w:divBdr>
    </w:div>
    <w:div w:id="768164227">
      <w:bodyDiv w:val="1"/>
      <w:marLeft w:val="0"/>
      <w:marRight w:val="0"/>
      <w:marTop w:val="0"/>
      <w:marBottom w:val="0"/>
      <w:divBdr>
        <w:top w:val="none" w:sz="0" w:space="0" w:color="auto"/>
        <w:left w:val="none" w:sz="0" w:space="0" w:color="auto"/>
        <w:bottom w:val="none" w:sz="0" w:space="0" w:color="auto"/>
        <w:right w:val="none" w:sz="0" w:space="0" w:color="auto"/>
      </w:divBdr>
    </w:div>
    <w:div w:id="1054356414">
      <w:bodyDiv w:val="1"/>
      <w:marLeft w:val="0"/>
      <w:marRight w:val="0"/>
      <w:marTop w:val="0"/>
      <w:marBottom w:val="0"/>
      <w:divBdr>
        <w:top w:val="none" w:sz="0" w:space="0" w:color="auto"/>
        <w:left w:val="none" w:sz="0" w:space="0" w:color="auto"/>
        <w:bottom w:val="none" w:sz="0" w:space="0" w:color="auto"/>
        <w:right w:val="none" w:sz="0" w:space="0" w:color="auto"/>
      </w:divBdr>
      <w:divsChild>
        <w:div w:id="2083870107">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indacode.com/cpt-code-set.html" TargetMode="External"/><Relationship Id="rId4" Type="http://schemas.openxmlformats.org/officeDocument/2006/relationships/webSettings" Target="webSettings.xml"/><Relationship Id="rId9" Type="http://schemas.openxmlformats.org/officeDocument/2006/relationships/hyperlink" Target="https://dexur.com/icd10/T401X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3421</Words>
  <Characters>19504</Characters>
  <Application>Microsoft Office Word</Application>
  <DocSecurity>0</DocSecurity>
  <Lines>162</Lines>
  <Paragraphs>45</Paragraphs>
  <ScaleCrop>false</ScaleCrop>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He</dc:creator>
  <cp:keywords/>
  <dc:description/>
  <cp:lastModifiedBy>Qi He</cp:lastModifiedBy>
  <cp:revision>2</cp:revision>
  <dcterms:created xsi:type="dcterms:W3CDTF">2020-10-21T16:30:00Z</dcterms:created>
  <dcterms:modified xsi:type="dcterms:W3CDTF">2020-10-21T17:14:00Z</dcterms:modified>
</cp:coreProperties>
</file>