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b/>
          <w:bCs/>
          <w:sz w:val="28"/>
          <w:szCs w:val="36"/>
        </w:rPr>
        <w:t>生统第</w:t>
      </w:r>
      <w:r>
        <w:rPr>
          <w:rFonts w:hint="eastAsia"/>
          <w:b/>
          <w:bCs/>
          <w:sz w:val="28"/>
          <w:szCs w:val="36"/>
          <w:lang w:val="en-US" w:eastAsia="zh-CN"/>
        </w:rPr>
        <w:t>四</w:t>
      </w:r>
      <w:bookmarkStart w:id="0" w:name="_GoBack"/>
      <w:bookmarkEnd w:id="0"/>
      <w:r>
        <w:rPr>
          <w:rFonts w:hint="eastAsia"/>
          <w:b/>
          <w:bCs/>
          <w:sz w:val="28"/>
          <w:szCs w:val="36"/>
        </w:rPr>
        <w:t>次作业</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一、为研究某种新药对抗凝血酶活力的影响，随机安排新药组病人12例，对照组病人10例，分别测定器抗凝血酶活力（单位：），其结果如下：</w:t>
      </w:r>
    </w:p>
    <w:p>
      <w:pPr>
        <w:numPr>
          <w:ilvl w:val="0"/>
          <w:numId w:val="0"/>
        </w:numPr>
        <w:rPr>
          <w:rFonts w:hint="eastAsia"/>
          <w:lang w:val="en-US" w:eastAsia="zh-CN"/>
        </w:rPr>
      </w:pPr>
      <w:r>
        <w:rPr>
          <w:rFonts w:hint="eastAsia"/>
          <w:lang w:val="en-US" w:eastAsia="zh-CN"/>
        </w:rPr>
        <w:t xml:space="preserve">      新药组：126 125 138 128 123 138 142 116 110 108 113 140</w:t>
      </w:r>
    </w:p>
    <w:p>
      <w:pPr>
        <w:numPr>
          <w:ilvl w:val="0"/>
          <w:numId w:val="0"/>
        </w:numPr>
        <w:rPr>
          <w:rFonts w:hint="eastAsia"/>
          <w:lang w:val="en-US" w:eastAsia="zh-CN"/>
        </w:rPr>
      </w:pPr>
      <w:r>
        <w:rPr>
          <w:rFonts w:hint="eastAsia"/>
          <w:lang w:val="en-US" w:eastAsia="zh-CN"/>
        </w:rPr>
        <w:t xml:space="preserve">      对照组：160 175 177 170 175 153 168 159 160 162</w:t>
      </w:r>
    </w:p>
    <w:p>
      <w:pPr>
        <w:numPr>
          <w:ilvl w:val="0"/>
          <w:numId w:val="0"/>
        </w:numPr>
        <w:rPr>
          <w:rFonts w:hint="eastAsia"/>
          <w:lang w:val="en-US" w:eastAsia="zh-CN"/>
        </w:rPr>
      </w:pPr>
      <w:r>
        <w:rPr>
          <w:rFonts w:hint="eastAsia"/>
          <w:lang w:val="en-US" w:eastAsia="zh-CN"/>
        </w:rPr>
        <w:t>试分析新药组和对照组病人的抗凝血酶活力有无差别（</w:t>
      </w:r>
      <w:r>
        <w:rPr>
          <w:rFonts w:hint="default" w:ascii="Arial" w:hAnsi="Arial" w:cs="Arial"/>
          <w:lang w:val="en-US" w:eastAsia="zh-CN"/>
        </w:rPr>
        <w:t>α</w:t>
      </w:r>
      <w:r>
        <w:rPr>
          <w:rFonts w:hint="eastAsia" w:ascii="Arial" w:hAnsi="Arial" w:cs="Arial"/>
          <w:lang w:val="en-US" w:eastAsia="zh-CN"/>
        </w:rPr>
        <w:t xml:space="preserve"> </w:t>
      </w:r>
      <w:r>
        <w:rPr>
          <w:rFonts w:hint="eastAsia"/>
          <w:lang w:val="en-US" w:eastAsia="zh-CN"/>
        </w:rPr>
        <w:t>= 0.05）</w:t>
      </w:r>
    </w:p>
    <w:p>
      <w:pPr>
        <w:numPr>
          <w:ilvl w:val="0"/>
          <w:numId w:val="0"/>
        </w:numPr>
        <w:rPr>
          <w:rFonts w:hint="default"/>
          <w:lang w:val="en-US" w:eastAsia="zh-CN"/>
        </w:rPr>
      </w:pPr>
      <w:r>
        <w:rPr>
          <w:rFonts w:hint="eastAsia"/>
          <w:lang w:val="en-US" w:eastAsia="zh-CN"/>
        </w:rPr>
        <w:t>（1）检验两组样本方差是否相同 (15</w:t>
      </w:r>
      <w:r>
        <w:rPr>
          <w:rFonts w:hint="default"/>
          <w:lang w:val="en-US" w:eastAsia="zh-CN"/>
        </w:rPr>
        <w:t>’</w:t>
      </w:r>
      <w:r>
        <w:rPr>
          <w:rFonts w:hint="eastAsia"/>
          <w:lang w:val="en-US" w:eastAsia="zh-CN"/>
        </w:rPr>
        <w:t>)</w:t>
      </w:r>
    </w:p>
    <w:p>
      <w:pPr>
        <w:numPr>
          <w:ilvl w:val="0"/>
          <w:numId w:val="0"/>
        </w:numPr>
        <w:rPr>
          <w:rFonts w:hint="default"/>
          <w:lang w:val="en-US" w:eastAsia="zh-CN"/>
        </w:rPr>
      </w:pPr>
      <w:r>
        <w:rPr>
          <w:rFonts w:hint="eastAsia"/>
          <w:lang w:val="en-US" w:eastAsia="zh-CN"/>
        </w:rPr>
        <w:t>（2）选择最合适的检验方法检验新药组和对照组病人的抗凝血酶活力有无差别。(15</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leftChars="0"/>
        <w:rPr>
          <w:rFonts w:hint="default"/>
          <w:lang w:val="en-US" w:eastAsia="zh-CN"/>
        </w:rPr>
      </w:pPr>
      <w:r>
        <w:rPr>
          <w:rFonts w:hint="eastAsia"/>
          <w:lang w:val="en-US" w:eastAsia="zh-CN"/>
        </w:rPr>
        <w:t>二、对7位健康成年人的血液测量其中的尿酸浓度，分别用手工（X）和仪器 （Y）两种方法测量，结果如下表所示，请用wilcoxon signed-rank test来检测两种测量方法的精度是否存在差异? （</w:t>
      </w:r>
      <w:r>
        <w:rPr>
          <w:rFonts w:hint="default" w:ascii="Arial" w:hAnsi="Arial" w:cs="Arial"/>
          <w:lang w:val="en-US" w:eastAsia="zh-CN"/>
        </w:rPr>
        <w:t>α</w:t>
      </w:r>
      <w:r>
        <w:rPr>
          <w:rFonts w:hint="eastAsia" w:ascii="Arial" w:hAnsi="Arial" w:cs="Arial"/>
          <w:lang w:val="en-US" w:eastAsia="zh-CN"/>
        </w:rPr>
        <w:t xml:space="preserve"> = 0.05</w:t>
      </w:r>
      <w:r>
        <w:rPr>
          <w:rFonts w:hint="eastAsia"/>
          <w:lang w:val="en-US" w:eastAsia="zh-CN"/>
        </w:rPr>
        <w:t>）(20</w:t>
      </w:r>
      <w:r>
        <w:rPr>
          <w:rFonts w:hint="default"/>
          <w:lang w:val="en-US" w:eastAsia="zh-CN"/>
        </w:rPr>
        <w:t>’</w:t>
      </w:r>
      <w:r>
        <w:rPr>
          <w:rFonts w:hint="eastAsia"/>
          <w:lang w:val="en-US" w:eastAsia="zh-CN"/>
        </w:rPr>
        <w:t>)</w:t>
      </w:r>
    </w:p>
    <w:p>
      <w:pPr>
        <w:numPr>
          <w:ilvl w:val="0"/>
          <w:numId w:val="0"/>
        </w:numPr>
        <w:ind w:leftChars="0"/>
        <w:rPr>
          <w:rFonts w:hint="default"/>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rPr>
                <w:rFonts w:hint="default"/>
                <w:vertAlign w:val="baseline"/>
                <w:lang w:val="en-US" w:eastAsia="zh-CN"/>
              </w:rPr>
            </w:pPr>
            <w:r>
              <w:rPr>
                <w:rFonts w:hint="eastAsia"/>
                <w:vertAlign w:val="baseline"/>
                <w:lang w:val="en-US" w:eastAsia="zh-CN"/>
              </w:rPr>
              <w:t>手工（X）</w:t>
            </w:r>
          </w:p>
        </w:tc>
        <w:tc>
          <w:tcPr>
            <w:tcW w:w="1065" w:type="dxa"/>
          </w:tcPr>
          <w:p>
            <w:pPr>
              <w:numPr>
                <w:ilvl w:val="0"/>
                <w:numId w:val="0"/>
              </w:numPr>
              <w:jc w:val="center"/>
              <w:rPr>
                <w:rFonts w:hint="default"/>
                <w:vertAlign w:val="baseline"/>
                <w:lang w:val="en-US" w:eastAsia="zh-CN"/>
              </w:rPr>
            </w:pPr>
            <w:r>
              <w:rPr>
                <w:rFonts w:hint="eastAsia"/>
                <w:vertAlign w:val="baseline"/>
                <w:lang w:val="en-US" w:eastAsia="zh-CN"/>
              </w:rPr>
              <w:t>4.5</w:t>
            </w:r>
          </w:p>
        </w:tc>
        <w:tc>
          <w:tcPr>
            <w:tcW w:w="1065" w:type="dxa"/>
          </w:tcPr>
          <w:p>
            <w:pPr>
              <w:numPr>
                <w:ilvl w:val="0"/>
                <w:numId w:val="0"/>
              </w:numPr>
              <w:jc w:val="center"/>
              <w:rPr>
                <w:rFonts w:hint="default"/>
                <w:vertAlign w:val="baseline"/>
                <w:lang w:val="en-US" w:eastAsia="zh-CN"/>
              </w:rPr>
            </w:pPr>
            <w:r>
              <w:rPr>
                <w:rFonts w:hint="eastAsia"/>
                <w:vertAlign w:val="baseline"/>
                <w:lang w:val="en-US" w:eastAsia="zh-CN"/>
              </w:rPr>
              <w:t>6.5</w:t>
            </w:r>
          </w:p>
        </w:tc>
        <w:tc>
          <w:tcPr>
            <w:tcW w:w="1065" w:type="dxa"/>
          </w:tcPr>
          <w:p>
            <w:pPr>
              <w:numPr>
                <w:ilvl w:val="0"/>
                <w:numId w:val="0"/>
              </w:numPr>
              <w:jc w:val="center"/>
              <w:rPr>
                <w:rFonts w:hint="default"/>
                <w:vertAlign w:val="baseline"/>
                <w:lang w:val="en-US" w:eastAsia="zh-CN"/>
              </w:rPr>
            </w:pPr>
            <w:r>
              <w:rPr>
                <w:rFonts w:hint="eastAsia"/>
                <w:vertAlign w:val="baseline"/>
                <w:lang w:val="en-US" w:eastAsia="zh-CN"/>
              </w:rPr>
              <w:t>6</w:t>
            </w:r>
          </w:p>
        </w:tc>
        <w:tc>
          <w:tcPr>
            <w:tcW w:w="1065" w:type="dxa"/>
          </w:tcPr>
          <w:p>
            <w:pPr>
              <w:numPr>
                <w:ilvl w:val="0"/>
                <w:numId w:val="0"/>
              </w:numPr>
              <w:jc w:val="center"/>
              <w:rPr>
                <w:rFonts w:hint="default"/>
                <w:vertAlign w:val="baseline"/>
                <w:lang w:val="en-US" w:eastAsia="zh-CN"/>
              </w:rPr>
            </w:pPr>
            <w:r>
              <w:rPr>
                <w:rFonts w:hint="eastAsia"/>
                <w:vertAlign w:val="baseline"/>
                <w:lang w:val="en-US" w:eastAsia="zh-CN"/>
              </w:rPr>
              <w:t>9.2</w:t>
            </w:r>
          </w:p>
        </w:tc>
        <w:tc>
          <w:tcPr>
            <w:tcW w:w="1065" w:type="dxa"/>
          </w:tcPr>
          <w:p>
            <w:pPr>
              <w:numPr>
                <w:ilvl w:val="0"/>
                <w:numId w:val="0"/>
              </w:numPr>
              <w:jc w:val="center"/>
              <w:rPr>
                <w:rFonts w:hint="default"/>
                <w:vertAlign w:val="baseline"/>
                <w:lang w:val="en-US" w:eastAsia="zh-CN"/>
              </w:rPr>
            </w:pPr>
            <w:r>
              <w:rPr>
                <w:rFonts w:hint="eastAsia"/>
                <w:vertAlign w:val="baseline"/>
                <w:lang w:val="en-US" w:eastAsia="zh-CN"/>
              </w:rPr>
              <w:t>10</w:t>
            </w:r>
          </w:p>
        </w:tc>
        <w:tc>
          <w:tcPr>
            <w:tcW w:w="1066" w:type="dxa"/>
          </w:tcPr>
          <w:p>
            <w:pPr>
              <w:numPr>
                <w:ilvl w:val="0"/>
                <w:numId w:val="0"/>
              </w:numPr>
              <w:jc w:val="center"/>
              <w:rPr>
                <w:rFonts w:hint="default"/>
                <w:vertAlign w:val="baseline"/>
                <w:lang w:val="en-US" w:eastAsia="zh-CN"/>
              </w:rPr>
            </w:pPr>
            <w:r>
              <w:rPr>
                <w:rFonts w:hint="eastAsia"/>
                <w:vertAlign w:val="baseline"/>
                <w:lang w:val="en-US" w:eastAsia="zh-CN"/>
              </w:rPr>
              <w:t>12</w:t>
            </w:r>
          </w:p>
        </w:tc>
        <w:tc>
          <w:tcPr>
            <w:tcW w:w="1066" w:type="dxa"/>
          </w:tcPr>
          <w:p>
            <w:pPr>
              <w:numPr>
                <w:ilvl w:val="0"/>
                <w:numId w:val="0"/>
              </w:numPr>
              <w:jc w:val="center"/>
              <w:rPr>
                <w:rFonts w:hint="default"/>
                <w:vertAlign w:val="baseline"/>
                <w:lang w:val="en-US" w:eastAsia="zh-CN"/>
              </w:rPr>
            </w:pPr>
            <w:r>
              <w:rPr>
                <w:rFonts w:hint="eastAsia"/>
                <w:vertAlign w:val="baseline"/>
                <w:lang w:val="en-US" w:eastAsia="zh-CN"/>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rPr>
                <w:rFonts w:hint="default"/>
                <w:vertAlign w:val="baseline"/>
                <w:lang w:val="en-US" w:eastAsia="zh-CN"/>
              </w:rPr>
            </w:pPr>
            <w:r>
              <w:rPr>
                <w:rFonts w:hint="eastAsia"/>
                <w:vertAlign w:val="baseline"/>
                <w:lang w:val="en-US" w:eastAsia="zh-CN"/>
              </w:rPr>
              <w:t>仪器（Y）</w:t>
            </w:r>
          </w:p>
        </w:tc>
        <w:tc>
          <w:tcPr>
            <w:tcW w:w="1065" w:type="dxa"/>
          </w:tcPr>
          <w:p>
            <w:pPr>
              <w:numPr>
                <w:ilvl w:val="0"/>
                <w:numId w:val="0"/>
              </w:numPr>
              <w:jc w:val="center"/>
              <w:rPr>
                <w:rFonts w:hint="default"/>
                <w:vertAlign w:val="baseline"/>
                <w:lang w:val="en-US" w:eastAsia="zh-CN"/>
              </w:rPr>
            </w:pPr>
            <w:r>
              <w:rPr>
                <w:rFonts w:hint="eastAsia"/>
                <w:vertAlign w:val="baseline"/>
                <w:lang w:val="en-US" w:eastAsia="zh-CN"/>
              </w:rPr>
              <w:t>4</w:t>
            </w:r>
          </w:p>
        </w:tc>
        <w:tc>
          <w:tcPr>
            <w:tcW w:w="1065" w:type="dxa"/>
          </w:tcPr>
          <w:p>
            <w:pPr>
              <w:numPr>
                <w:ilvl w:val="0"/>
                <w:numId w:val="0"/>
              </w:numPr>
              <w:jc w:val="center"/>
              <w:rPr>
                <w:rFonts w:hint="default"/>
                <w:vertAlign w:val="baseline"/>
                <w:lang w:val="en-US" w:eastAsia="zh-CN"/>
              </w:rPr>
            </w:pPr>
            <w:r>
              <w:rPr>
                <w:rFonts w:hint="eastAsia"/>
                <w:vertAlign w:val="baseline"/>
                <w:lang w:val="en-US" w:eastAsia="zh-CN"/>
              </w:rPr>
              <w:t>7.2</w:t>
            </w:r>
          </w:p>
        </w:tc>
        <w:tc>
          <w:tcPr>
            <w:tcW w:w="1065" w:type="dxa"/>
          </w:tcPr>
          <w:p>
            <w:pPr>
              <w:numPr>
                <w:ilvl w:val="0"/>
                <w:numId w:val="0"/>
              </w:numPr>
              <w:jc w:val="center"/>
              <w:rPr>
                <w:rFonts w:hint="default"/>
                <w:vertAlign w:val="baseline"/>
                <w:lang w:val="en-US" w:eastAsia="zh-CN"/>
              </w:rPr>
            </w:pPr>
            <w:r>
              <w:rPr>
                <w:rFonts w:hint="eastAsia"/>
                <w:vertAlign w:val="baseline"/>
                <w:lang w:val="en-US" w:eastAsia="zh-CN"/>
              </w:rPr>
              <w:t>8</w:t>
            </w:r>
          </w:p>
        </w:tc>
        <w:tc>
          <w:tcPr>
            <w:tcW w:w="1065" w:type="dxa"/>
          </w:tcPr>
          <w:p>
            <w:pPr>
              <w:numPr>
                <w:ilvl w:val="0"/>
                <w:numId w:val="0"/>
              </w:numPr>
              <w:jc w:val="center"/>
              <w:rPr>
                <w:rFonts w:hint="default"/>
                <w:vertAlign w:val="baseline"/>
                <w:lang w:val="en-US" w:eastAsia="zh-CN"/>
              </w:rPr>
            </w:pPr>
            <w:r>
              <w:rPr>
                <w:rFonts w:hint="eastAsia"/>
                <w:vertAlign w:val="baseline"/>
                <w:lang w:val="en-US" w:eastAsia="zh-CN"/>
              </w:rPr>
              <w:t>14</w:t>
            </w:r>
          </w:p>
        </w:tc>
        <w:tc>
          <w:tcPr>
            <w:tcW w:w="1065" w:type="dxa"/>
          </w:tcPr>
          <w:p>
            <w:pPr>
              <w:numPr>
                <w:ilvl w:val="0"/>
                <w:numId w:val="0"/>
              </w:numPr>
              <w:jc w:val="center"/>
              <w:rPr>
                <w:rFonts w:hint="default"/>
                <w:vertAlign w:val="baseline"/>
                <w:lang w:val="en-US" w:eastAsia="zh-CN"/>
              </w:rPr>
            </w:pPr>
            <w:r>
              <w:rPr>
                <w:rFonts w:hint="eastAsia"/>
                <w:vertAlign w:val="baseline"/>
                <w:lang w:val="en-US" w:eastAsia="zh-CN"/>
              </w:rPr>
              <w:t>8.8</w:t>
            </w:r>
          </w:p>
        </w:tc>
        <w:tc>
          <w:tcPr>
            <w:tcW w:w="1066" w:type="dxa"/>
          </w:tcPr>
          <w:p>
            <w:pPr>
              <w:numPr>
                <w:ilvl w:val="0"/>
                <w:numId w:val="0"/>
              </w:numPr>
              <w:jc w:val="center"/>
              <w:rPr>
                <w:rFonts w:hint="default"/>
                <w:vertAlign w:val="baseline"/>
                <w:lang w:val="en-US" w:eastAsia="zh-CN"/>
              </w:rPr>
            </w:pPr>
            <w:r>
              <w:rPr>
                <w:rFonts w:hint="eastAsia"/>
                <w:vertAlign w:val="baseline"/>
                <w:lang w:val="en-US" w:eastAsia="zh-CN"/>
              </w:rPr>
              <w:t>10</w:t>
            </w:r>
          </w:p>
        </w:tc>
        <w:tc>
          <w:tcPr>
            <w:tcW w:w="1066" w:type="dxa"/>
          </w:tcPr>
          <w:p>
            <w:pPr>
              <w:numPr>
                <w:ilvl w:val="0"/>
                <w:numId w:val="0"/>
              </w:numPr>
              <w:jc w:val="center"/>
              <w:rPr>
                <w:rFonts w:hint="default"/>
                <w:vertAlign w:val="baseline"/>
                <w:lang w:val="en-US" w:eastAsia="zh-CN"/>
              </w:rPr>
            </w:pPr>
            <w:r>
              <w:rPr>
                <w:rFonts w:hint="eastAsia"/>
                <w:vertAlign w:val="baseline"/>
                <w:lang w:val="en-US" w:eastAsia="zh-CN"/>
              </w:rPr>
              <w:t>11.5</w:t>
            </w:r>
          </w:p>
        </w:tc>
      </w:tr>
    </w:tbl>
    <w:p/>
    <w:p/>
    <w:p>
      <w:pPr>
        <w:numPr>
          <w:ilvl w:val="0"/>
          <w:numId w:val="0"/>
        </w:numPr>
        <w:rPr>
          <w:rFonts w:hint="default" w:eastAsiaTheme="minorEastAsia"/>
          <w:lang w:val="en-US" w:eastAsia="zh-CN"/>
        </w:rPr>
      </w:pPr>
      <w:r>
        <w:rPr>
          <w:rFonts w:hint="eastAsia"/>
          <w:lang w:val="en-US" w:eastAsia="zh-CN"/>
        </w:rPr>
        <w:t>三、在某保险种类中，一次关于2018年的索赔数额（单位：元）的随机抽样为（按升幂排列）：</w:t>
      </w:r>
    </w:p>
    <w:p>
      <w:pPr>
        <w:numPr>
          <w:ilvl w:val="0"/>
          <w:numId w:val="0"/>
        </w:numPr>
        <w:rPr>
          <w:rFonts w:hint="eastAsia"/>
          <w:lang w:val="en-US" w:eastAsia="zh-CN"/>
        </w:rPr>
      </w:pPr>
      <w:r>
        <w:rPr>
          <w:rFonts w:hint="eastAsia"/>
          <w:lang w:val="en-US" w:eastAsia="zh-CN"/>
        </w:rPr>
        <w:t xml:space="preserve">       4152，4579，5053，5112，5745，6250，7081，9048，</w:t>
      </w:r>
    </w:p>
    <w:p>
      <w:pPr>
        <w:numPr>
          <w:ilvl w:val="0"/>
          <w:numId w:val="0"/>
        </w:numPr>
        <w:rPr>
          <w:rFonts w:hint="eastAsia"/>
          <w:lang w:val="en-US" w:eastAsia="zh-CN"/>
        </w:rPr>
      </w:pPr>
      <w:r>
        <w:rPr>
          <w:rFonts w:hint="eastAsia"/>
          <w:lang w:val="en-US" w:eastAsia="zh-CN"/>
        </w:rPr>
        <w:t xml:space="preserve">       12095，14430，17220，20610，22836，48950，67200</w:t>
      </w:r>
    </w:p>
    <w:p>
      <w:pPr>
        <w:numPr>
          <w:ilvl w:val="0"/>
          <w:numId w:val="0"/>
        </w:numPr>
        <w:rPr>
          <w:rFonts w:hint="default"/>
          <w:lang w:val="en-US" w:eastAsia="zh-CN"/>
        </w:rPr>
      </w:pPr>
      <w:r>
        <w:rPr>
          <w:rFonts w:hint="eastAsia"/>
          <w:lang w:val="en-US" w:eastAsia="zh-CN"/>
        </w:rPr>
        <w:t>已知2017年的索赔数额的中位数为7520元。问2018年索赔的中位数与前一年是否有所变化？（</w:t>
      </w:r>
      <w:r>
        <w:rPr>
          <w:rFonts w:hint="default" w:ascii="Arial" w:hAnsi="Arial" w:cs="Arial"/>
          <w:lang w:val="en-US" w:eastAsia="zh-CN"/>
        </w:rPr>
        <w:t>α</w:t>
      </w:r>
      <w:r>
        <w:rPr>
          <w:rFonts w:hint="eastAsia" w:ascii="Arial" w:hAnsi="Arial" w:cs="Arial"/>
          <w:lang w:val="en-US" w:eastAsia="zh-CN"/>
        </w:rPr>
        <w:t xml:space="preserve"> = 0.05</w:t>
      </w:r>
      <w:r>
        <w:rPr>
          <w:rFonts w:hint="eastAsia"/>
          <w:lang w:val="en-US" w:eastAsia="zh-CN"/>
        </w:rPr>
        <w:t>）(15</w:t>
      </w:r>
      <w:r>
        <w:rPr>
          <w:rFonts w:hint="default"/>
          <w:lang w:val="en-US" w:eastAsia="zh-CN"/>
        </w:rPr>
        <w:t>’</w:t>
      </w:r>
      <w:r>
        <w:rPr>
          <w:rFonts w:hint="eastAsia"/>
          <w:lang w:val="en-US" w:eastAsia="zh-CN"/>
        </w:rPr>
        <w:t>)</w:t>
      </w:r>
    </w:p>
    <w:p>
      <w:pPr>
        <w:numPr>
          <w:ilvl w:val="0"/>
          <w:numId w:val="0"/>
        </w:numPr>
        <w:rPr>
          <w:rFonts w:hint="default"/>
          <w:lang w:val="en-US" w:eastAsia="zh-CN"/>
        </w:rPr>
      </w:pPr>
      <w:r>
        <w:rPr>
          <w:rFonts w:hint="eastAsia"/>
          <w:lang w:val="en-US" w:eastAsia="zh-CN"/>
        </w:rPr>
        <w:t>Hint: You can use wilcox.test</w:t>
      </w:r>
    </w:p>
    <w:p/>
    <w:p>
      <w:pPr>
        <w:numPr>
          <w:ilvl w:val="0"/>
          <w:numId w:val="0"/>
        </w:numPr>
        <w:rPr>
          <w:rFonts w:hint="eastAsia"/>
          <w:lang w:val="en-US" w:eastAsia="zh-CN"/>
        </w:rPr>
      </w:pPr>
      <w:r>
        <w:rPr>
          <w:rFonts w:hint="eastAsia"/>
          <w:lang w:val="en-US" w:eastAsia="zh-CN"/>
        </w:rPr>
        <w:t xml:space="preserve">四、Type 1 diabetes is a multigenic disease caused by T-cell mediated destruction of the insulin producing </w:t>
      </w:r>
      <w:r>
        <w:rPr>
          <w:rFonts w:hint="default" w:ascii="Arial" w:hAnsi="Arial" w:cs="Arial"/>
          <w:lang w:val="en-US" w:eastAsia="zh-CN"/>
        </w:rPr>
        <w:t>β</w:t>
      </w:r>
      <w:r>
        <w:rPr>
          <w:rFonts w:hint="eastAsia"/>
          <w:lang w:val="en-US" w:eastAsia="zh-CN"/>
        </w:rPr>
        <w:t>-cells. Although conventional (targeted) approaches of identifying causative genes have advanced our knowledge of this disease, many questions remain unanswered.</w:t>
      </w:r>
    </w:p>
    <w:p>
      <w:pPr>
        <w:numPr>
          <w:ilvl w:val="0"/>
          <w:numId w:val="0"/>
        </w:numPr>
        <w:rPr>
          <w:rFonts w:hint="eastAsia"/>
          <w:lang w:val="en-US" w:eastAsia="zh-CN"/>
        </w:rPr>
      </w:pPr>
      <w:r>
        <w:rPr>
          <w:rFonts w:hint="eastAsia"/>
          <w:lang w:val="en-US" w:eastAsia="zh-CN"/>
        </w:rPr>
        <w:t>Here we have a gene data from NOD mouse after(case) and before(control) treatment. The data can be found in "Data.txt”.Use the information mentioned above to answer the following questions:</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use paired t-test to find genes which have significant expression (p&lt;0.05) between case and control  sample. Give the number of differential expressed genes and give the names of top 10 significantly differential expression genes. hint: “apply(data,1,function(x){…})” can apply function to every row in data more quickly than “for{}”, “names()” or “rownames()” can be used to extract names of differentially expressed genes.( 20</w:t>
      </w:r>
      <w:r>
        <w:rPr>
          <w:rFonts w:hint="default"/>
          <w:lang w:val="en-US" w:eastAsia="zh-CN"/>
        </w:rPr>
        <w:t>’</w:t>
      </w:r>
      <w:r>
        <w:rPr>
          <w:rFonts w:hint="eastAsia"/>
          <w:lang w:val="en-US" w:eastAsia="zh-CN"/>
        </w:rPr>
        <w:t>)</w:t>
      </w:r>
    </w:p>
    <w:p>
      <w:pPr>
        <w:numPr>
          <w:ilvl w:val="0"/>
          <w:numId w:val="1"/>
        </w:numPr>
        <w:ind w:left="0" w:leftChars="0" w:firstLine="0" w:firstLineChars="0"/>
        <w:rPr>
          <w:rFonts w:hint="eastAsia"/>
          <w:lang w:val="en-US" w:eastAsia="zh-CN"/>
        </w:rPr>
      </w:pPr>
      <w:r>
        <w:rPr>
          <w:rFonts w:hint="eastAsia"/>
          <w:lang w:val="en-US" w:eastAsia="zh-CN"/>
        </w:rPr>
        <w:t>Adjust the p-values in question a) with bonferroni and FDR method to find differentially expressed genes in stringent way( list the differentially expressed gene names and the adjusted p-value). (15</w:t>
      </w:r>
      <w:r>
        <w:rPr>
          <w:rFonts w:hint="default"/>
          <w:lang w:val="en-US" w:eastAsia="zh-CN"/>
        </w:rPr>
        <w:t>’</w:t>
      </w:r>
      <w:r>
        <w:rPr>
          <w:rFonts w:hint="eastAsia"/>
          <w:lang w:val="en-US" w:eastAsia="zh-CN"/>
        </w:rPr>
        <w:t>)</w:t>
      </w:r>
    </w:p>
    <w:p>
      <w:pPr>
        <w:numPr>
          <w:ilvl w:val="0"/>
          <w:numId w:val="0"/>
        </w:numPr>
      </w:pPr>
      <w:r>
        <w:rPr>
          <w:rFonts w:hint="eastAsia"/>
          <w:lang w:val="en-US" w:eastAsia="zh-CN"/>
        </w:rPr>
        <w:t>Hint: you can do the adjustment according to the fomular, or use “p.adjust()” instead.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6E7E81"/>
    <w:multiLevelType w:val="singleLevel"/>
    <w:tmpl w:val="E66E7E81"/>
    <w:lvl w:ilvl="0" w:tentative="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B0993"/>
    <w:rsid w:val="17830D77"/>
    <w:rsid w:val="311F3268"/>
    <w:rsid w:val="37E87214"/>
    <w:rsid w:val="38A33EE6"/>
    <w:rsid w:val="3A6B5C89"/>
    <w:rsid w:val="6B7817E1"/>
    <w:rsid w:val="7FFA4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陈亚彬</cp:lastModifiedBy>
  <dcterms:modified xsi:type="dcterms:W3CDTF">2019-04-19T09:18:34Z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