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AB51" w14:textId="77777777" w:rsidR="00793662" w:rsidRPr="00FF724D" w:rsidRDefault="00793662" w:rsidP="00A85465">
      <w:pPr>
        <w:pStyle w:val="a3"/>
        <w:numPr>
          <w:ilvl w:val="0"/>
          <w:numId w:val="1"/>
        </w:numPr>
        <w:spacing w:line="240" w:lineRule="auto"/>
        <w:ind w:leftChars="100" w:left="580" w:firstLineChars="0"/>
        <w:rPr>
          <w:rFonts w:cs="Times New Roman"/>
          <w:szCs w:val="24"/>
        </w:rPr>
      </w:pPr>
      <w:r w:rsidRPr="00FF724D">
        <w:rPr>
          <w:rFonts w:cs="Times New Roman"/>
          <w:b/>
          <w:bCs/>
          <w:szCs w:val="24"/>
        </w:rPr>
        <w:t xml:space="preserve">Large-scale Literature Survey: </w:t>
      </w:r>
      <w:r w:rsidRPr="00FF724D">
        <w:rPr>
          <w:rFonts w:cs="Times New Roman"/>
          <w:szCs w:val="24"/>
        </w:rPr>
        <w:t>Following the PRISMA-</w:t>
      </w:r>
      <w:proofErr w:type="spellStart"/>
      <w:r w:rsidRPr="00FF724D">
        <w:rPr>
          <w:rFonts w:cs="Times New Roman"/>
          <w:szCs w:val="24"/>
        </w:rPr>
        <w:t>ScR</w:t>
      </w:r>
      <w:proofErr w:type="spellEnd"/>
      <w:r w:rsidRPr="00FF724D">
        <w:rPr>
          <w:rFonts w:cs="Times New Roman"/>
          <w:szCs w:val="24"/>
        </w:rPr>
        <w:t xml:space="preserve"> workflow, the authors filtered 522 high-quality studies published from 2006 to 2025. Trend analysis shows that InSAR- and UAV-based monitoring progressed from niche pilots to mainstream solutions, with research interests shifting from single-scenario setups to multi-scenario fusion. </w:t>
      </w:r>
    </w:p>
    <w:p w14:paraId="645DEB8F" w14:textId="77777777" w:rsidR="00793662" w:rsidRPr="00FF724D" w:rsidRDefault="00793662" w:rsidP="00A85465">
      <w:pPr>
        <w:spacing w:line="240" w:lineRule="auto"/>
        <w:ind w:leftChars="100" w:left="220" w:firstLineChars="100" w:firstLine="220"/>
        <w:rPr>
          <w:rFonts w:cs="Times New Roman"/>
          <w:szCs w:val="24"/>
        </w:rPr>
      </w:pPr>
    </w:p>
    <w:p w14:paraId="0222C271" w14:textId="77777777" w:rsidR="00793662" w:rsidRPr="00FF724D" w:rsidRDefault="00793662" w:rsidP="00A85465">
      <w:pPr>
        <w:pStyle w:val="a3"/>
        <w:numPr>
          <w:ilvl w:val="0"/>
          <w:numId w:val="1"/>
        </w:numPr>
        <w:spacing w:line="240" w:lineRule="auto"/>
        <w:ind w:leftChars="100" w:left="580" w:firstLineChars="0"/>
        <w:rPr>
          <w:rFonts w:cs="Times New Roman"/>
          <w:szCs w:val="24"/>
        </w:rPr>
      </w:pPr>
      <w:r w:rsidRPr="00FF724D">
        <w:rPr>
          <w:rFonts w:cs="Times New Roman"/>
          <w:b/>
          <w:bCs/>
          <w:szCs w:val="24"/>
        </w:rPr>
        <w:t xml:space="preserve">“Sensor Principle–Performance” Matrix &amp; Six Key Metrics: </w:t>
      </w:r>
      <w:r w:rsidRPr="00FF724D">
        <w:rPr>
          <w:rFonts w:cs="Times New Roman"/>
          <w:szCs w:val="24"/>
        </w:rPr>
        <w:t xml:space="preserve">A matrix linking physical principles to performance dimensions—accuracy, spatial coverage, latency, cost, etc.—is constructed. Multi-objective </w:t>
      </w:r>
      <w:proofErr w:type="spellStart"/>
      <w:r w:rsidRPr="00FF724D">
        <w:rPr>
          <w:rFonts w:cs="Times New Roman"/>
          <w:szCs w:val="24"/>
        </w:rPr>
        <w:t>optimisation</w:t>
      </w:r>
      <w:proofErr w:type="spellEnd"/>
      <w:r w:rsidRPr="00FF724D">
        <w:rPr>
          <w:rFonts w:cs="Times New Roman"/>
          <w:szCs w:val="24"/>
        </w:rPr>
        <w:t xml:space="preserve"> indicates that a tri-modal configuration of satellite InSAR + UAV LiDAR + robotic total station maintains wall-top displacement prediction errors within ±2 mm while lowering life-cycle monitoring costs by over 40 %.</w:t>
      </w:r>
    </w:p>
    <w:p w14:paraId="0A8A1556" w14:textId="77777777" w:rsidR="00793662" w:rsidRPr="00FF724D" w:rsidRDefault="00793662" w:rsidP="00A85465">
      <w:pPr>
        <w:spacing w:line="240" w:lineRule="auto"/>
        <w:ind w:leftChars="100" w:left="220" w:firstLineChars="100" w:firstLine="220"/>
        <w:rPr>
          <w:rFonts w:cs="Times New Roman"/>
          <w:szCs w:val="24"/>
        </w:rPr>
      </w:pPr>
    </w:p>
    <w:p w14:paraId="6E614521" w14:textId="77777777" w:rsidR="00793662" w:rsidRPr="00FF724D" w:rsidRDefault="00793662" w:rsidP="00A85465">
      <w:pPr>
        <w:pStyle w:val="a3"/>
        <w:numPr>
          <w:ilvl w:val="0"/>
          <w:numId w:val="1"/>
        </w:numPr>
        <w:spacing w:line="240" w:lineRule="auto"/>
        <w:ind w:leftChars="100" w:left="580" w:firstLineChars="0"/>
        <w:rPr>
          <w:rFonts w:cs="Times New Roman"/>
          <w:b/>
          <w:bCs/>
          <w:szCs w:val="24"/>
        </w:rPr>
      </w:pPr>
      <w:r w:rsidRPr="00FF724D">
        <w:rPr>
          <w:rFonts w:cs="Times New Roman"/>
          <w:b/>
          <w:bCs/>
          <w:szCs w:val="24"/>
        </w:rPr>
        <w:t>Panoramic Review of Eight Data-Fusion Strategies</w:t>
      </w:r>
      <w:r>
        <w:rPr>
          <w:rFonts w:cs="Times New Roman"/>
          <w:b/>
          <w:bCs/>
          <w:szCs w:val="24"/>
        </w:rPr>
        <w:t xml:space="preserve">: </w:t>
      </w:r>
      <w:r w:rsidRPr="00FF724D">
        <w:rPr>
          <w:rFonts w:cs="Times New Roman"/>
          <w:szCs w:val="24"/>
        </w:rPr>
        <w:t xml:space="preserve">The paper </w:t>
      </w:r>
      <w:proofErr w:type="spellStart"/>
      <w:r w:rsidRPr="00FF724D">
        <w:rPr>
          <w:rFonts w:cs="Times New Roman"/>
          <w:szCs w:val="24"/>
        </w:rPr>
        <w:t>categorises</w:t>
      </w:r>
      <w:proofErr w:type="spellEnd"/>
      <w:r w:rsidRPr="00FF724D">
        <w:rPr>
          <w:rFonts w:cs="Times New Roman"/>
          <w:szCs w:val="24"/>
        </w:rPr>
        <w:t xml:space="preserve"> and evaluates eight mainstream multisource fusion approaches—including Kalman filtering, Bayesian updating, D-S evidence theory, deep learning, and geostatistical interpolation—highlighting their robustness to missing data, real-time capability, and decision-support integration. </w:t>
      </w:r>
    </w:p>
    <w:p w14:paraId="24A5FF5D" w14:textId="77777777" w:rsidR="00793662" w:rsidRPr="00FF724D" w:rsidRDefault="00793662" w:rsidP="00A85465">
      <w:pPr>
        <w:pStyle w:val="a3"/>
        <w:spacing w:line="240" w:lineRule="auto"/>
        <w:ind w:leftChars="100" w:left="220" w:firstLine="480"/>
        <w:rPr>
          <w:rFonts w:cs="Times New Roman"/>
          <w:szCs w:val="24"/>
        </w:rPr>
      </w:pPr>
    </w:p>
    <w:p w14:paraId="0F424B0F" w14:textId="77777777" w:rsidR="00793662" w:rsidRPr="00FF724D" w:rsidRDefault="00793662" w:rsidP="00A85465">
      <w:pPr>
        <w:pStyle w:val="a3"/>
        <w:numPr>
          <w:ilvl w:val="0"/>
          <w:numId w:val="1"/>
        </w:numPr>
        <w:spacing w:line="240" w:lineRule="auto"/>
        <w:ind w:leftChars="100" w:left="580" w:firstLineChars="0"/>
        <w:rPr>
          <w:rFonts w:cs="Times New Roman"/>
          <w:b/>
          <w:bCs/>
          <w:szCs w:val="24"/>
        </w:rPr>
      </w:pPr>
      <w:r w:rsidRPr="00FF724D">
        <w:rPr>
          <w:rFonts w:cs="Times New Roman"/>
          <w:b/>
          <w:bCs/>
          <w:szCs w:val="24"/>
        </w:rPr>
        <w:t>Empirical Validation via Three International Case Studies</w:t>
      </w:r>
      <w:r>
        <w:rPr>
          <w:rFonts w:cs="Times New Roman"/>
          <w:b/>
          <w:bCs/>
          <w:szCs w:val="24"/>
        </w:rPr>
        <w:t xml:space="preserve">: </w:t>
      </w:r>
      <w:r w:rsidRPr="00FF724D">
        <w:rPr>
          <w:rFonts w:cs="Times New Roman"/>
          <w:szCs w:val="24"/>
        </w:rPr>
        <w:t xml:space="preserve">Comparative analyses of the Shenzhen subway station, </w:t>
      </w:r>
      <w:proofErr w:type="gramStart"/>
      <w:r w:rsidRPr="00FF724D">
        <w:rPr>
          <w:rFonts w:cs="Times New Roman"/>
          <w:szCs w:val="24"/>
        </w:rPr>
        <w:t>Naples</w:t>
      </w:r>
      <w:proofErr w:type="gramEnd"/>
      <w:r w:rsidRPr="00FF724D">
        <w:rPr>
          <w:rFonts w:cs="Times New Roman"/>
          <w:szCs w:val="24"/>
        </w:rPr>
        <w:t xml:space="preserve"> airport link tunnel, and London </w:t>
      </w:r>
      <w:proofErr w:type="spellStart"/>
      <w:r w:rsidRPr="00FF724D">
        <w:rPr>
          <w:rFonts w:cs="Times New Roman"/>
          <w:szCs w:val="24"/>
        </w:rPr>
        <w:t>Crossrail</w:t>
      </w:r>
      <w:proofErr w:type="spellEnd"/>
      <w:r w:rsidRPr="00FF724D">
        <w:rPr>
          <w:rFonts w:cs="Times New Roman"/>
          <w:szCs w:val="24"/>
        </w:rPr>
        <w:t xml:space="preserve"> projects demonstrate that tri-modal SAG systems confine 24-h displacement prediction errors to ±2–3 mm and reduce monitoring budgets by roughly one-third.</w:t>
      </w:r>
    </w:p>
    <w:p w14:paraId="7D4641BB" w14:textId="77777777" w:rsidR="00793662" w:rsidRPr="00FF724D" w:rsidRDefault="00793662" w:rsidP="00A85465">
      <w:pPr>
        <w:spacing w:line="240" w:lineRule="auto"/>
        <w:ind w:leftChars="100" w:left="220" w:firstLineChars="100" w:firstLine="220"/>
        <w:rPr>
          <w:rFonts w:cs="Times New Roman"/>
          <w:szCs w:val="24"/>
        </w:rPr>
      </w:pPr>
    </w:p>
    <w:p w14:paraId="0B54A77C" w14:textId="77777777" w:rsidR="00793662" w:rsidRPr="00FF724D" w:rsidRDefault="00793662" w:rsidP="00A85465">
      <w:pPr>
        <w:pStyle w:val="a3"/>
        <w:numPr>
          <w:ilvl w:val="0"/>
          <w:numId w:val="1"/>
        </w:numPr>
        <w:spacing w:line="240" w:lineRule="auto"/>
        <w:ind w:leftChars="100" w:left="580" w:firstLineChars="0"/>
        <w:rPr>
          <w:rFonts w:cs="Times New Roman"/>
          <w:b/>
          <w:bCs/>
          <w:szCs w:val="24"/>
        </w:rPr>
      </w:pPr>
      <w:r w:rsidRPr="00FF724D">
        <w:rPr>
          <w:rFonts w:cs="Times New Roman"/>
          <w:b/>
          <w:bCs/>
          <w:szCs w:val="24"/>
        </w:rPr>
        <w:t>Edge–Cloud Collaborative Closed-Loop Data Pipeline</w:t>
      </w:r>
      <w:r>
        <w:rPr>
          <w:rFonts w:cs="Times New Roman"/>
          <w:b/>
          <w:bCs/>
          <w:szCs w:val="24"/>
        </w:rPr>
        <w:t xml:space="preserve">: </w:t>
      </w:r>
      <w:r w:rsidRPr="00FF724D">
        <w:rPr>
          <w:rFonts w:cs="Times New Roman"/>
          <w:szCs w:val="24"/>
        </w:rPr>
        <w:t>A four-layer pipeline—edge acquisition, secure backhaul, cloud storage/BIM integration, and visual alarm—cuts end-to-end feedback latency to 7–8 minutes under 5 G connectivity, meeting the 30-minute early-warning window required by GB 50497-2019 and CIRIA C760.</w:t>
      </w:r>
    </w:p>
    <w:p w14:paraId="49A9FFF6" w14:textId="77777777" w:rsidR="00793662" w:rsidRPr="00FF724D" w:rsidRDefault="00793662" w:rsidP="00A85465">
      <w:pPr>
        <w:spacing w:line="240" w:lineRule="auto"/>
        <w:ind w:leftChars="100" w:left="220" w:firstLineChars="100" w:firstLine="220"/>
        <w:rPr>
          <w:rFonts w:cs="Times New Roman"/>
          <w:szCs w:val="24"/>
        </w:rPr>
      </w:pPr>
    </w:p>
    <w:p w14:paraId="19CD57E3" w14:textId="77777777" w:rsidR="00793662" w:rsidRPr="001106C5" w:rsidRDefault="00793662" w:rsidP="00A85465">
      <w:pPr>
        <w:pStyle w:val="a3"/>
        <w:numPr>
          <w:ilvl w:val="0"/>
          <w:numId w:val="1"/>
        </w:numPr>
        <w:spacing w:line="240" w:lineRule="auto"/>
        <w:ind w:leftChars="100" w:left="580" w:firstLineChars="0"/>
        <w:rPr>
          <w:rFonts w:cs="Times New Roman"/>
          <w:b/>
          <w:bCs/>
          <w:szCs w:val="24"/>
        </w:rPr>
      </w:pPr>
      <w:r w:rsidRPr="001106C5">
        <w:rPr>
          <w:rFonts w:cs="Times New Roman"/>
          <w:b/>
          <w:bCs/>
          <w:szCs w:val="24"/>
        </w:rPr>
        <w:t>Future Challenges &amp; Trends</w:t>
      </w:r>
      <w:r>
        <w:rPr>
          <w:rFonts w:cs="Times New Roman"/>
          <w:b/>
          <w:bCs/>
          <w:szCs w:val="24"/>
        </w:rPr>
        <w:t xml:space="preserve">: </w:t>
      </w:r>
      <w:r w:rsidRPr="001106C5">
        <w:rPr>
          <w:rFonts w:cs="Times New Roman"/>
          <w:szCs w:val="24"/>
        </w:rPr>
        <w:t>The authors identify bottlenecks in sensor occlusion, cross-platform calibration, real-time processing of heterogeneous big data, and cybersecurity. They advocate adaptive, autonomous monitoring architectures and encrypted edge–cloud collaboration algorithms to underpin digital-twin-driven construction and operations.</w:t>
      </w:r>
    </w:p>
    <w:p w14:paraId="2C078E63" w14:textId="77777777" w:rsidR="000B65EE" w:rsidRDefault="000B65EE"/>
    <w:sectPr w:rsidR="000B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55A29"/>
    <w:multiLevelType w:val="hybridMultilevel"/>
    <w:tmpl w:val="63B6ADB0"/>
    <w:lvl w:ilvl="0" w:tplc="39A28F28">
      <w:start w:val="1"/>
      <w:numFmt w:val="decimal"/>
      <w:lvlText w:val="%1."/>
      <w:lvlJc w:val="left"/>
      <w:pPr>
        <w:ind w:left="60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5" w:hanging="440"/>
      </w:pPr>
    </w:lvl>
    <w:lvl w:ilvl="2" w:tplc="0409001B" w:tentative="1">
      <w:start w:val="1"/>
      <w:numFmt w:val="lowerRoman"/>
      <w:lvlText w:val="%3."/>
      <w:lvlJc w:val="right"/>
      <w:pPr>
        <w:ind w:left="1565" w:hanging="440"/>
      </w:pPr>
    </w:lvl>
    <w:lvl w:ilvl="3" w:tplc="0409000F" w:tentative="1">
      <w:start w:val="1"/>
      <w:numFmt w:val="decimal"/>
      <w:lvlText w:val="%4."/>
      <w:lvlJc w:val="left"/>
      <w:pPr>
        <w:ind w:left="2005" w:hanging="440"/>
      </w:pPr>
    </w:lvl>
    <w:lvl w:ilvl="4" w:tplc="04090019" w:tentative="1">
      <w:start w:val="1"/>
      <w:numFmt w:val="lowerLetter"/>
      <w:lvlText w:val="%5)"/>
      <w:lvlJc w:val="left"/>
      <w:pPr>
        <w:ind w:left="2445" w:hanging="440"/>
      </w:pPr>
    </w:lvl>
    <w:lvl w:ilvl="5" w:tplc="0409001B" w:tentative="1">
      <w:start w:val="1"/>
      <w:numFmt w:val="lowerRoman"/>
      <w:lvlText w:val="%6."/>
      <w:lvlJc w:val="right"/>
      <w:pPr>
        <w:ind w:left="2885" w:hanging="440"/>
      </w:pPr>
    </w:lvl>
    <w:lvl w:ilvl="6" w:tplc="0409000F" w:tentative="1">
      <w:start w:val="1"/>
      <w:numFmt w:val="decimal"/>
      <w:lvlText w:val="%7."/>
      <w:lvlJc w:val="left"/>
      <w:pPr>
        <w:ind w:left="3325" w:hanging="440"/>
      </w:pPr>
    </w:lvl>
    <w:lvl w:ilvl="7" w:tplc="04090019" w:tentative="1">
      <w:start w:val="1"/>
      <w:numFmt w:val="lowerLetter"/>
      <w:lvlText w:val="%8)"/>
      <w:lvlJc w:val="left"/>
      <w:pPr>
        <w:ind w:left="3765" w:hanging="440"/>
      </w:pPr>
    </w:lvl>
    <w:lvl w:ilvl="8" w:tplc="0409001B" w:tentative="1">
      <w:start w:val="1"/>
      <w:numFmt w:val="lowerRoman"/>
      <w:lvlText w:val="%9."/>
      <w:lvlJc w:val="right"/>
      <w:pPr>
        <w:ind w:left="4205" w:hanging="440"/>
      </w:pPr>
    </w:lvl>
  </w:abstractNum>
  <w:num w:numId="1" w16cid:durableId="199518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EE"/>
    <w:rsid w:val="000B4C12"/>
    <w:rsid w:val="000B65EE"/>
    <w:rsid w:val="00595274"/>
    <w:rsid w:val="00793662"/>
    <w:rsid w:val="008301F6"/>
    <w:rsid w:val="00A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B3290E5-7FF5-5741-9646-64BBCD2D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93662"/>
    <w:pPr>
      <w:widowControl w:val="0"/>
      <w:spacing w:after="0" w:line="300" w:lineRule="auto"/>
      <w:ind w:firstLineChars="200" w:firstLine="420"/>
      <w:jc w:val="both"/>
    </w:pPr>
    <w:rPr>
      <w:rFonts w:ascii="Times New Roman" w:eastAsia="宋体" w:hAnsi="Times New Roman"/>
      <w:kern w:val="2"/>
      <w:sz w:val="24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5</cp:revision>
  <dcterms:created xsi:type="dcterms:W3CDTF">2012-08-07T16:44:00Z</dcterms:created>
  <dcterms:modified xsi:type="dcterms:W3CDTF">2025-06-19T12:18:00Z</dcterms:modified>
</cp:coreProperties>
</file>