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F9320">
      <w:pPr>
        <w:keepNext/>
        <w:keepLines/>
        <w:adjustRightInd w:val="0"/>
        <w:spacing w:before="404" w:beforeLines="100" w:after="404" w:afterLines="100" w:line="240" w:lineRule="auto"/>
        <w:jc w:val="center"/>
        <w:textAlignment w:val="baseline"/>
        <w:outlineLvl w:val="0"/>
        <w:rPr>
          <w:rFonts w:hint="eastAsia" w:ascii="黑体" w:hAnsi="黑体" w:eastAsia="黑体" w:cs="Times New Roman"/>
          <w:bCs/>
          <w:color w:val="000000"/>
          <w:kern w:val="44"/>
          <w:sz w:val="24"/>
          <w14:ligatures w14:val="none"/>
        </w:rPr>
      </w:pPr>
      <w:bookmarkStart w:id="5" w:name="_GoBack"/>
      <w:bookmarkEnd w:id="5"/>
      <w:r>
        <w:rPr>
          <w:rFonts w:hint="eastAsia" w:ascii="黑体" w:hAnsi="黑体" w:eastAsia="黑体" w:cs="Times New Roman"/>
          <w:bCs/>
          <w:color w:val="000000"/>
          <w:kern w:val="44"/>
          <w:sz w:val="24"/>
          <w14:ligatures w14:val="none"/>
        </w:rPr>
        <w:t>《投资者预期协同的资产定价研究——基于多特征机器学习视角》附录</w:t>
      </w:r>
    </w:p>
    <w:p w14:paraId="156C068C">
      <w:pPr>
        <w:keepNext/>
        <w:spacing w:before="120" w:after="120" w:line="240" w:lineRule="auto"/>
        <w:ind w:firstLine="420" w:firstLineChars="200"/>
        <w:jc w:val="both"/>
        <w:outlineLvl w:val="1"/>
        <w:rPr>
          <w:rFonts w:ascii="Times New Roman" w:hAnsi="Times New Roman" w:eastAsia="黑体" w:cs="Times New Roman"/>
          <w:bCs/>
          <w:iCs/>
          <w:color w:val="000000"/>
          <w:sz w:val="21"/>
          <w14:ligatures w14:val="none"/>
        </w:rPr>
      </w:pPr>
      <w:r>
        <w:rPr>
          <w:rFonts w:hint="eastAsia" w:ascii="Times New Roman" w:hAnsi="Times New Roman" w:eastAsia="黑体" w:cs="Times New Roman"/>
          <w:bCs/>
          <w:iCs/>
          <w:color w:val="000000"/>
          <w:sz w:val="21"/>
          <w14:ligatures w14:val="none"/>
        </w:rPr>
        <w:t>附录1：因子指标简介</w:t>
      </w:r>
    </w:p>
    <w:p w14:paraId="6C43ED1E">
      <w:pPr>
        <w:adjustRightInd w:val="0"/>
        <w:spacing w:after="0" w:line="240" w:lineRule="auto"/>
        <w:jc w:val="center"/>
        <w:textAlignment w:val="baseline"/>
        <w:rPr>
          <w:rFonts w:hint="eastAsia" w:ascii="黑体" w:hAnsi="黑体" w:eastAsia="黑体" w:cs="Times New Roman"/>
          <w:color w:val="000000"/>
          <w:kern w:val="0"/>
          <w:sz w:val="21"/>
          <w:szCs w:val="21"/>
          <w14:ligatures w14:val="none"/>
        </w:rPr>
      </w:pPr>
      <w:r>
        <w:rPr>
          <w:rFonts w:hint="eastAsia" w:ascii="黑体" w:hAnsi="黑体" w:eastAsia="黑体" w:cs="Times New Roman"/>
          <w:color w:val="000000"/>
          <w:kern w:val="0"/>
          <w:sz w:val="21"/>
          <w:szCs w:val="21"/>
          <w14:ligatures w14:val="none"/>
        </w:rPr>
        <w:t>附表1</w:t>
      </w:r>
      <w:r>
        <w:rPr>
          <w:rFonts w:ascii="黑体" w:hAnsi="黑体" w:eastAsia="黑体" w:cs="Times New Roman"/>
          <w:color w:val="000000"/>
          <w:kern w:val="0"/>
          <w:sz w:val="21"/>
          <w:szCs w:val="21"/>
          <w14:ligatures w14:val="none"/>
        </w:rPr>
        <w:t xml:space="preserve"> </w:t>
      </w:r>
      <w:r>
        <w:rPr>
          <w:rFonts w:hint="eastAsia" w:ascii="黑体" w:hAnsi="黑体" w:eastAsia="黑体" w:cs="Times New Roman"/>
          <w:color w:val="000000"/>
          <w:kern w:val="0"/>
          <w:sz w:val="21"/>
          <w:szCs w:val="21"/>
          <w14:ligatures w14:val="none"/>
        </w:rPr>
        <w:t xml:space="preserve"> 因子指标名称与文献出处</w:t>
      </w:r>
      <w:r>
        <w:rPr>
          <w:rStyle w:val="29"/>
          <w:rFonts w:hint="eastAsia" w:ascii="黑体" w:hAnsi="黑体" w:eastAsia="黑体" w:cs="Times New Roman"/>
          <w:color w:val="000000"/>
          <w:kern w:val="0"/>
          <w:sz w:val="21"/>
          <w:szCs w:val="21"/>
          <w14:ligatures w14:val="none"/>
        </w:rPr>
        <w:endnoteReference w:id="0"/>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3185"/>
        <w:gridCol w:w="3553"/>
      </w:tblGrid>
      <w:tr w14:paraId="406B11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4EC83F3">
            <w:pPr>
              <w:adjustRightInd w:val="0"/>
              <w:spacing w:after="0" w:line="420" w:lineRule="exact"/>
              <w:textAlignment w:val="baseline"/>
              <w:rPr>
                <w:rFonts w:ascii="Times New Roman" w:hAnsi="Times New Roman" w:eastAsia="宋体" w:cs="Times New Roman"/>
                <w:color w:val="000000"/>
                <w:sz w:val="21"/>
                <w:szCs w:val="21"/>
                <w14:ligatures w14:val="none"/>
              </w:rPr>
            </w:pPr>
            <w:bookmarkStart w:id="0" w:name="_Hlk514339013"/>
            <w:r>
              <w:rPr>
                <w:rFonts w:ascii="Times New Roman" w:hAnsi="Times New Roman" w:eastAsia="宋体" w:cs="Times New Roman"/>
                <w:color w:val="000000"/>
                <w:sz w:val="21"/>
                <w:szCs w:val="21"/>
                <w14:ligatures w14:val="none"/>
              </w:rPr>
              <w:t>缩写</w:t>
            </w:r>
          </w:p>
        </w:tc>
        <w:tc>
          <w:tcPr>
            <w:tcW w:w="3185" w:type="dxa"/>
          </w:tcPr>
          <w:p w14:paraId="008EB20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名称</w:t>
            </w:r>
          </w:p>
        </w:tc>
        <w:tc>
          <w:tcPr>
            <w:tcW w:w="3553" w:type="dxa"/>
          </w:tcPr>
          <w:p w14:paraId="7D51A67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文献出处</w:t>
            </w:r>
          </w:p>
        </w:tc>
      </w:tr>
      <w:tr w14:paraId="234EC9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306" w:type="dxa"/>
            <w:gridSpan w:val="3"/>
          </w:tcPr>
          <w:p w14:paraId="66854FA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估值与成长类指标（2</w:t>
            </w:r>
            <w:r>
              <w:rPr>
                <w:rFonts w:ascii="Times New Roman" w:hAnsi="Times New Roman" w:eastAsia="宋体" w:cs="Times New Roman"/>
                <w:color w:val="000000"/>
                <w:sz w:val="21"/>
                <w:szCs w:val="21"/>
                <w14:ligatures w14:val="none"/>
              </w:rPr>
              <w:t>5</w:t>
            </w:r>
            <w:r>
              <w:rPr>
                <w:rFonts w:hint="eastAsia" w:ascii="Times New Roman" w:hAnsi="Times New Roman" w:eastAsia="宋体" w:cs="Times New Roman"/>
                <w:color w:val="000000"/>
                <w:sz w:val="21"/>
                <w:szCs w:val="21"/>
                <w14:ligatures w14:val="none"/>
              </w:rPr>
              <w:t>个）</w:t>
            </w:r>
          </w:p>
        </w:tc>
      </w:tr>
      <w:tr w14:paraId="4F407B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0A5BC1B">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AM</w:t>
            </w:r>
          </w:p>
        </w:tc>
        <w:tc>
          <w:tcPr>
            <w:tcW w:w="3185" w:type="dxa"/>
          </w:tcPr>
          <w:p w14:paraId="112E08F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资产市值比（</w:t>
            </w:r>
            <w:r>
              <w:rPr>
                <w:rFonts w:ascii="Times New Roman" w:hAnsi="Times New Roman" w:eastAsia="宋体" w:cs="Times New Roman"/>
                <w:color w:val="000000"/>
                <w:sz w:val="21"/>
                <w:szCs w:val="21"/>
                <w14:ligatures w14:val="none"/>
              </w:rPr>
              <w:t>Assets-to-market</w:t>
            </w:r>
            <w:r>
              <w:rPr>
                <w:rFonts w:hint="eastAsia" w:ascii="Times New Roman" w:hAnsi="Times New Roman" w:eastAsia="宋体" w:cs="Times New Roman"/>
                <w:color w:val="000000"/>
                <w:sz w:val="21"/>
                <w:szCs w:val="21"/>
                <w14:ligatures w14:val="none"/>
              </w:rPr>
              <w:t>）</w:t>
            </w:r>
          </w:p>
        </w:tc>
        <w:tc>
          <w:tcPr>
            <w:tcW w:w="3553" w:type="dxa"/>
          </w:tcPr>
          <w:p w14:paraId="2E1AA53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法马</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弗伦奇</w:t>
            </w:r>
            <w:r>
              <w:rPr>
                <w:rFonts w:ascii="Times New Roman" w:hAnsi="Times New Roman" w:eastAsia="宋体" w:cs="Times New Roman"/>
                <w:color w:val="000000"/>
                <w:sz w:val="21"/>
                <w:szCs w:val="21"/>
                <w14:ligatures w14:val="none"/>
              </w:rPr>
              <w:t>（1992）</w:t>
            </w:r>
          </w:p>
        </w:tc>
      </w:tr>
      <w:tr w14:paraId="63E72D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7D1C5B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BM</w:t>
            </w:r>
          </w:p>
        </w:tc>
        <w:tc>
          <w:tcPr>
            <w:tcW w:w="3185" w:type="dxa"/>
          </w:tcPr>
          <w:p w14:paraId="459BCFD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账面市值比（</w:t>
            </w:r>
            <w:r>
              <w:rPr>
                <w:rFonts w:ascii="Times New Roman" w:hAnsi="Times New Roman" w:eastAsia="宋体" w:cs="Times New Roman"/>
                <w:color w:val="000000"/>
                <w:sz w:val="21"/>
                <w:szCs w:val="21"/>
                <w14:ligatures w14:val="none"/>
              </w:rPr>
              <w:t>Book-to-market equity</w:t>
            </w:r>
            <w:r>
              <w:rPr>
                <w:rFonts w:hint="eastAsia" w:ascii="Times New Roman" w:hAnsi="Times New Roman" w:eastAsia="宋体" w:cs="Times New Roman"/>
                <w:color w:val="000000"/>
                <w:sz w:val="21"/>
                <w:szCs w:val="21"/>
                <w14:ligatures w14:val="none"/>
              </w:rPr>
              <w:t>）</w:t>
            </w:r>
          </w:p>
        </w:tc>
        <w:tc>
          <w:tcPr>
            <w:tcW w:w="3553" w:type="dxa"/>
          </w:tcPr>
          <w:p w14:paraId="0581E97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罗森堡等</w:t>
            </w:r>
            <w:r>
              <w:rPr>
                <w:rFonts w:ascii="Times New Roman" w:hAnsi="Times New Roman" w:eastAsia="宋体" w:cs="Times New Roman"/>
                <w:color w:val="000000"/>
                <w:sz w:val="21"/>
                <w:szCs w:val="21"/>
                <w14:ligatures w14:val="none"/>
              </w:rPr>
              <w:t>（1985）</w:t>
            </w:r>
          </w:p>
        </w:tc>
      </w:tr>
      <w:tr w14:paraId="405C6F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6CCB0C7">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CFP</w:t>
            </w:r>
          </w:p>
        </w:tc>
        <w:tc>
          <w:tcPr>
            <w:tcW w:w="3185" w:type="dxa"/>
          </w:tcPr>
          <w:p w14:paraId="65A6A19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现金流股价比（</w:t>
            </w:r>
            <w:r>
              <w:rPr>
                <w:rFonts w:ascii="Times New Roman" w:hAnsi="Times New Roman" w:eastAsia="宋体" w:cs="Times New Roman"/>
                <w:color w:val="000000"/>
                <w:sz w:val="21"/>
                <w:szCs w:val="21"/>
                <w14:ligatures w14:val="none"/>
              </w:rPr>
              <w:t>Cash flow-to-price</w:t>
            </w:r>
            <w:r>
              <w:rPr>
                <w:rFonts w:hint="eastAsia" w:ascii="Times New Roman" w:hAnsi="Times New Roman" w:eastAsia="宋体" w:cs="Times New Roman"/>
                <w:color w:val="000000"/>
                <w:sz w:val="21"/>
                <w:szCs w:val="21"/>
                <w14:ligatures w14:val="none"/>
              </w:rPr>
              <w:t>）</w:t>
            </w:r>
          </w:p>
        </w:tc>
        <w:tc>
          <w:tcPr>
            <w:tcW w:w="3553" w:type="dxa"/>
          </w:tcPr>
          <w:p w14:paraId="44926C9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拉科尼肖克等</w:t>
            </w:r>
            <w:r>
              <w:rPr>
                <w:rFonts w:ascii="Times New Roman" w:hAnsi="Times New Roman" w:eastAsia="宋体" w:cs="Times New Roman"/>
                <w:color w:val="000000"/>
                <w:sz w:val="21"/>
                <w:szCs w:val="21"/>
                <w14:ligatures w14:val="none"/>
              </w:rPr>
              <w:t>（1994）</w:t>
            </w:r>
          </w:p>
        </w:tc>
      </w:tr>
      <w:tr w14:paraId="4688B2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531B71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DER</w:t>
            </w:r>
          </w:p>
        </w:tc>
        <w:tc>
          <w:tcPr>
            <w:tcW w:w="3185" w:type="dxa"/>
          </w:tcPr>
          <w:p w14:paraId="4F48DE6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债务股本比（</w:t>
            </w:r>
            <w:r>
              <w:rPr>
                <w:rFonts w:ascii="Times New Roman" w:hAnsi="Times New Roman" w:eastAsia="宋体" w:cs="Times New Roman"/>
                <w:color w:val="000000"/>
                <w:sz w:val="21"/>
                <w:szCs w:val="21"/>
                <w14:ligatures w14:val="none"/>
              </w:rPr>
              <w:t>Debt-to-equity ratio</w:t>
            </w:r>
            <w:r>
              <w:rPr>
                <w:rFonts w:hint="eastAsia" w:ascii="Times New Roman" w:hAnsi="Times New Roman" w:eastAsia="宋体" w:cs="Times New Roman"/>
                <w:color w:val="000000"/>
                <w:sz w:val="21"/>
                <w:szCs w:val="21"/>
                <w14:ligatures w14:val="none"/>
              </w:rPr>
              <w:t>）</w:t>
            </w:r>
          </w:p>
        </w:tc>
        <w:tc>
          <w:tcPr>
            <w:tcW w:w="3553" w:type="dxa"/>
          </w:tcPr>
          <w:p w14:paraId="39888CA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班达里</w:t>
            </w:r>
            <w:r>
              <w:rPr>
                <w:rFonts w:ascii="Times New Roman" w:hAnsi="Times New Roman" w:eastAsia="宋体" w:cs="Times New Roman"/>
                <w:color w:val="000000"/>
                <w:sz w:val="21"/>
                <w:szCs w:val="21"/>
                <w14:ligatures w14:val="none"/>
              </w:rPr>
              <w:t>（1988）</w:t>
            </w:r>
          </w:p>
        </w:tc>
      </w:tr>
      <w:tr w14:paraId="6401FC3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541C99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DLME</w:t>
            </w:r>
          </w:p>
        </w:tc>
        <w:tc>
          <w:tcPr>
            <w:tcW w:w="3185" w:type="dxa"/>
          </w:tcPr>
          <w:p w14:paraId="47DF2D0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长期债务股本比（</w:t>
            </w:r>
            <w:r>
              <w:rPr>
                <w:rFonts w:ascii="Times New Roman" w:hAnsi="Times New Roman" w:eastAsia="宋体" w:cs="Times New Roman"/>
                <w:color w:val="000000"/>
                <w:sz w:val="21"/>
                <w:szCs w:val="21"/>
                <w14:ligatures w14:val="none"/>
              </w:rPr>
              <w:t>Long term debt-to-market equity</w:t>
            </w:r>
            <w:r>
              <w:rPr>
                <w:rFonts w:hint="eastAsia" w:ascii="Times New Roman" w:hAnsi="Times New Roman" w:eastAsia="宋体" w:cs="Times New Roman"/>
                <w:color w:val="000000"/>
                <w:sz w:val="21"/>
                <w:szCs w:val="21"/>
                <w14:ligatures w14:val="none"/>
              </w:rPr>
              <w:t>）</w:t>
            </w:r>
          </w:p>
        </w:tc>
        <w:tc>
          <w:tcPr>
            <w:tcW w:w="3553" w:type="dxa"/>
          </w:tcPr>
          <w:p w14:paraId="57D00FF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班达里</w:t>
            </w:r>
            <w:r>
              <w:rPr>
                <w:rFonts w:ascii="Times New Roman" w:hAnsi="Times New Roman" w:eastAsia="宋体" w:cs="Times New Roman"/>
                <w:color w:val="000000"/>
                <w:sz w:val="21"/>
                <w:szCs w:val="21"/>
                <w14:ligatures w14:val="none"/>
              </w:rPr>
              <w:t>（1988）</w:t>
            </w:r>
          </w:p>
        </w:tc>
      </w:tr>
      <w:tr w14:paraId="297936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B363A6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DP</w:t>
            </w:r>
          </w:p>
        </w:tc>
        <w:tc>
          <w:tcPr>
            <w:tcW w:w="3185" w:type="dxa"/>
          </w:tcPr>
          <w:p w14:paraId="2A6C3D0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红利价格比（</w:t>
            </w:r>
            <w:r>
              <w:rPr>
                <w:rFonts w:ascii="Times New Roman" w:hAnsi="Times New Roman" w:eastAsia="宋体" w:cs="Times New Roman"/>
                <w:color w:val="000000"/>
                <w:sz w:val="21"/>
                <w:szCs w:val="21"/>
                <w14:ligatures w14:val="none"/>
              </w:rPr>
              <w:t>Dividend-to-price ratio</w:t>
            </w:r>
            <w:r>
              <w:rPr>
                <w:rFonts w:hint="eastAsia" w:ascii="Times New Roman" w:hAnsi="Times New Roman" w:eastAsia="宋体" w:cs="Times New Roman"/>
                <w:color w:val="000000"/>
                <w:sz w:val="21"/>
                <w:szCs w:val="21"/>
                <w14:ligatures w14:val="none"/>
              </w:rPr>
              <w:t>）</w:t>
            </w:r>
          </w:p>
        </w:tc>
        <w:tc>
          <w:tcPr>
            <w:tcW w:w="3553" w:type="dxa"/>
          </w:tcPr>
          <w:p w14:paraId="156D9EF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利曾伯格</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拉马斯瓦米</w:t>
            </w:r>
            <w:r>
              <w:rPr>
                <w:rFonts w:ascii="Times New Roman" w:hAnsi="Times New Roman" w:eastAsia="宋体" w:cs="Times New Roman"/>
                <w:color w:val="000000"/>
                <w:sz w:val="21"/>
                <w:szCs w:val="21"/>
                <w14:ligatures w14:val="none"/>
              </w:rPr>
              <w:t>（1982）</w:t>
            </w:r>
          </w:p>
        </w:tc>
      </w:tr>
      <w:tr w14:paraId="26F823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A2386D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EP</w:t>
            </w:r>
          </w:p>
        </w:tc>
        <w:tc>
          <w:tcPr>
            <w:tcW w:w="3185" w:type="dxa"/>
          </w:tcPr>
          <w:p w14:paraId="2FF8285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市盈率（</w:t>
            </w:r>
            <w:r>
              <w:rPr>
                <w:rFonts w:ascii="Times New Roman" w:hAnsi="Times New Roman" w:eastAsia="宋体" w:cs="Times New Roman"/>
                <w:color w:val="000000"/>
                <w:sz w:val="21"/>
                <w:szCs w:val="21"/>
                <w14:ligatures w14:val="none"/>
              </w:rPr>
              <w:t>Earnings-to-price</w:t>
            </w:r>
            <w:r>
              <w:rPr>
                <w:rFonts w:hint="eastAsia" w:ascii="Times New Roman" w:hAnsi="Times New Roman" w:eastAsia="宋体" w:cs="Times New Roman"/>
                <w:color w:val="000000"/>
                <w:sz w:val="21"/>
                <w:szCs w:val="21"/>
                <w14:ligatures w14:val="none"/>
              </w:rPr>
              <w:t>）</w:t>
            </w:r>
          </w:p>
        </w:tc>
        <w:tc>
          <w:tcPr>
            <w:tcW w:w="3553" w:type="dxa"/>
          </w:tcPr>
          <w:p w14:paraId="5E315E3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巴苏</w:t>
            </w:r>
            <w:r>
              <w:rPr>
                <w:rFonts w:ascii="Times New Roman" w:hAnsi="Times New Roman" w:eastAsia="宋体" w:cs="Times New Roman"/>
                <w:color w:val="000000"/>
                <w:sz w:val="21"/>
                <w:szCs w:val="21"/>
                <w14:ligatures w14:val="none"/>
              </w:rPr>
              <w:t>（1983）</w:t>
            </w:r>
          </w:p>
        </w:tc>
      </w:tr>
      <w:tr w14:paraId="66D1EE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866412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LG</w:t>
            </w:r>
          </w:p>
        </w:tc>
        <w:tc>
          <w:tcPr>
            <w:tcW w:w="3185" w:type="dxa"/>
          </w:tcPr>
          <w:p w14:paraId="25DD75C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债务增长（</w:t>
            </w:r>
            <w:r>
              <w:rPr>
                <w:rFonts w:ascii="Times New Roman" w:hAnsi="Times New Roman" w:eastAsia="宋体" w:cs="Times New Roman"/>
                <w:color w:val="000000"/>
                <w:sz w:val="21"/>
                <w:szCs w:val="21"/>
                <w14:ligatures w14:val="none"/>
              </w:rPr>
              <w:t>Liability growth</w:t>
            </w:r>
            <w:r>
              <w:rPr>
                <w:rFonts w:hint="eastAsia" w:ascii="Times New Roman" w:hAnsi="Times New Roman" w:eastAsia="宋体" w:cs="Times New Roman"/>
                <w:color w:val="000000"/>
                <w:sz w:val="21"/>
                <w:szCs w:val="21"/>
                <w14:ligatures w14:val="none"/>
              </w:rPr>
              <w:t>）</w:t>
            </w:r>
          </w:p>
        </w:tc>
        <w:tc>
          <w:tcPr>
            <w:tcW w:w="3553" w:type="dxa"/>
          </w:tcPr>
          <w:p w14:paraId="3BFCA85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理査森等</w:t>
            </w:r>
            <w:r>
              <w:rPr>
                <w:rFonts w:ascii="Times New Roman" w:hAnsi="Times New Roman" w:eastAsia="宋体" w:cs="Times New Roman"/>
                <w:color w:val="000000"/>
                <w:sz w:val="21"/>
                <w:szCs w:val="21"/>
                <w14:ligatures w14:val="none"/>
              </w:rPr>
              <w:t>（2005）</w:t>
            </w:r>
          </w:p>
        </w:tc>
      </w:tr>
      <w:tr w14:paraId="56C85FB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EB41AD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OCFP</w:t>
            </w:r>
          </w:p>
        </w:tc>
        <w:tc>
          <w:tcPr>
            <w:tcW w:w="3185" w:type="dxa"/>
          </w:tcPr>
          <w:p w14:paraId="7E75BA9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营运现金流价格比（</w:t>
            </w:r>
            <w:r>
              <w:rPr>
                <w:rFonts w:ascii="Times New Roman" w:hAnsi="Times New Roman" w:eastAsia="宋体" w:cs="Times New Roman"/>
                <w:color w:val="000000"/>
                <w:sz w:val="21"/>
                <w:szCs w:val="21"/>
                <w14:ligatures w14:val="none"/>
              </w:rPr>
              <w:t>Operating cash flow-to-price</w:t>
            </w:r>
            <w:r>
              <w:rPr>
                <w:rFonts w:hint="eastAsia" w:ascii="Times New Roman" w:hAnsi="Times New Roman" w:eastAsia="宋体" w:cs="Times New Roman"/>
                <w:color w:val="000000"/>
                <w:sz w:val="21"/>
                <w:szCs w:val="21"/>
                <w14:ligatures w14:val="none"/>
              </w:rPr>
              <w:t>）</w:t>
            </w:r>
          </w:p>
        </w:tc>
        <w:tc>
          <w:tcPr>
            <w:tcW w:w="3553" w:type="dxa"/>
          </w:tcPr>
          <w:p w14:paraId="0584E81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赵春光</w:t>
            </w:r>
            <w:r>
              <w:rPr>
                <w:rFonts w:ascii="Times New Roman" w:hAnsi="Times New Roman" w:eastAsia="宋体" w:cs="Times New Roman"/>
                <w:color w:val="000000"/>
                <w:sz w:val="21"/>
                <w:szCs w:val="21"/>
                <w14:ligatures w14:val="none"/>
              </w:rPr>
              <w:t>（2004）</w:t>
            </w:r>
          </w:p>
        </w:tc>
      </w:tr>
      <w:tr w14:paraId="5D2883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00DEE5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PY</w:t>
            </w:r>
          </w:p>
        </w:tc>
        <w:tc>
          <w:tcPr>
            <w:tcW w:w="3185" w:type="dxa"/>
          </w:tcPr>
          <w:p w14:paraId="117E46A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股息股价比（</w:t>
            </w:r>
            <w:r>
              <w:rPr>
                <w:rFonts w:ascii="Times New Roman" w:hAnsi="Times New Roman" w:eastAsia="宋体" w:cs="Times New Roman"/>
                <w:color w:val="000000"/>
                <w:sz w:val="21"/>
                <w:szCs w:val="21"/>
                <w14:ligatures w14:val="none"/>
              </w:rPr>
              <w:t>Payout yield</w:t>
            </w:r>
            <w:r>
              <w:rPr>
                <w:rFonts w:hint="eastAsia" w:ascii="Times New Roman" w:hAnsi="Times New Roman" w:eastAsia="宋体" w:cs="Times New Roman"/>
                <w:color w:val="000000"/>
                <w:sz w:val="21"/>
                <w:szCs w:val="21"/>
                <w14:ligatures w14:val="none"/>
              </w:rPr>
              <w:t>）</w:t>
            </w:r>
          </w:p>
        </w:tc>
        <w:tc>
          <w:tcPr>
            <w:tcW w:w="3553" w:type="dxa"/>
          </w:tcPr>
          <w:p w14:paraId="3469E2A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布杜克等</w:t>
            </w:r>
            <w:r>
              <w:rPr>
                <w:rFonts w:ascii="Times New Roman" w:hAnsi="Times New Roman" w:eastAsia="宋体" w:cs="Times New Roman"/>
                <w:color w:val="000000"/>
                <w:sz w:val="21"/>
                <w:szCs w:val="21"/>
                <w14:ligatures w14:val="none"/>
              </w:rPr>
              <w:t>（2007）</w:t>
            </w:r>
          </w:p>
        </w:tc>
      </w:tr>
      <w:tr w14:paraId="349AAD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63EECC8">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SG</w:t>
            </w:r>
          </w:p>
        </w:tc>
        <w:tc>
          <w:tcPr>
            <w:tcW w:w="3185" w:type="dxa"/>
          </w:tcPr>
          <w:p w14:paraId="670EB50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可持续增长率（</w:t>
            </w:r>
            <w:r>
              <w:rPr>
                <w:rFonts w:ascii="Times New Roman" w:hAnsi="Times New Roman" w:eastAsia="宋体" w:cs="Times New Roman"/>
                <w:color w:val="000000"/>
                <w:sz w:val="21"/>
                <w:szCs w:val="21"/>
                <w14:ligatures w14:val="none"/>
              </w:rPr>
              <w:t>Sustainable growth</w:t>
            </w:r>
            <w:r>
              <w:rPr>
                <w:rFonts w:hint="eastAsia" w:ascii="Times New Roman" w:hAnsi="Times New Roman" w:eastAsia="宋体" w:cs="Times New Roman"/>
                <w:color w:val="000000"/>
                <w:sz w:val="21"/>
                <w:szCs w:val="21"/>
                <w14:ligatures w14:val="none"/>
              </w:rPr>
              <w:t>）</w:t>
            </w:r>
          </w:p>
        </w:tc>
        <w:tc>
          <w:tcPr>
            <w:tcW w:w="3553" w:type="dxa"/>
          </w:tcPr>
          <w:p w14:paraId="3A42ED6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洛克伍德</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蓬布特</w:t>
            </w:r>
            <w:r>
              <w:rPr>
                <w:rFonts w:ascii="Times New Roman" w:hAnsi="Times New Roman" w:eastAsia="宋体" w:cs="Times New Roman"/>
                <w:color w:val="000000"/>
                <w:sz w:val="21"/>
                <w:szCs w:val="21"/>
                <w14:ligatures w14:val="none"/>
              </w:rPr>
              <w:t>（2010）</w:t>
            </w:r>
          </w:p>
        </w:tc>
      </w:tr>
      <w:tr w14:paraId="341134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CF5AE3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SMI</w:t>
            </w:r>
          </w:p>
        </w:tc>
        <w:tc>
          <w:tcPr>
            <w:tcW w:w="3185" w:type="dxa"/>
          </w:tcPr>
          <w:p w14:paraId="6828793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销量增长与存货增长差（</w:t>
            </w:r>
            <w:r>
              <w:rPr>
                <w:rFonts w:ascii="Times New Roman" w:hAnsi="Times New Roman" w:eastAsia="宋体" w:cs="Times New Roman"/>
                <w:color w:val="000000"/>
                <w:sz w:val="21"/>
                <w:szCs w:val="21"/>
                <w14:ligatures w14:val="none"/>
              </w:rPr>
              <w:t>Sales growth minus inventory growth</w:t>
            </w:r>
            <w:r>
              <w:rPr>
                <w:rFonts w:hint="eastAsia" w:ascii="Times New Roman" w:hAnsi="Times New Roman" w:eastAsia="宋体" w:cs="Times New Roman"/>
                <w:color w:val="000000"/>
                <w:sz w:val="21"/>
                <w:szCs w:val="21"/>
                <w14:ligatures w14:val="none"/>
              </w:rPr>
              <w:t>）</w:t>
            </w:r>
          </w:p>
        </w:tc>
        <w:tc>
          <w:tcPr>
            <w:tcW w:w="3553" w:type="dxa"/>
          </w:tcPr>
          <w:p w14:paraId="73C051D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阿巴伯内尔</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布希</w:t>
            </w:r>
            <w:r>
              <w:rPr>
                <w:rFonts w:ascii="Times New Roman" w:hAnsi="Times New Roman" w:eastAsia="宋体" w:cs="Times New Roman"/>
                <w:color w:val="000000"/>
                <w:sz w:val="21"/>
                <w:szCs w:val="21"/>
                <w14:ligatures w14:val="none"/>
              </w:rPr>
              <w:t>（1998）</w:t>
            </w:r>
          </w:p>
        </w:tc>
      </w:tr>
      <w:tr w14:paraId="303ACB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329017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SP</w:t>
            </w:r>
          </w:p>
        </w:tc>
        <w:tc>
          <w:tcPr>
            <w:tcW w:w="3185" w:type="dxa"/>
          </w:tcPr>
          <w:p w14:paraId="27299B4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销量价格比（</w:t>
            </w:r>
            <w:r>
              <w:rPr>
                <w:rFonts w:ascii="Times New Roman" w:hAnsi="Times New Roman" w:eastAsia="宋体" w:cs="Times New Roman"/>
                <w:color w:val="000000"/>
                <w:sz w:val="21"/>
                <w:szCs w:val="21"/>
                <w14:ligatures w14:val="none"/>
              </w:rPr>
              <w:t>Sales-to-price</w:t>
            </w:r>
            <w:r>
              <w:rPr>
                <w:rFonts w:hint="eastAsia" w:ascii="Times New Roman" w:hAnsi="Times New Roman" w:eastAsia="宋体" w:cs="Times New Roman"/>
                <w:color w:val="000000"/>
                <w:sz w:val="21"/>
                <w:szCs w:val="21"/>
                <w14:ligatures w14:val="none"/>
              </w:rPr>
              <w:t>）</w:t>
            </w:r>
          </w:p>
        </w:tc>
        <w:tc>
          <w:tcPr>
            <w:tcW w:w="3553" w:type="dxa"/>
          </w:tcPr>
          <w:p w14:paraId="0237C2D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巴比等</w:t>
            </w:r>
            <w:r>
              <w:rPr>
                <w:rFonts w:ascii="Times New Roman" w:hAnsi="Times New Roman" w:eastAsia="宋体" w:cs="Times New Roman"/>
                <w:color w:val="000000"/>
                <w:sz w:val="21"/>
                <w:szCs w:val="21"/>
                <w14:ligatures w14:val="none"/>
              </w:rPr>
              <w:t>（1996）</w:t>
            </w:r>
          </w:p>
        </w:tc>
      </w:tr>
      <w:tr w14:paraId="6F8A29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AA006C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TG</w:t>
            </w:r>
          </w:p>
        </w:tc>
        <w:tc>
          <w:tcPr>
            <w:tcW w:w="3185" w:type="dxa"/>
          </w:tcPr>
          <w:p w14:paraId="48315C0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纳税增长（</w:t>
            </w:r>
            <w:r>
              <w:rPr>
                <w:rFonts w:ascii="Times New Roman" w:hAnsi="Times New Roman" w:eastAsia="宋体" w:cs="Times New Roman"/>
                <w:color w:val="000000"/>
                <w:sz w:val="21"/>
                <w:szCs w:val="21"/>
                <w14:ligatures w14:val="none"/>
              </w:rPr>
              <w:t>Tax growth</w:t>
            </w:r>
            <w:r>
              <w:rPr>
                <w:rFonts w:hint="eastAsia" w:ascii="Times New Roman" w:hAnsi="Times New Roman" w:eastAsia="宋体" w:cs="Times New Roman"/>
                <w:color w:val="000000"/>
                <w:sz w:val="21"/>
                <w:szCs w:val="21"/>
                <w14:ligatures w14:val="none"/>
              </w:rPr>
              <w:t>）</w:t>
            </w:r>
          </w:p>
        </w:tc>
        <w:tc>
          <w:tcPr>
            <w:tcW w:w="3553" w:type="dxa"/>
          </w:tcPr>
          <w:p w14:paraId="28A57BC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托马斯</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张</w:t>
            </w:r>
            <w:r>
              <w:rPr>
                <w:rFonts w:ascii="Times New Roman" w:hAnsi="Times New Roman" w:eastAsia="宋体" w:cs="Times New Roman"/>
                <w:color w:val="000000"/>
                <w:sz w:val="21"/>
                <w:szCs w:val="21"/>
                <w14:ligatures w14:val="none"/>
              </w:rPr>
              <w:t>（2011）</w:t>
            </w:r>
          </w:p>
        </w:tc>
      </w:tr>
      <w:tr w14:paraId="609855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2794DD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D</w:t>
            </w:r>
            <w:r>
              <w:rPr>
                <w:rFonts w:ascii="Times New Roman" w:hAnsi="Times New Roman" w:eastAsia="宋体" w:cs="Times New Roman"/>
                <w:i/>
                <w:iCs/>
                <w:color w:val="000000"/>
                <w:sz w:val="21"/>
                <w:szCs w:val="21"/>
                <w14:ligatures w14:val="none"/>
              </w:rPr>
              <w:t>A</w:t>
            </w:r>
          </w:p>
        </w:tc>
        <w:tc>
          <w:tcPr>
            <w:tcW w:w="3185" w:type="dxa"/>
          </w:tcPr>
          <w:p w14:paraId="22ACDC7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财务杠杆（</w:t>
            </w:r>
            <w:r>
              <w:rPr>
                <w:rFonts w:ascii="Times New Roman" w:hAnsi="Times New Roman" w:eastAsia="宋体" w:cs="Times New Roman"/>
                <w:color w:val="000000"/>
                <w:sz w:val="21"/>
                <w:szCs w:val="21"/>
                <w14:ligatures w14:val="none"/>
              </w:rPr>
              <w:t>Long-Term Debt to Sum of Long-Term Debt and Equity</w:t>
            </w:r>
            <w:r>
              <w:rPr>
                <w:rFonts w:hint="eastAsia" w:ascii="Times New Roman" w:hAnsi="Times New Roman" w:eastAsia="宋体" w:cs="Times New Roman"/>
                <w:color w:val="000000"/>
                <w:sz w:val="21"/>
                <w:szCs w:val="21"/>
                <w14:ligatures w14:val="none"/>
              </w:rPr>
              <w:t>）</w:t>
            </w:r>
          </w:p>
        </w:tc>
        <w:tc>
          <w:tcPr>
            <w:tcW w:w="3553" w:type="dxa"/>
          </w:tcPr>
          <w:p w14:paraId="5C91CDF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苏冬蔚（2005）</w:t>
            </w:r>
          </w:p>
        </w:tc>
      </w:tr>
      <w:tr w14:paraId="25E169B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F08794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D</w:t>
            </w:r>
            <w:r>
              <w:rPr>
                <w:rFonts w:ascii="Times New Roman" w:hAnsi="Times New Roman" w:eastAsia="宋体" w:cs="Times New Roman"/>
                <w:i/>
                <w:iCs/>
                <w:color w:val="000000"/>
                <w:sz w:val="21"/>
                <w:szCs w:val="21"/>
                <w14:ligatures w14:val="none"/>
              </w:rPr>
              <w:t>PR</w:t>
            </w:r>
          </w:p>
        </w:tc>
        <w:tc>
          <w:tcPr>
            <w:tcW w:w="3185" w:type="dxa"/>
          </w:tcPr>
          <w:p w14:paraId="1320D7F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股利支付率（</w:t>
            </w:r>
            <w:r>
              <w:rPr>
                <w:rFonts w:ascii="Times New Roman" w:hAnsi="Times New Roman" w:eastAsia="宋体" w:cs="Times New Roman"/>
                <w:color w:val="000000"/>
                <w:sz w:val="21"/>
                <w:szCs w:val="21"/>
                <w14:ligatures w14:val="none"/>
              </w:rPr>
              <w:t>Dividend payout ratio</w:t>
            </w:r>
            <w:r>
              <w:rPr>
                <w:rFonts w:hint="eastAsia" w:ascii="Times New Roman" w:hAnsi="Times New Roman" w:eastAsia="宋体" w:cs="Times New Roman"/>
                <w:color w:val="000000"/>
                <w:sz w:val="21"/>
                <w:szCs w:val="21"/>
                <w14:ligatures w14:val="none"/>
              </w:rPr>
              <w:t>）</w:t>
            </w:r>
          </w:p>
        </w:tc>
        <w:tc>
          <w:tcPr>
            <w:tcW w:w="3553" w:type="dxa"/>
          </w:tcPr>
          <w:p w14:paraId="6E0A8D7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蒋志强等（2019）</w:t>
            </w:r>
          </w:p>
        </w:tc>
      </w:tr>
      <w:tr w14:paraId="0963EB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3A2665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TOR</w:t>
            </w:r>
          </w:p>
        </w:tc>
        <w:tc>
          <w:tcPr>
            <w:tcW w:w="3185" w:type="dxa"/>
          </w:tcPr>
          <w:p w14:paraId="183C893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销售收入（</w:t>
            </w:r>
            <w:r>
              <w:rPr>
                <w:rFonts w:ascii="Times New Roman" w:hAnsi="Times New Roman" w:eastAsia="宋体" w:cs="Times New Roman"/>
                <w:color w:val="000000"/>
                <w:sz w:val="21"/>
                <w:szCs w:val="21"/>
                <w14:ligatures w14:val="none"/>
              </w:rPr>
              <w:t>Total operaing revenue</w:t>
            </w:r>
            <w:r>
              <w:rPr>
                <w:rFonts w:hint="eastAsia" w:ascii="Times New Roman" w:hAnsi="Times New Roman" w:eastAsia="宋体" w:cs="Times New Roman"/>
                <w:color w:val="000000"/>
                <w:sz w:val="21"/>
                <w:szCs w:val="21"/>
                <w14:ligatures w14:val="none"/>
              </w:rPr>
              <w:t>）</w:t>
            </w:r>
          </w:p>
        </w:tc>
        <w:tc>
          <w:tcPr>
            <w:tcW w:w="3553" w:type="dxa"/>
          </w:tcPr>
          <w:p w14:paraId="656907F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陈信元等（2002）</w:t>
            </w:r>
          </w:p>
        </w:tc>
      </w:tr>
      <w:tr w14:paraId="106D258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94D38C7">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N</w:t>
            </w:r>
            <w:r>
              <w:rPr>
                <w:rFonts w:ascii="Times New Roman" w:hAnsi="Times New Roman" w:eastAsia="宋体" w:cs="Times New Roman"/>
                <w:i/>
                <w:iCs/>
                <w:color w:val="000000"/>
                <w:sz w:val="21"/>
                <w:szCs w:val="21"/>
                <w14:ligatures w14:val="none"/>
              </w:rPr>
              <w:t>CF</w:t>
            </w:r>
          </w:p>
        </w:tc>
        <w:tc>
          <w:tcPr>
            <w:tcW w:w="3185" w:type="dxa"/>
          </w:tcPr>
          <w:p w14:paraId="0288108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 xml:space="preserve">现金流量价格比（Net </w:t>
            </w:r>
            <w:r>
              <w:rPr>
                <w:rFonts w:ascii="Times New Roman" w:hAnsi="Times New Roman" w:eastAsia="宋体" w:cs="Times New Roman"/>
                <w:color w:val="000000"/>
                <w:sz w:val="21"/>
                <w:szCs w:val="21"/>
                <w14:ligatures w14:val="none"/>
              </w:rPr>
              <w:t>c</w:t>
            </w:r>
            <w:r>
              <w:rPr>
                <w:rFonts w:hint="eastAsia" w:ascii="Times New Roman" w:hAnsi="Times New Roman" w:eastAsia="宋体" w:cs="Times New Roman"/>
                <w:color w:val="000000"/>
                <w:sz w:val="21"/>
                <w:szCs w:val="21"/>
                <w14:ligatures w14:val="none"/>
              </w:rPr>
              <w:t xml:space="preserve">ash </w:t>
            </w:r>
            <w:r>
              <w:rPr>
                <w:rFonts w:ascii="Times New Roman" w:hAnsi="Times New Roman" w:eastAsia="宋体" w:cs="Times New Roman"/>
                <w:color w:val="000000"/>
                <w:sz w:val="21"/>
                <w:szCs w:val="21"/>
                <w14:ligatures w14:val="none"/>
              </w:rPr>
              <w:t>f</w:t>
            </w:r>
            <w:r>
              <w:rPr>
                <w:rFonts w:hint="eastAsia" w:ascii="Times New Roman" w:hAnsi="Times New Roman" w:eastAsia="宋体" w:cs="Times New Roman"/>
                <w:color w:val="000000"/>
                <w:sz w:val="21"/>
                <w:szCs w:val="21"/>
                <w14:ligatures w14:val="none"/>
              </w:rPr>
              <w:t xml:space="preserve">low to </w:t>
            </w:r>
            <w:r>
              <w:rPr>
                <w:rFonts w:ascii="Times New Roman" w:hAnsi="Times New Roman" w:eastAsia="宋体" w:cs="Times New Roman"/>
                <w:color w:val="000000"/>
                <w:sz w:val="21"/>
                <w:szCs w:val="21"/>
                <w14:ligatures w14:val="none"/>
              </w:rPr>
              <w:t>p</w:t>
            </w:r>
            <w:r>
              <w:rPr>
                <w:rFonts w:hint="eastAsia" w:ascii="Times New Roman" w:hAnsi="Times New Roman" w:eastAsia="宋体" w:cs="Times New Roman"/>
                <w:color w:val="000000"/>
                <w:sz w:val="21"/>
                <w:szCs w:val="21"/>
                <w14:ligatures w14:val="none"/>
              </w:rPr>
              <w:t>rice）</w:t>
            </w:r>
          </w:p>
        </w:tc>
        <w:tc>
          <w:tcPr>
            <w:tcW w:w="3553" w:type="dxa"/>
          </w:tcPr>
          <w:p w14:paraId="38EDA8A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赵春光（2004）</w:t>
            </w:r>
          </w:p>
        </w:tc>
      </w:tr>
      <w:tr w14:paraId="750517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645A8B9">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G</w:t>
            </w:r>
            <w:r>
              <w:rPr>
                <w:rFonts w:ascii="Times New Roman" w:hAnsi="Times New Roman" w:eastAsia="宋体" w:cs="Times New Roman"/>
                <w:i/>
                <w:iCs/>
                <w:color w:val="000000"/>
                <w:sz w:val="21"/>
                <w:szCs w:val="21"/>
                <w14:ligatures w14:val="none"/>
              </w:rPr>
              <w:t>S</w:t>
            </w:r>
          </w:p>
        </w:tc>
        <w:tc>
          <w:tcPr>
            <w:tcW w:w="3185" w:type="dxa"/>
          </w:tcPr>
          <w:p w14:paraId="7966A4A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销售增长率（Growth</w:t>
            </w:r>
            <w:r>
              <w:rPr>
                <w:rFonts w:ascii="Times New Roman" w:hAnsi="Times New Roman" w:eastAsia="宋体" w:cs="Times New Roman"/>
                <w:color w:val="000000"/>
                <w:sz w:val="21"/>
                <w:szCs w:val="21"/>
                <w14:ligatures w14:val="none"/>
              </w:rPr>
              <w:t xml:space="preserve"> of sale</w:t>
            </w:r>
            <w:r>
              <w:rPr>
                <w:rFonts w:hint="eastAsia" w:ascii="Times New Roman" w:hAnsi="Times New Roman" w:eastAsia="宋体" w:cs="Times New Roman"/>
                <w:color w:val="000000"/>
                <w:sz w:val="21"/>
                <w:szCs w:val="21"/>
                <w14:ligatures w14:val="none"/>
              </w:rPr>
              <w:t>）</w:t>
            </w:r>
          </w:p>
        </w:tc>
        <w:tc>
          <w:tcPr>
            <w:tcW w:w="3553" w:type="dxa"/>
          </w:tcPr>
          <w:p w14:paraId="71C6DC7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肖军和徐信忠（2004）</w:t>
            </w:r>
          </w:p>
        </w:tc>
      </w:tr>
      <w:tr w14:paraId="0B4269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F617C9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TA</w:t>
            </w:r>
          </w:p>
        </w:tc>
        <w:tc>
          <w:tcPr>
            <w:tcW w:w="3185" w:type="dxa"/>
          </w:tcPr>
          <w:p w14:paraId="39F61A7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有形资产与营业收入比（Tangible Assets to Operating Revenue）</w:t>
            </w:r>
          </w:p>
        </w:tc>
        <w:tc>
          <w:tcPr>
            <w:tcW w:w="3553" w:type="dxa"/>
          </w:tcPr>
          <w:p w14:paraId="3161AD4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罗婷等（2009）</w:t>
            </w:r>
          </w:p>
        </w:tc>
      </w:tr>
      <w:tr w14:paraId="409000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DC3BCE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FM</w:t>
            </w:r>
          </w:p>
        </w:tc>
        <w:tc>
          <w:tcPr>
            <w:tcW w:w="3185" w:type="dxa"/>
          </w:tcPr>
          <w:p w14:paraId="2933E7A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基于现金流的估值因子（F</w:t>
            </w:r>
            <w:r>
              <w:rPr>
                <w:rFonts w:ascii="Times New Roman" w:hAnsi="Times New Roman" w:eastAsia="宋体" w:cs="Times New Roman"/>
                <w:color w:val="000000"/>
                <w:sz w:val="21"/>
                <w:szCs w:val="21"/>
                <w14:ligatures w14:val="none"/>
              </w:rPr>
              <w:t>low-to-market</w:t>
            </w:r>
            <w:r>
              <w:rPr>
                <w:rFonts w:hint="eastAsia" w:ascii="Times New Roman" w:hAnsi="Times New Roman" w:eastAsia="宋体" w:cs="Times New Roman"/>
                <w:color w:val="000000"/>
                <w:sz w:val="21"/>
                <w:szCs w:val="21"/>
                <w14:ligatures w14:val="none"/>
              </w:rPr>
              <w:t>）</w:t>
            </w:r>
          </w:p>
        </w:tc>
        <w:tc>
          <w:tcPr>
            <w:tcW w:w="3553" w:type="dxa"/>
          </w:tcPr>
          <w:p w14:paraId="474BC34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干伟明和张涤新（2018）</w:t>
            </w:r>
          </w:p>
        </w:tc>
      </w:tr>
      <w:tr w14:paraId="606EFF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F65345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C</w:t>
            </w:r>
            <w:r>
              <w:rPr>
                <w:rFonts w:ascii="Times New Roman" w:hAnsi="Times New Roman" w:eastAsia="宋体" w:cs="Times New Roman"/>
                <w:i/>
                <w:iCs/>
                <w:color w:val="000000"/>
                <w:sz w:val="21"/>
                <w:szCs w:val="21"/>
                <w14:ligatures w14:val="none"/>
              </w:rPr>
              <w:t>AC</w:t>
            </w:r>
          </w:p>
        </w:tc>
        <w:tc>
          <w:tcPr>
            <w:tcW w:w="3185" w:type="dxa"/>
          </w:tcPr>
          <w:p w14:paraId="1896D3B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现金及其等价物对固定资产净值比（Cash asset to Capital）</w:t>
            </w:r>
          </w:p>
        </w:tc>
        <w:tc>
          <w:tcPr>
            <w:tcW w:w="3553" w:type="dxa"/>
          </w:tcPr>
          <w:p w14:paraId="6D43E32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王茵田和朱英姿（2011）</w:t>
            </w:r>
          </w:p>
        </w:tc>
      </w:tr>
      <w:tr w14:paraId="3FE82E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D5930C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N</w:t>
            </w:r>
            <w:r>
              <w:rPr>
                <w:rFonts w:ascii="Times New Roman" w:hAnsi="Times New Roman" w:eastAsia="宋体" w:cs="Times New Roman"/>
                <w:i/>
                <w:iCs/>
                <w:color w:val="000000"/>
                <w:sz w:val="21"/>
                <w:szCs w:val="21"/>
                <w14:ligatures w14:val="none"/>
              </w:rPr>
              <w:t>APS</w:t>
            </w:r>
          </w:p>
        </w:tc>
        <w:tc>
          <w:tcPr>
            <w:tcW w:w="3185" w:type="dxa"/>
          </w:tcPr>
          <w:p w14:paraId="01B0DDB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每股净资产（Net Assets Per Share）</w:t>
            </w:r>
          </w:p>
        </w:tc>
        <w:tc>
          <w:tcPr>
            <w:tcW w:w="3553" w:type="dxa"/>
          </w:tcPr>
          <w:p w14:paraId="7936A1C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陈信元等（2002）</w:t>
            </w:r>
          </w:p>
        </w:tc>
      </w:tr>
      <w:tr w14:paraId="6BEFA5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9527670">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F</w:t>
            </w:r>
            <w:r>
              <w:rPr>
                <w:rFonts w:ascii="Times New Roman" w:hAnsi="Times New Roman" w:eastAsia="宋体" w:cs="Times New Roman"/>
                <w:i/>
                <w:iCs/>
                <w:color w:val="000000"/>
                <w:sz w:val="21"/>
                <w:szCs w:val="21"/>
                <w14:ligatures w14:val="none"/>
              </w:rPr>
              <w:t>VAD</w:t>
            </w:r>
          </w:p>
        </w:tc>
        <w:tc>
          <w:tcPr>
            <w:tcW w:w="3185" w:type="dxa"/>
          </w:tcPr>
          <w:p w14:paraId="7B96823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公允价值价格比（</w:t>
            </w:r>
            <w:r>
              <w:rPr>
                <w:rFonts w:ascii="Times New Roman" w:hAnsi="Times New Roman" w:eastAsia="宋体" w:cs="Times New Roman"/>
                <w:color w:val="000000"/>
                <w:sz w:val="21"/>
                <w:szCs w:val="21"/>
                <w14:ligatures w14:val="none"/>
              </w:rPr>
              <w:t>Fair Value Adjustment to Price</w:t>
            </w:r>
            <w:r>
              <w:rPr>
                <w:rFonts w:hint="eastAsia" w:ascii="Times New Roman" w:hAnsi="Times New Roman" w:eastAsia="宋体" w:cs="Times New Roman"/>
                <w:color w:val="000000"/>
                <w:sz w:val="21"/>
                <w:szCs w:val="21"/>
                <w14:ligatures w14:val="none"/>
              </w:rPr>
              <w:t>）</w:t>
            </w:r>
          </w:p>
        </w:tc>
        <w:tc>
          <w:tcPr>
            <w:tcW w:w="3553" w:type="dxa"/>
          </w:tcPr>
          <w:p w14:paraId="580FA9B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谭洪涛等（2011）</w:t>
            </w:r>
          </w:p>
        </w:tc>
      </w:tr>
      <w:tr w14:paraId="759460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3AA4AC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RSFL</w:t>
            </w:r>
          </w:p>
        </w:tc>
        <w:tc>
          <w:tcPr>
            <w:tcW w:w="3185" w:type="dxa"/>
          </w:tcPr>
          <w:p w14:paraId="1703514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公司公允价值变动与股本比</w:t>
            </w:r>
          </w:p>
        </w:tc>
        <w:tc>
          <w:tcPr>
            <w:tcW w:w="3553" w:type="dxa"/>
          </w:tcPr>
          <w:p w14:paraId="7552690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吴战篪等（2009）</w:t>
            </w:r>
          </w:p>
        </w:tc>
      </w:tr>
      <w:tr w14:paraId="5782C6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306" w:type="dxa"/>
            <w:gridSpan w:val="3"/>
          </w:tcPr>
          <w:p w14:paraId="58412DB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投资类指标（12个）</w:t>
            </w:r>
          </w:p>
        </w:tc>
      </w:tr>
      <w:tr w14:paraId="77640E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F10943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ACC</w:t>
            </w:r>
          </w:p>
        </w:tc>
        <w:tc>
          <w:tcPr>
            <w:tcW w:w="3185" w:type="dxa"/>
          </w:tcPr>
          <w:p w14:paraId="4A12C63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应计收入（</w:t>
            </w:r>
            <w:r>
              <w:rPr>
                <w:rFonts w:ascii="Times New Roman" w:hAnsi="Times New Roman" w:eastAsia="宋体" w:cs="Times New Roman"/>
                <w:color w:val="000000"/>
                <w:sz w:val="21"/>
                <w:szCs w:val="21"/>
                <w14:ligatures w14:val="none"/>
              </w:rPr>
              <w:t>Accruals</w:t>
            </w:r>
            <w:r>
              <w:rPr>
                <w:rFonts w:hint="eastAsia" w:ascii="Times New Roman" w:hAnsi="Times New Roman" w:eastAsia="宋体" w:cs="Times New Roman"/>
                <w:color w:val="000000"/>
                <w:sz w:val="21"/>
                <w:szCs w:val="21"/>
                <w14:ligatures w14:val="none"/>
              </w:rPr>
              <w:t>）</w:t>
            </w:r>
          </w:p>
        </w:tc>
        <w:tc>
          <w:tcPr>
            <w:tcW w:w="3553" w:type="dxa"/>
          </w:tcPr>
          <w:p w14:paraId="4D4BFE3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斯隆</w:t>
            </w:r>
            <w:r>
              <w:rPr>
                <w:rFonts w:ascii="Times New Roman" w:hAnsi="Times New Roman" w:eastAsia="宋体" w:cs="Times New Roman"/>
                <w:color w:val="000000"/>
                <w:sz w:val="21"/>
                <w:szCs w:val="21"/>
                <w14:ligatures w14:val="none"/>
              </w:rPr>
              <w:t>（1996）</w:t>
            </w:r>
          </w:p>
        </w:tc>
      </w:tr>
      <w:tr w14:paraId="4F06F34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4835C4E">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PACC</w:t>
            </w:r>
          </w:p>
        </w:tc>
        <w:tc>
          <w:tcPr>
            <w:tcW w:w="3185" w:type="dxa"/>
          </w:tcPr>
          <w:p w14:paraId="4E78F8D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百分比应计收入（</w:t>
            </w:r>
            <w:r>
              <w:rPr>
                <w:rFonts w:ascii="Times New Roman" w:hAnsi="Times New Roman" w:eastAsia="宋体" w:cs="Times New Roman"/>
                <w:color w:val="000000"/>
                <w:sz w:val="21"/>
                <w:szCs w:val="21"/>
                <w14:ligatures w14:val="none"/>
              </w:rPr>
              <w:t>Percent accruals</w:t>
            </w:r>
            <w:r>
              <w:rPr>
                <w:rFonts w:hint="eastAsia" w:ascii="Times New Roman" w:hAnsi="Times New Roman" w:eastAsia="宋体" w:cs="Times New Roman"/>
                <w:color w:val="000000"/>
                <w:sz w:val="21"/>
                <w:szCs w:val="21"/>
                <w14:ligatures w14:val="none"/>
              </w:rPr>
              <w:t>）</w:t>
            </w:r>
          </w:p>
        </w:tc>
        <w:tc>
          <w:tcPr>
            <w:tcW w:w="3553" w:type="dxa"/>
          </w:tcPr>
          <w:p w14:paraId="11F0695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哈夫扎拉等</w:t>
            </w:r>
            <w:r>
              <w:rPr>
                <w:rFonts w:ascii="Times New Roman" w:hAnsi="Times New Roman" w:eastAsia="宋体" w:cs="Times New Roman"/>
                <w:color w:val="000000"/>
                <w:sz w:val="21"/>
                <w:szCs w:val="21"/>
                <w14:ligatures w14:val="none"/>
              </w:rPr>
              <w:t>（2011）</w:t>
            </w:r>
          </w:p>
        </w:tc>
      </w:tr>
      <w:tr w14:paraId="2DF3A83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8AF79C7">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CAPXG</w:t>
            </w:r>
          </w:p>
        </w:tc>
        <w:tc>
          <w:tcPr>
            <w:tcW w:w="3185" w:type="dxa"/>
          </w:tcPr>
          <w:p w14:paraId="5EDFADB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资本开销增长率（</w:t>
            </w:r>
            <w:r>
              <w:rPr>
                <w:rFonts w:ascii="Times New Roman" w:hAnsi="Times New Roman" w:eastAsia="宋体" w:cs="Times New Roman"/>
                <w:color w:val="000000"/>
                <w:sz w:val="21"/>
                <w:szCs w:val="21"/>
                <w14:ligatures w14:val="none"/>
              </w:rPr>
              <w:t>Capital expenditure growth</w:t>
            </w:r>
            <w:r>
              <w:rPr>
                <w:rFonts w:hint="eastAsia" w:ascii="Times New Roman" w:hAnsi="Times New Roman" w:eastAsia="宋体" w:cs="Times New Roman"/>
                <w:color w:val="000000"/>
                <w:sz w:val="21"/>
                <w:szCs w:val="21"/>
                <w14:ligatures w14:val="none"/>
              </w:rPr>
              <w:t>）</w:t>
            </w:r>
          </w:p>
        </w:tc>
        <w:tc>
          <w:tcPr>
            <w:tcW w:w="3553" w:type="dxa"/>
          </w:tcPr>
          <w:p w14:paraId="4618514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麦康奈尔</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莫斯卡雷拉</w:t>
            </w:r>
            <w:r>
              <w:rPr>
                <w:rFonts w:ascii="Times New Roman" w:hAnsi="Times New Roman" w:eastAsia="宋体" w:cs="Times New Roman"/>
                <w:color w:val="000000"/>
                <w:sz w:val="21"/>
                <w:szCs w:val="21"/>
                <w14:ligatures w14:val="none"/>
              </w:rPr>
              <w:t>（1985）</w:t>
            </w:r>
          </w:p>
        </w:tc>
      </w:tr>
      <w:tr w14:paraId="36E05E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788935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dBe</w:t>
            </w:r>
          </w:p>
        </w:tc>
        <w:tc>
          <w:tcPr>
            <w:tcW w:w="3185" w:type="dxa"/>
          </w:tcPr>
          <w:p w14:paraId="4D88DF7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股东权益变化（</w:t>
            </w:r>
            <w:r>
              <w:rPr>
                <w:rFonts w:ascii="Times New Roman" w:hAnsi="Times New Roman" w:eastAsia="宋体" w:cs="Times New Roman"/>
                <w:color w:val="000000"/>
                <w:sz w:val="21"/>
                <w:szCs w:val="21"/>
                <w14:ligatures w14:val="none"/>
              </w:rPr>
              <w:t>Change in shareholders’ equity</w:t>
            </w:r>
            <w:r>
              <w:rPr>
                <w:rFonts w:hint="eastAsia" w:ascii="Times New Roman" w:hAnsi="Times New Roman" w:eastAsia="宋体" w:cs="Times New Roman"/>
                <w:color w:val="000000"/>
                <w:sz w:val="21"/>
                <w:szCs w:val="21"/>
                <w14:ligatures w14:val="none"/>
              </w:rPr>
              <w:t>）</w:t>
            </w:r>
          </w:p>
        </w:tc>
        <w:tc>
          <w:tcPr>
            <w:tcW w:w="3553" w:type="dxa"/>
          </w:tcPr>
          <w:p w14:paraId="16F101D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理査森等</w:t>
            </w:r>
            <w:r>
              <w:rPr>
                <w:rFonts w:ascii="Times New Roman" w:hAnsi="Times New Roman" w:eastAsia="宋体" w:cs="Times New Roman"/>
                <w:color w:val="000000"/>
                <w:sz w:val="21"/>
                <w:szCs w:val="21"/>
                <w14:ligatures w14:val="none"/>
              </w:rPr>
              <w:t>（2005）</w:t>
            </w:r>
          </w:p>
        </w:tc>
      </w:tr>
      <w:tr w14:paraId="089853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891C82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dPIA</w:t>
            </w:r>
          </w:p>
        </w:tc>
        <w:tc>
          <w:tcPr>
            <w:tcW w:w="3185" w:type="dxa"/>
          </w:tcPr>
          <w:p w14:paraId="6BB8E90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固定资产与存货变化率（</w:t>
            </w:r>
            <w:r>
              <w:rPr>
                <w:rFonts w:ascii="Times New Roman" w:hAnsi="Times New Roman" w:eastAsia="宋体" w:cs="Times New Roman"/>
                <w:color w:val="000000"/>
                <w:sz w:val="21"/>
                <w:szCs w:val="21"/>
                <w14:ligatures w14:val="none"/>
              </w:rPr>
              <w:t>Changes in PPE and inventory-to-assets</w:t>
            </w:r>
            <w:r>
              <w:rPr>
                <w:rFonts w:hint="eastAsia" w:ascii="Times New Roman" w:hAnsi="Times New Roman" w:eastAsia="宋体" w:cs="Times New Roman"/>
                <w:color w:val="000000"/>
                <w:sz w:val="21"/>
                <w:szCs w:val="21"/>
                <w14:ligatures w14:val="none"/>
              </w:rPr>
              <w:t>）</w:t>
            </w:r>
          </w:p>
        </w:tc>
        <w:tc>
          <w:tcPr>
            <w:tcW w:w="3553" w:type="dxa"/>
          </w:tcPr>
          <w:p w14:paraId="2FD1398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良德列斯等</w:t>
            </w:r>
            <w:r>
              <w:rPr>
                <w:rFonts w:ascii="Times New Roman" w:hAnsi="Times New Roman" w:eastAsia="宋体" w:cs="Times New Roman"/>
                <w:color w:val="000000"/>
                <w:sz w:val="21"/>
                <w:szCs w:val="21"/>
                <w14:ligatures w14:val="none"/>
              </w:rPr>
              <w:t>（2008）</w:t>
            </w:r>
          </w:p>
        </w:tc>
      </w:tr>
      <w:tr w14:paraId="6B20EE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6D38097">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IA</w:t>
            </w:r>
          </w:p>
        </w:tc>
        <w:tc>
          <w:tcPr>
            <w:tcW w:w="3185" w:type="dxa"/>
          </w:tcPr>
          <w:p w14:paraId="0AF905A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投资资产比（</w:t>
            </w:r>
            <w:r>
              <w:rPr>
                <w:rFonts w:ascii="Times New Roman" w:hAnsi="Times New Roman" w:eastAsia="宋体" w:cs="Times New Roman"/>
                <w:color w:val="000000"/>
                <w:sz w:val="21"/>
                <w:szCs w:val="21"/>
                <w14:ligatures w14:val="none"/>
              </w:rPr>
              <w:t>Investment-to-assets</w:t>
            </w:r>
            <w:r>
              <w:rPr>
                <w:rFonts w:hint="eastAsia" w:ascii="Times New Roman" w:hAnsi="Times New Roman" w:eastAsia="宋体" w:cs="Times New Roman"/>
                <w:color w:val="000000"/>
                <w:sz w:val="21"/>
                <w:szCs w:val="21"/>
                <w14:ligatures w14:val="none"/>
              </w:rPr>
              <w:t>）；总资产增长率</w:t>
            </w:r>
          </w:p>
        </w:tc>
        <w:tc>
          <w:tcPr>
            <w:tcW w:w="3553" w:type="dxa"/>
          </w:tcPr>
          <w:p w14:paraId="2D5D30A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库珀等</w:t>
            </w:r>
            <w:r>
              <w:rPr>
                <w:rFonts w:ascii="Times New Roman" w:hAnsi="Times New Roman" w:eastAsia="宋体" w:cs="Times New Roman"/>
                <w:color w:val="000000"/>
                <w:sz w:val="21"/>
                <w:szCs w:val="21"/>
                <w14:ligatures w14:val="none"/>
              </w:rPr>
              <w:t>（2008）</w:t>
            </w:r>
            <w:r>
              <w:rPr>
                <w:rFonts w:hint="eastAsia" w:ascii="Times New Roman" w:hAnsi="Times New Roman" w:eastAsia="宋体" w:cs="Times New Roman"/>
                <w:color w:val="000000"/>
                <w:sz w:val="21"/>
                <w:szCs w:val="21"/>
                <w14:ligatures w14:val="none"/>
              </w:rPr>
              <w:t>；吴世农等（1999）</w:t>
            </w:r>
          </w:p>
        </w:tc>
      </w:tr>
      <w:tr w14:paraId="2DF0B4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9716BE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IVC</w:t>
            </w:r>
          </w:p>
        </w:tc>
        <w:tc>
          <w:tcPr>
            <w:tcW w:w="3185" w:type="dxa"/>
          </w:tcPr>
          <w:p w14:paraId="3F44EC3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存货变化率（</w:t>
            </w:r>
            <w:r>
              <w:rPr>
                <w:rFonts w:ascii="Times New Roman" w:hAnsi="Times New Roman" w:eastAsia="宋体" w:cs="Times New Roman"/>
                <w:color w:val="000000"/>
                <w:sz w:val="21"/>
                <w:szCs w:val="21"/>
                <w14:ligatures w14:val="none"/>
              </w:rPr>
              <w:t>Inventory change</w:t>
            </w:r>
            <w:r>
              <w:rPr>
                <w:rFonts w:hint="eastAsia" w:ascii="Times New Roman" w:hAnsi="Times New Roman" w:eastAsia="宋体" w:cs="Times New Roman"/>
                <w:color w:val="000000"/>
                <w:sz w:val="21"/>
                <w:szCs w:val="21"/>
                <w14:ligatures w14:val="none"/>
              </w:rPr>
              <w:t>）</w:t>
            </w:r>
          </w:p>
        </w:tc>
        <w:tc>
          <w:tcPr>
            <w:tcW w:w="3553" w:type="dxa"/>
          </w:tcPr>
          <w:p w14:paraId="52269A0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托马斯</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张</w:t>
            </w:r>
            <w:r>
              <w:rPr>
                <w:rFonts w:ascii="Times New Roman" w:hAnsi="Times New Roman" w:eastAsia="宋体" w:cs="Times New Roman"/>
                <w:color w:val="000000"/>
                <w:sz w:val="21"/>
                <w:szCs w:val="21"/>
                <w14:ligatures w14:val="none"/>
              </w:rPr>
              <w:t>（2002）</w:t>
            </w:r>
          </w:p>
        </w:tc>
      </w:tr>
      <w:tr w14:paraId="2D9CC5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64FFD0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IVG</w:t>
            </w:r>
          </w:p>
        </w:tc>
        <w:tc>
          <w:tcPr>
            <w:tcW w:w="3185" w:type="dxa"/>
          </w:tcPr>
          <w:p w14:paraId="45ABE25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存货增长率（</w:t>
            </w:r>
            <w:r>
              <w:rPr>
                <w:rFonts w:ascii="Times New Roman" w:hAnsi="Times New Roman" w:eastAsia="宋体" w:cs="Times New Roman"/>
                <w:color w:val="000000"/>
                <w:sz w:val="21"/>
                <w:szCs w:val="21"/>
                <w14:ligatures w14:val="none"/>
              </w:rPr>
              <w:t>Inventory growth</w:t>
            </w:r>
            <w:r>
              <w:rPr>
                <w:rFonts w:hint="eastAsia" w:ascii="Times New Roman" w:hAnsi="Times New Roman" w:eastAsia="宋体" w:cs="Times New Roman"/>
                <w:color w:val="000000"/>
                <w:sz w:val="21"/>
                <w:szCs w:val="21"/>
                <w14:ligatures w14:val="none"/>
              </w:rPr>
              <w:t>）</w:t>
            </w:r>
          </w:p>
        </w:tc>
        <w:tc>
          <w:tcPr>
            <w:tcW w:w="3553" w:type="dxa"/>
          </w:tcPr>
          <w:p w14:paraId="6E1819A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贝洛</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林</w:t>
            </w:r>
            <w:r>
              <w:rPr>
                <w:rFonts w:ascii="Times New Roman" w:hAnsi="Times New Roman" w:eastAsia="宋体" w:cs="Times New Roman"/>
                <w:color w:val="000000"/>
                <w:sz w:val="21"/>
                <w:szCs w:val="21"/>
                <w14:ligatures w14:val="none"/>
              </w:rPr>
              <w:t>（2011）</w:t>
            </w:r>
          </w:p>
        </w:tc>
      </w:tr>
      <w:tr w14:paraId="16B7AF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253A0B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NOA</w:t>
            </w:r>
          </w:p>
        </w:tc>
        <w:tc>
          <w:tcPr>
            <w:tcW w:w="3185" w:type="dxa"/>
          </w:tcPr>
          <w:p w14:paraId="0D4A6FC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净运营资本（</w:t>
            </w:r>
            <w:r>
              <w:rPr>
                <w:rFonts w:ascii="Times New Roman" w:hAnsi="Times New Roman" w:eastAsia="宋体" w:cs="Times New Roman"/>
                <w:color w:val="000000"/>
                <w:sz w:val="21"/>
                <w:szCs w:val="21"/>
                <w14:ligatures w14:val="none"/>
              </w:rPr>
              <w:t>Net operating assets</w:t>
            </w:r>
            <w:r>
              <w:rPr>
                <w:rFonts w:hint="eastAsia" w:ascii="Times New Roman" w:hAnsi="Times New Roman" w:eastAsia="宋体" w:cs="Times New Roman"/>
                <w:color w:val="000000"/>
                <w:sz w:val="21"/>
                <w:szCs w:val="21"/>
                <w14:ligatures w14:val="none"/>
              </w:rPr>
              <w:t>）</w:t>
            </w:r>
          </w:p>
        </w:tc>
        <w:tc>
          <w:tcPr>
            <w:tcW w:w="3553" w:type="dxa"/>
          </w:tcPr>
          <w:p w14:paraId="7BAF7F6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赫舒拉发等</w:t>
            </w:r>
            <w:r>
              <w:rPr>
                <w:rFonts w:ascii="Times New Roman" w:hAnsi="Times New Roman" w:eastAsia="宋体" w:cs="Times New Roman"/>
                <w:color w:val="000000"/>
                <w:sz w:val="21"/>
                <w:szCs w:val="21"/>
                <w14:ligatures w14:val="none"/>
              </w:rPr>
              <w:t>（2004）</w:t>
            </w:r>
          </w:p>
        </w:tc>
      </w:tr>
      <w:tr w14:paraId="1F4F2F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FD91D89">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R</w:t>
            </w:r>
            <w:r>
              <w:rPr>
                <w:rFonts w:ascii="Times New Roman" w:hAnsi="Times New Roman" w:eastAsia="宋体" w:cs="Times New Roman"/>
                <w:i/>
                <w:iCs/>
                <w:color w:val="000000"/>
                <w:sz w:val="21"/>
                <w:szCs w:val="21"/>
                <w14:ligatures w14:val="none"/>
              </w:rPr>
              <w:t>EALESTATE</w:t>
            </w:r>
          </w:p>
        </w:tc>
        <w:tc>
          <w:tcPr>
            <w:tcW w:w="3185" w:type="dxa"/>
          </w:tcPr>
          <w:p w14:paraId="674EE22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房地产投资量（Real</w:t>
            </w:r>
            <w:r>
              <w:rPr>
                <w:rFonts w:ascii="Times New Roman" w:hAnsi="Times New Roman" w:eastAsia="宋体" w:cs="Times New Roman"/>
                <w:color w:val="000000"/>
                <w:sz w:val="21"/>
                <w:szCs w:val="21"/>
                <w14:ligatures w14:val="none"/>
              </w:rPr>
              <w:t xml:space="preserve"> estate holdings</w:t>
            </w:r>
            <w:r>
              <w:rPr>
                <w:rFonts w:hint="eastAsia" w:ascii="Times New Roman" w:hAnsi="Times New Roman" w:eastAsia="宋体" w:cs="Times New Roman"/>
                <w:color w:val="000000"/>
                <w:sz w:val="21"/>
                <w:szCs w:val="21"/>
                <w14:ligatures w14:val="none"/>
              </w:rPr>
              <w:t>）</w:t>
            </w:r>
          </w:p>
        </w:tc>
        <w:tc>
          <w:tcPr>
            <w:tcW w:w="3553" w:type="dxa"/>
          </w:tcPr>
          <w:p w14:paraId="584662F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图泽尔</w:t>
            </w:r>
            <w:r>
              <w:rPr>
                <w:rFonts w:ascii="Times New Roman" w:hAnsi="Times New Roman" w:eastAsia="宋体" w:cs="Times New Roman"/>
                <w:color w:val="000000"/>
                <w:sz w:val="21"/>
                <w:szCs w:val="21"/>
                <w14:ligatures w14:val="none"/>
              </w:rPr>
              <w:t>（2010）</w:t>
            </w:r>
          </w:p>
        </w:tc>
      </w:tr>
      <w:tr w14:paraId="4009E00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BE649BC">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C</w:t>
            </w:r>
            <w:r>
              <w:rPr>
                <w:rFonts w:ascii="Times New Roman" w:hAnsi="Times New Roman" w:eastAsia="宋体" w:cs="Times New Roman"/>
                <w:i/>
                <w:iCs/>
                <w:color w:val="000000"/>
                <w:sz w:val="21"/>
                <w:szCs w:val="21"/>
                <w14:ligatures w14:val="none"/>
              </w:rPr>
              <w:t>INVEST</w:t>
            </w:r>
          </w:p>
        </w:tc>
        <w:tc>
          <w:tcPr>
            <w:tcW w:w="3185" w:type="dxa"/>
          </w:tcPr>
          <w:p w14:paraId="0CA78B5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公司投资（Cor</w:t>
            </w:r>
            <w:r>
              <w:rPr>
                <w:rFonts w:ascii="Times New Roman" w:hAnsi="Times New Roman" w:eastAsia="宋体" w:cs="Times New Roman"/>
                <w:color w:val="000000"/>
                <w:sz w:val="21"/>
                <w:szCs w:val="21"/>
                <w14:ligatures w14:val="none"/>
              </w:rPr>
              <w:t>porate investment</w:t>
            </w:r>
            <w:r>
              <w:rPr>
                <w:rFonts w:hint="eastAsia" w:ascii="Times New Roman" w:hAnsi="Times New Roman" w:eastAsia="宋体" w:cs="Times New Roman"/>
                <w:color w:val="000000"/>
                <w:sz w:val="21"/>
                <w:szCs w:val="21"/>
                <w14:ligatures w14:val="none"/>
              </w:rPr>
              <w:t>）</w:t>
            </w:r>
          </w:p>
        </w:tc>
        <w:tc>
          <w:tcPr>
            <w:tcW w:w="3553" w:type="dxa"/>
          </w:tcPr>
          <w:p w14:paraId="129A2F0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蒂特曼等</w:t>
            </w:r>
            <w:r>
              <w:rPr>
                <w:rFonts w:ascii="Times New Roman" w:hAnsi="Times New Roman" w:eastAsia="宋体" w:cs="Times New Roman"/>
                <w:color w:val="000000"/>
                <w:sz w:val="21"/>
                <w:szCs w:val="21"/>
                <w14:ligatures w14:val="none"/>
              </w:rPr>
              <w:t>（2004）</w:t>
            </w:r>
          </w:p>
        </w:tc>
      </w:tr>
      <w:tr w14:paraId="27A94F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5E43BE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I</w:t>
            </w:r>
            <w:r>
              <w:rPr>
                <w:rFonts w:ascii="Times New Roman" w:hAnsi="Times New Roman" w:eastAsia="宋体" w:cs="Times New Roman"/>
                <w:i/>
                <w:iCs/>
                <w:color w:val="000000"/>
                <w:sz w:val="21"/>
                <w:szCs w:val="21"/>
                <w14:ligatures w14:val="none"/>
              </w:rPr>
              <w:t>C</w:t>
            </w:r>
          </w:p>
        </w:tc>
        <w:tc>
          <w:tcPr>
            <w:tcW w:w="3185" w:type="dxa"/>
          </w:tcPr>
          <w:p w14:paraId="2FDA816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投资资本比（</w:t>
            </w:r>
            <w:r>
              <w:rPr>
                <w:rFonts w:ascii="Times New Roman" w:hAnsi="Times New Roman" w:eastAsia="宋体" w:cs="Times New Roman"/>
                <w:color w:val="000000"/>
                <w:sz w:val="21"/>
                <w:szCs w:val="21"/>
                <w14:ligatures w14:val="none"/>
              </w:rPr>
              <w:t>Investment to Net Capital</w:t>
            </w:r>
            <w:r>
              <w:rPr>
                <w:rFonts w:hint="eastAsia" w:ascii="Times New Roman" w:hAnsi="Times New Roman" w:eastAsia="宋体" w:cs="Times New Roman"/>
                <w:color w:val="000000"/>
                <w:sz w:val="21"/>
                <w:szCs w:val="21"/>
                <w14:ligatures w14:val="none"/>
              </w:rPr>
              <w:t>）</w:t>
            </w:r>
          </w:p>
        </w:tc>
        <w:tc>
          <w:tcPr>
            <w:tcW w:w="3553" w:type="dxa"/>
          </w:tcPr>
          <w:p w14:paraId="6CA2412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王茵田和朱英姿（2011）</w:t>
            </w:r>
          </w:p>
        </w:tc>
      </w:tr>
      <w:tr w14:paraId="26107E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306" w:type="dxa"/>
            <w:gridSpan w:val="3"/>
          </w:tcPr>
          <w:p w14:paraId="254D6B0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盈利类指标（2</w:t>
            </w:r>
            <w:r>
              <w:rPr>
                <w:rFonts w:ascii="Times New Roman" w:hAnsi="Times New Roman" w:eastAsia="宋体" w:cs="Times New Roman"/>
                <w:color w:val="000000"/>
                <w:sz w:val="21"/>
                <w:szCs w:val="21"/>
                <w14:ligatures w14:val="none"/>
              </w:rPr>
              <w:t>4</w:t>
            </w:r>
            <w:r>
              <w:rPr>
                <w:rFonts w:hint="eastAsia" w:ascii="Times New Roman" w:hAnsi="Times New Roman" w:eastAsia="宋体" w:cs="Times New Roman"/>
                <w:color w:val="000000"/>
                <w:sz w:val="21"/>
                <w:szCs w:val="21"/>
                <w14:ligatures w14:val="none"/>
              </w:rPr>
              <w:t>个）</w:t>
            </w:r>
          </w:p>
        </w:tc>
      </w:tr>
      <w:tr w14:paraId="2DE10F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1DE723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ATO</w:t>
            </w:r>
          </w:p>
        </w:tc>
        <w:tc>
          <w:tcPr>
            <w:tcW w:w="3185" w:type="dxa"/>
          </w:tcPr>
          <w:p w14:paraId="2DCFA03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资产换手率（</w:t>
            </w:r>
            <w:r>
              <w:rPr>
                <w:rFonts w:ascii="Times New Roman" w:hAnsi="Times New Roman" w:eastAsia="宋体" w:cs="Times New Roman"/>
                <w:color w:val="000000"/>
                <w:sz w:val="21"/>
                <w:szCs w:val="21"/>
                <w14:ligatures w14:val="none"/>
              </w:rPr>
              <w:t>Asset turnover</w:t>
            </w:r>
            <w:r>
              <w:rPr>
                <w:rFonts w:hint="eastAsia" w:ascii="Times New Roman" w:hAnsi="Times New Roman" w:eastAsia="宋体" w:cs="Times New Roman"/>
                <w:color w:val="000000"/>
                <w:sz w:val="21"/>
                <w:szCs w:val="21"/>
                <w14:ligatures w14:val="none"/>
              </w:rPr>
              <w:t>）</w:t>
            </w:r>
          </w:p>
        </w:tc>
        <w:tc>
          <w:tcPr>
            <w:tcW w:w="3553" w:type="dxa"/>
          </w:tcPr>
          <w:p w14:paraId="11420C5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索利曼</w:t>
            </w:r>
            <w:r>
              <w:rPr>
                <w:rFonts w:ascii="Times New Roman" w:hAnsi="Times New Roman" w:eastAsia="宋体" w:cs="Times New Roman"/>
                <w:color w:val="000000"/>
                <w:sz w:val="21"/>
                <w:szCs w:val="21"/>
                <w14:ligatures w14:val="none"/>
              </w:rPr>
              <w:t>（2008）</w:t>
            </w:r>
          </w:p>
        </w:tc>
      </w:tr>
      <w:tr w14:paraId="33B444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E2E822C">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CFOA</w:t>
            </w:r>
          </w:p>
        </w:tc>
        <w:tc>
          <w:tcPr>
            <w:tcW w:w="3185" w:type="dxa"/>
          </w:tcPr>
          <w:p w14:paraId="4944AD1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现金流资产比（</w:t>
            </w:r>
            <w:r>
              <w:rPr>
                <w:rFonts w:ascii="Times New Roman" w:hAnsi="Times New Roman" w:eastAsia="宋体" w:cs="Times New Roman"/>
                <w:color w:val="000000"/>
                <w:sz w:val="21"/>
                <w:szCs w:val="21"/>
                <w14:ligatures w14:val="none"/>
              </w:rPr>
              <w:t>Cash flow over assets</w:t>
            </w:r>
            <w:r>
              <w:rPr>
                <w:rFonts w:hint="eastAsia" w:ascii="Times New Roman" w:hAnsi="Times New Roman" w:eastAsia="宋体" w:cs="Times New Roman"/>
                <w:color w:val="000000"/>
                <w:sz w:val="21"/>
                <w:szCs w:val="21"/>
                <w14:ligatures w14:val="none"/>
              </w:rPr>
              <w:t>）</w:t>
            </w:r>
          </w:p>
        </w:tc>
        <w:tc>
          <w:tcPr>
            <w:tcW w:w="3553" w:type="dxa"/>
          </w:tcPr>
          <w:p w14:paraId="6AB16D2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阿斯内斯等</w:t>
            </w:r>
            <w:r>
              <w:rPr>
                <w:rFonts w:ascii="Times New Roman" w:hAnsi="Times New Roman" w:eastAsia="宋体" w:cs="Times New Roman"/>
                <w:color w:val="000000"/>
                <w:sz w:val="21"/>
                <w:szCs w:val="21"/>
                <w14:ligatures w14:val="none"/>
              </w:rPr>
              <w:t>（2017）</w:t>
            </w:r>
          </w:p>
        </w:tc>
      </w:tr>
      <w:tr w14:paraId="342302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5BBC22C">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CP</w:t>
            </w:r>
          </w:p>
        </w:tc>
        <w:tc>
          <w:tcPr>
            <w:tcW w:w="3185" w:type="dxa"/>
          </w:tcPr>
          <w:p w14:paraId="2F14C83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现金生产率（</w:t>
            </w:r>
            <w:r>
              <w:rPr>
                <w:rFonts w:ascii="Times New Roman" w:hAnsi="Times New Roman" w:eastAsia="宋体" w:cs="Times New Roman"/>
                <w:color w:val="000000"/>
                <w:sz w:val="21"/>
                <w:szCs w:val="21"/>
                <w14:ligatures w14:val="none"/>
              </w:rPr>
              <w:t>Cash productivity</w:t>
            </w:r>
            <w:r>
              <w:rPr>
                <w:rFonts w:hint="eastAsia" w:ascii="Times New Roman" w:hAnsi="Times New Roman" w:eastAsia="宋体" w:cs="Times New Roman"/>
                <w:color w:val="000000"/>
                <w:sz w:val="21"/>
                <w:szCs w:val="21"/>
                <w14:ligatures w14:val="none"/>
              </w:rPr>
              <w:t>）</w:t>
            </w:r>
          </w:p>
        </w:tc>
        <w:tc>
          <w:tcPr>
            <w:tcW w:w="3553" w:type="dxa"/>
          </w:tcPr>
          <w:p w14:paraId="4B526CC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钱德拉谢卡尔</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拉奥</w:t>
            </w:r>
            <w:r>
              <w:rPr>
                <w:rFonts w:ascii="Times New Roman" w:hAnsi="Times New Roman" w:eastAsia="宋体" w:cs="Times New Roman"/>
                <w:color w:val="000000"/>
                <w:sz w:val="21"/>
                <w:szCs w:val="21"/>
                <w14:ligatures w14:val="none"/>
              </w:rPr>
              <w:t>（2009）</w:t>
            </w:r>
          </w:p>
        </w:tc>
      </w:tr>
      <w:tr w14:paraId="0D97F6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E22DE68">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CTA</w:t>
            </w:r>
          </w:p>
        </w:tc>
        <w:tc>
          <w:tcPr>
            <w:tcW w:w="3185" w:type="dxa"/>
          </w:tcPr>
          <w:p w14:paraId="5ABB1EA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现金资产比（</w:t>
            </w:r>
            <w:r>
              <w:rPr>
                <w:rFonts w:ascii="Times New Roman" w:hAnsi="Times New Roman" w:eastAsia="宋体" w:cs="Times New Roman"/>
                <w:color w:val="000000"/>
                <w:sz w:val="21"/>
                <w:szCs w:val="21"/>
                <w14:ligatures w14:val="none"/>
              </w:rPr>
              <w:t>Cash-to-assets</w:t>
            </w:r>
            <w:r>
              <w:rPr>
                <w:rFonts w:hint="eastAsia" w:ascii="Times New Roman" w:hAnsi="Times New Roman" w:eastAsia="宋体" w:cs="Times New Roman"/>
                <w:color w:val="000000"/>
                <w:sz w:val="21"/>
                <w:szCs w:val="21"/>
                <w14:ligatures w14:val="none"/>
              </w:rPr>
              <w:t>）</w:t>
            </w:r>
          </w:p>
        </w:tc>
        <w:tc>
          <w:tcPr>
            <w:tcW w:w="3553" w:type="dxa"/>
          </w:tcPr>
          <w:p w14:paraId="579516C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帕拉佐</w:t>
            </w:r>
            <w:r>
              <w:rPr>
                <w:rFonts w:ascii="Times New Roman" w:hAnsi="Times New Roman" w:eastAsia="宋体" w:cs="Times New Roman"/>
                <w:color w:val="000000"/>
                <w:sz w:val="21"/>
                <w:szCs w:val="21"/>
                <w14:ligatures w14:val="none"/>
              </w:rPr>
              <w:t>（2012）</w:t>
            </w:r>
          </w:p>
        </w:tc>
      </w:tr>
      <w:tr w14:paraId="261327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9D7C83E">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CTO</w:t>
            </w:r>
          </w:p>
        </w:tc>
        <w:tc>
          <w:tcPr>
            <w:tcW w:w="3185" w:type="dxa"/>
          </w:tcPr>
          <w:p w14:paraId="0629BA2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资本换手率（</w:t>
            </w:r>
            <w:r>
              <w:rPr>
                <w:rFonts w:ascii="Times New Roman" w:hAnsi="Times New Roman" w:eastAsia="宋体" w:cs="Times New Roman"/>
                <w:color w:val="000000"/>
                <w:sz w:val="21"/>
                <w:szCs w:val="21"/>
                <w14:ligatures w14:val="none"/>
              </w:rPr>
              <w:t>Capital turnover</w:t>
            </w:r>
            <w:r>
              <w:rPr>
                <w:rFonts w:hint="eastAsia" w:ascii="Times New Roman" w:hAnsi="Times New Roman" w:eastAsia="宋体" w:cs="Times New Roman"/>
                <w:color w:val="000000"/>
                <w:sz w:val="21"/>
                <w:szCs w:val="21"/>
                <w14:ligatures w14:val="none"/>
              </w:rPr>
              <w:t>）</w:t>
            </w:r>
          </w:p>
        </w:tc>
        <w:tc>
          <w:tcPr>
            <w:tcW w:w="3553" w:type="dxa"/>
          </w:tcPr>
          <w:p w14:paraId="09D75CE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豪根</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贝克</w:t>
            </w:r>
            <w:r>
              <w:rPr>
                <w:rFonts w:ascii="Times New Roman" w:hAnsi="Times New Roman" w:eastAsia="宋体" w:cs="Times New Roman"/>
                <w:color w:val="000000"/>
                <w:sz w:val="21"/>
                <w:szCs w:val="21"/>
                <w14:ligatures w14:val="none"/>
              </w:rPr>
              <w:t>（1996）</w:t>
            </w:r>
          </w:p>
        </w:tc>
      </w:tr>
      <w:tr w14:paraId="2F9227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7DDC02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EBIT</w:t>
            </w:r>
          </w:p>
        </w:tc>
        <w:tc>
          <w:tcPr>
            <w:tcW w:w="3185" w:type="dxa"/>
          </w:tcPr>
          <w:p w14:paraId="212122F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息税前收益（</w:t>
            </w:r>
            <w:r>
              <w:rPr>
                <w:rFonts w:ascii="Times New Roman" w:hAnsi="Times New Roman" w:eastAsia="宋体" w:cs="Times New Roman"/>
                <w:color w:val="000000"/>
                <w:sz w:val="21"/>
                <w:szCs w:val="21"/>
                <w14:ligatures w14:val="none"/>
              </w:rPr>
              <w:t>Earnings before interests and taxes</w:t>
            </w:r>
            <w:r>
              <w:rPr>
                <w:rFonts w:hint="eastAsia" w:ascii="Times New Roman" w:hAnsi="Times New Roman" w:eastAsia="宋体" w:cs="Times New Roman"/>
                <w:color w:val="000000"/>
                <w:sz w:val="21"/>
                <w:szCs w:val="21"/>
                <w14:ligatures w14:val="none"/>
              </w:rPr>
              <w:t>）</w:t>
            </w:r>
          </w:p>
        </w:tc>
        <w:tc>
          <w:tcPr>
            <w:tcW w:w="3553" w:type="dxa"/>
          </w:tcPr>
          <w:p w14:paraId="0F46F0D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格林布拉特</w:t>
            </w:r>
            <w:r>
              <w:rPr>
                <w:rFonts w:ascii="Times New Roman" w:hAnsi="Times New Roman" w:eastAsia="宋体" w:cs="Times New Roman"/>
                <w:color w:val="000000"/>
                <w:sz w:val="21"/>
                <w:szCs w:val="21"/>
                <w14:ligatures w14:val="none"/>
              </w:rPr>
              <w:t>（2006）</w:t>
            </w:r>
          </w:p>
        </w:tc>
      </w:tr>
      <w:tr w14:paraId="2D3EE7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50D7FB9">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EY</w:t>
            </w:r>
          </w:p>
        </w:tc>
        <w:tc>
          <w:tcPr>
            <w:tcW w:w="3185" w:type="dxa"/>
          </w:tcPr>
          <w:p w14:paraId="41E9A20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企业收益率（</w:t>
            </w:r>
            <w:r>
              <w:rPr>
                <w:rFonts w:ascii="Times New Roman" w:hAnsi="Times New Roman" w:eastAsia="宋体" w:cs="Times New Roman"/>
                <w:color w:val="000000"/>
                <w:sz w:val="21"/>
                <w:szCs w:val="21"/>
                <w14:ligatures w14:val="none"/>
              </w:rPr>
              <w:t>Earnings yield</w:t>
            </w:r>
            <w:r>
              <w:rPr>
                <w:rFonts w:hint="eastAsia" w:ascii="Times New Roman" w:hAnsi="Times New Roman" w:eastAsia="宋体" w:cs="Times New Roman"/>
                <w:color w:val="000000"/>
                <w:sz w:val="21"/>
                <w:szCs w:val="21"/>
                <w14:ligatures w14:val="none"/>
              </w:rPr>
              <w:t>）</w:t>
            </w:r>
          </w:p>
        </w:tc>
        <w:tc>
          <w:tcPr>
            <w:tcW w:w="3553" w:type="dxa"/>
          </w:tcPr>
          <w:p w14:paraId="3AFA3E9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格林布拉特</w:t>
            </w:r>
            <w:r>
              <w:rPr>
                <w:rFonts w:ascii="Times New Roman" w:hAnsi="Times New Roman" w:eastAsia="宋体" w:cs="Times New Roman"/>
                <w:color w:val="000000"/>
                <w:sz w:val="21"/>
                <w:szCs w:val="21"/>
                <w14:ligatures w14:val="none"/>
              </w:rPr>
              <w:t>（2006）</w:t>
            </w:r>
          </w:p>
        </w:tc>
      </w:tr>
      <w:tr w14:paraId="452726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14383B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GM</w:t>
            </w:r>
          </w:p>
        </w:tc>
        <w:tc>
          <w:tcPr>
            <w:tcW w:w="3185" w:type="dxa"/>
          </w:tcPr>
          <w:p w14:paraId="762022F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边际毛利（</w:t>
            </w:r>
            <w:r>
              <w:rPr>
                <w:rFonts w:ascii="Times New Roman" w:hAnsi="Times New Roman" w:eastAsia="宋体" w:cs="Times New Roman"/>
                <w:color w:val="000000"/>
                <w:sz w:val="21"/>
                <w:szCs w:val="21"/>
                <w14:ligatures w14:val="none"/>
              </w:rPr>
              <w:t>Gross margins</w:t>
            </w:r>
            <w:r>
              <w:rPr>
                <w:rFonts w:hint="eastAsia" w:ascii="Times New Roman" w:hAnsi="Times New Roman" w:eastAsia="宋体" w:cs="Times New Roman"/>
                <w:color w:val="000000"/>
                <w:sz w:val="21"/>
                <w:szCs w:val="21"/>
                <w14:ligatures w14:val="none"/>
              </w:rPr>
              <w:t>）</w:t>
            </w:r>
          </w:p>
        </w:tc>
        <w:tc>
          <w:tcPr>
            <w:tcW w:w="3553" w:type="dxa"/>
          </w:tcPr>
          <w:p w14:paraId="49EA861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诺维-马克斯</w:t>
            </w:r>
            <w:r>
              <w:rPr>
                <w:rFonts w:ascii="Times New Roman" w:hAnsi="Times New Roman" w:eastAsia="宋体" w:cs="Times New Roman"/>
                <w:color w:val="000000"/>
                <w:sz w:val="21"/>
                <w:szCs w:val="21"/>
                <w14:ligatures w14:val="none"/>
              </w:rPr>
              <w:t>（2013）</w:t>
            </w:r>
          </w:p>
        </w:tc>
      </w:tr>
      <w:tr w14:paraId="0C7F5C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9F355CC">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GP</w:t>
            </w:r>
          </w:p>
        </w:tc>
        <w:tc>
          <w:tcPr>
            <w:tcW w:w="3185" w:type="dxa"/>
          </w:tcPr>
          <w:p w14:paraId="572F1FD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毛利润率（</w:t>
            </w:r>
            <w:r>
              <w:rPr>
                <w:rFonts w:ascii="Times New Roman" w:hAnsi="Times New Roman" w:eastAsia="宋体" w:cs="Times New Roman"/>
                <w:color w:val="000000"/>
                <w:sz w:val="21"/>
                <w:szCs w:val="21"/>
                <w14:ligatures w14:val="none"/>
              </w:rPr>
              <w:t>Gross profitability</w:t>
            </w:r>
            <w:r>
              <w:rPr>
                <w:rFonts w:hint="eastAsia" w:ascii="Times New Roman" w:hAnsi="Times New Roman" w:eastAsia="宋体" w:cs="Times New Roman"/>
                <w:color w:val="000000"/>
                <w:sz w:val="21"/>
                <w:szCs w:val="21"/>
                <w14:ligatures w14:val="none"/>
              </w:rPr>
              <w:t>）</w:t>
            </w:r>
          </w:p>
        </w:tc>
        <w:tc>
          <w:tcPr>
            <w:tcW w:w="3553" w:type="dxa"/>
          </w:tcPr>
          <w:p w14:paraId="45E565C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诺维-马克斯</w:t>
            </w:r>
            <w:r>
              <w:rPr>
                <w:rFonts w:ascii="Times New Roman" w:hAnsi="Times New Roman" w:eastAsia="宋体" w:cs="Times New Roman"/>
                <w:color w:val="000000"/>
                <w:sz w:val="21"/>
                <w:szCs w:val="21"/>
                <w14:ligatures w14:val="none"/>
              </w:rPr>
              <w:t>（2013）；</w:t>
            </w:r>
            <w:r>
              <w:rPr>
                <w:rFonts w:hint="eastAsia" w:ascii="Times New Roman" w:hAnsi="Times New Roman" w:eastAsia="宋体" w:cs="Times New Roman"/>
                <w:color w:val="000000"/>
                <w:sz w:val="21"/>
                <w:szCs w:val="21"/>
                <w14:ligatures w14:val="none"/>
              </w:rPr>
              <w:t>姜等</w:t>
            </w:r>
            <w:r>
              <w:rPr>
                <w:rFonts w:ascii="Times New Roman" w:hAnsi="Times New Roman" w:eastAsia="宋体" w:cs="Times New Roman"/>
                <w:color w:val="000000"/>
                <w:sz w:val="21"/>
                <w:szCs w:val="21"/>
                <w14:ligatures w14:val="none"/>
              </w:rPr>
              <w:t>（2018）</w:t>
            </w:r>
          </w:p>
        </w:tc>
      </w:tr>
      <w:tr w14:paraId="4D6A1EF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D0BFA49">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NPOP</w:t>
            </w:r>
          </w:p>
        </w:tc>
        <w:tc>
          <w:tcPr>
            <w:tcW w:w="3185" w:type="dxa"/>
          </w:tcPr>
          <w:p w14:paraId="1F8D71F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净股利分配率（</w:t>
            </w:r>
            <w:r>
              <w:rPr>
                <w:rFonts w:ascii="Times New Roman" w:hAnsi="Times New Roman" w:eastAsia="宋体" w:cs="Times New Roman"/>
                <w:color w:val="000000"/>
                <w:sz w:val="21"/>
                <w:szCs w:val="21"/>
                <w14:ligatures w14:val="none"/>
              </w:rPr>
              <w:t>Net payout over profits</w:t>
            </w:r>
            <w:r>
              <w:rPr>
                <w:rFonts w:hint="eastAsia" w:ascii="Times New Roman" w:hAnsi="Times New Roman" w:eastAsia="宋体" w:cs="Times New Roman"/>
                <w:color w:val="000000"/>
                <w:sz w:val="21"/>
                <w:szCs w:val="21"/>
                <w14:ligatures w14:val="none"/>
              </w:rPr>
              <w:t>）</w:t>
            </w:r>
          </w:p>
        </w:tc>
        <w:tc>
          <w:tcPr>
            <w:tcW w:w="3553" w:type="dxa"/>
          </w:tcPr>
          <w:p w14:paraId="1059504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阿斯内斯等</w:t>
            </w:r>
            <w:r>
              <w:rPr>
                <w:rFonts w:ascii="Times New Roman" w:hAnsi="Times New Roman" w:eastAsia="宋体" w:cs="Times New Roman"/>
                <w:color w:val="000000"/>
                <w:sz w:val="21"/>
                <w:szCs w:val="21"/>
                <w14:ligatures w14:val="none"/>
              </w:rPr>
              <w:t>（2017）</w:t>
            </w:r>
          </w:p>
        </w:tc>
      </w:tr>
      <w:tr w14:paraId="3BA015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B33D6A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RNA</w:t>
            </w:r>
          </w:p>
        </w:tc>
        <w:tc>
          <w:tcPr>
            <w:tcW w:w="3185" w:type="dxa"/>
          </w:tcPr>
          <w:p w14:paraId="0EBDCEF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净运营资产收益（</w:t>
            </w:r>
            <w:r>
              <w:rPr>
                <w:rFonts w:ascii="Times New Roman" w:hAnsi="Times New Roman" w:eastAsia="宋体" w:cs="Times New Roman"/>
                <w:color w:val="000000"/>
                <w:sz w:val="21"/>
                <w:szCs w:val="21"/>
                <w14:ligatures w14:val="none"/>
              </w:rPr>
              <w:t>Return on net operating assets</w:t>
            </w:r>
            <w:r>
              <w:rPr>
                <w:rFonts w:hint="eastAsia" w:ascii="Times New Roman" w:hAnsi="Times New Roman" w:eastAsia="宋体" w:cs="Times New Roman"/>
                <w:color w:val="000000"/>
                <w:sz w:val="21"/>
                <w:szCs w:val="21"/>
                <w14:ligatures w14:val="none"/>
              </w:rPr>
              <w:t>）</w:t>
            </w:r>
          </w:p>
        </w:tc>
        <w:tc>
          <w:tcPr>
            <w:tcW w:w="3553" w:type="dxa"/>
          </w:tcPr>
          <w:p w14:paraId="22B9593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索利曼</w:t>
            </w:r>
            <w:r>
              <w:rPr>
                <w:rFonts w:ascii="Times New Roman" w:hAnsi="Times New Roman" w:eastAsia="宋体" w:cs="Times New Roman"/>
                <w:color w:val="000000"/>
                <w:sz w:val="21"/>
                <w:szCs w:val="21"/>
                <w14:ligatures w14:val="none"/>
              </w:rPr>
              <w:t>（2008）</w:t>
            </w:r>
          </w:p>
        </w:tc>
      </w:tr>
      <w:tr w14:paraId="70A33A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76C7C5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ROA</w:t>
            </w:r>
          </w:p>
        </w:tc>
        <w:tc>
          <w:tcPr>
            <w:tcW w:w="3185" w:type="dxa"/>
          </w:tcPr>
          <w:p w14:paraId="67EBF8E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资产收益率（</w:t>
            </w:r>
            <w:r>
              <w:rPr>
                <w:rFonts w:ascii="Times New Roman" w:hAnsi="Times New Roman" w:eastAsia="宋体" w:cs="Times New Roman"/>
                <w:color w:val="000000"/>
                <w:sz w:val="21"/>
                <w:szCs w:val="21"/>
                <w14:ligatures w14:val="none"/>
              </w:rPr>
              <w:t>Return on assets</w:t>
            </w:r>
            <w:r>
              <w:rPr>
                <w:rFonts w:hint="eastAsia" w:ascii="Times New Roman" w:hAnsi="Times New Roman" w:eastAsia="宋体" w:cs="Times New Roman"/>
                <w:color w:val="000000"/>
                <w:sz w:val="21"/>
                <w:szCs w:val="21"/>
                <w14:ligatures w14:val="none"/>
              </w:rPr>
              <w:t>）</w:t>
            </w:r>
          </w:p>
        </w:tc>
        <w:tc>
          <w:tcPr>
            <w:tcW w:w="3553" w:type="dxa"/>
          </w:tcPr>
          <w:p w14:paraId="62B90FE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巴拉克里希南等</w:t>
            </w:r>
            <w:r>
              <w:rPr>
                <w:rFonts w:ascii="Times New Roman" w:hAnsi="Times New Roman" w:eastAsia="宋体" w:cs="Times New Roman"/>
                <w:color w:val="000000"/>
                <w:sz w:val="21"/>
                <w:szCs w:val="21"/>
                <w14:ligatures w14:val="none"/>
              </w:rPr>
              <w:t>（2010）；</w:t>
            </w:r>
            <w:r>
              <w:rPr>
                <w:rFonts w:hint="eastAsia" w:ascii="Times New Roman" w:hAnsi="Times New Roman" w:eastAsia="宋体" w:cs="Times New Roman"/>
                <w:color w:val="000000"/>
                <w:sz w:val="21"/>
                <w:szCs w:val="21"/>
                <w14:ligatures w14:val="none"/>
              </w:rPr>
              <w:t>姜等</w:t>
            </w:r>
            <w:r>
              <w:rPr>
                <w:rFonts w:ascii="Times New Roman" w:hAnsi="Times New Roman" w:eastAsia="宋体" w:cs="Times New Roman"/>
                <w:color w:val="000000"/>
                <w:sz w:val="21"/>
                <w:szCs w:val="21"/>
                <w14:ligatures w14:val="none"/>
              </w:rPr>
              <w:t>（2018）</w:t>
            </w:r>
          </w:p>
        </w:tc>
      </w:tr>
      <w:tr w14:paraId="4D00D7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0F4F73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ROE</w:t>
            </w:r>
          </w:p>
        </w:tc>
        <w:tc>
          <w:tcPr>
            <w:tcW w:w="3185" w:type="dxa"/>
          </w:tcPr>
          <w:p w14:paraId="10BD553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股权收益率（</w:t>
            </w:r>
            <w:r>
              <w:rPr>
                <w:rFonts w:ascii="Times New Roman" w:hAnsi="Times New Roman" w:eastAsia="宋体" w:cs="Times New Roman"/>
                <w:color w:val="000000"/>
                <w:sz w:val="21"/>
                <w:szCs w:val="21"/>
                <w14:ligatures w14:val="none"/>
              </w:rPr>
              <w:t>Return on equity</w:t>
            </w:r>
            <w:r>
              <w:rPr>
                <w:rFonts w:hint="eastAsia" w:ascii="Times New Roman" w:hAnsi="Times New Roman" w:eastAsia="宋体" w:cs="Times New Roman"/>
                <w:color w:val="000000"/>
                <w:sz w:val="21"/>
                <w:szCs w:val="21"/>
                <w14:ligatures w14:val="none"/>
              </w:rPr>
              <w:t>）</w:t>
            </w:r>
          </w:p>
        </w:tc>
        <w:tc>
          <w:tcPr>
            <w:tcW w:w="3553" w:type="dxa"/>
          </w:tcPr>
          <w:p w14:paraId="4A7A32E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侯等</w:t>
            </w:r>
            <w:r>
              <w:rPr>
                <w:rFonts w:ascii="Times New Roman" w:hAnsi="Times New Roman" w:eastAsia="宋体" w:cs="Times New Roman"/>
                <w:color w:val="000000"/>
                <w:sz w:val="21"/>
                <w:szCs w:val="21"/>
                <w14:ligatures w14:val="none"/>
              </w:rPr>
              <w:t>（2015）；</w:t>
            </w:r>
            <w:r>
              <w:rPr>
                <w:rFonts w:hint="eastAsia" w:ascii="Times New Roman" w:hAnsi="Times New Roman" w:eastAsia="宋体" w:cs="Times New Roman"/>
                <w:color w:val="000000"/>
                <w:sz w:val="21"/>
                <w:szCs w:val="21"/>
                <w14:ligatures w14:val="none"/>
              </w:rPr>
              <w:t>姜等</w:t>
            </w:r>
            <w:r>
              <w:rPr>
                <w:rFonts w:ascii="Times New Roman" w:hAnsi="Times New Roman" w:eastAsia="宋体" w:cs="Times New Roman"/>
                <w:color w:val="000000"/>
                <w:sz w:val="21"/>
                <w:szCs w:val="21"/>
                <w14:ligatures w14:val="none"/>
              </w:rPr>
              <w:t>（2018）</w:t>
            </w:r>
          </w:p>
        </w:tc>
      </w:tr>
      <w:tr w14:paraId="29B24B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4588A8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ROIC</w:t>
            </w:r>
          </w:p>
        </w:tc>
        <w:tc>
          <w:tcPr>
            <w:tcW w:w="3185" w:type="dxa"/>
          </w:tcPr>
          <w:p w14:paraId="43C6C03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投资型资产收益率（</w:t>
            </w:r>
            <w:r>
              <w:rPr>
                <w:rFonts w:ascii="Times New Roman" w:hAnsi="Times New Roman" w:eastAsia="宋体" w:cs="Times New Roman"/>
                <w:color w:val="000000"/>
                <w:sz w:val="21"/>
                <w:szCs w:val="21"/>
                <w14:ligatures w14:val="none"/>
              </w:rPr>
              <w:t>Return on invested capital</w:t>
            </w:r>
            <w:r>
              <w:rPr>
                <w:rFonts w:hint="eastAsia" w:ascii="Times New Roman" w:hAnsi="Times New Roman" w:eastAsia="宋体" w:cs="Times New Roman"/>
                <w:color w:val="000000"/>
                <w:sz w:val="21"/>
                <w:szCs w:val="21"/>
                <w14:ligatures w14:val="none"/>
              </w:rPr>
              <w:t>）</w:t>
            </w:r>
          </w:p>
        </w:tc>
        <w:tc>
          <w:tcPr>
            <w:tcW w:w="3553" w:type="dxa"/>
          </w:tcPr>
          <w:p w14:paraId="3AC81AA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格林布拉特</w:t>
            </w:r>
            <w:r>
              <w:rPr>
                <w:rFonts w:ascii="Times New Roman" w:hAnsi="Times New Roman" w:eastAsia="宋体" w:cs="Times New Roman"/>
                <w:color w:val="000000"/>
                <w:sz w:val="21"/>
                <w:szCs w:val="21"/>
                <w14:ligatures w14:val="none"/>
              </w:rPr>
              <w:t>（2006）</w:t>
            </w:r>
          </w:p>
        </w:tc>
      </w:tr>
      <w:tr w14:paraId="31E40F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8079CD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TBI</w:t>
            </w:r>
          </w:p>
        </w:tc>
        <w:tc>
          <w:tcPr>
            <w:tcW w:w="3185" w:type="dxa"/>
          </w:tcPr>
          <w:p w14:paraId="171872B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应税所得与账面资产比（</w:t>
            </w:r>
            <w:r>
              <w:rPr>
                <w:rFonts w:ascii="Times New Roman" w:hAnsi="Times New Roman" w:eastAsia="宋体" w:cs="Times New Roman"/>
                <w:color w:val="000000"/>
                <w:sz w:val="21"/>
                <w:szCs w:val="21"/>
                <w14:ligatures w14:val="none"/>
              </w:rPr>
              <w:t>Taxable income-to-book income</w:t>
            </w:r>
            <w:r>
              <w:rPr>
                <w:rFonts w:hint="eastAsia" w:ascii="Times New Roman" w:hAnsi="Times New Roman" w:eastAsia="宋体" w:cs="Times New Roman"/>
                <w:color w:val="000000"/>
                <w:sz w:val="21"/>
                <w:szCs w:val="21"/>
                <w14:ligatures w14:val="none"/>
              </w:rPr>
              <w:t>）</w:t>
            </w:r>
          </w:p>
        </w:tc>
        <w:tc>
          <w:tcPr>
            <w:tcW w:w="3553" w:type="dxa"/>
          </w:tcPr>
          <w:p w14:paraId="1FF5C06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格林等</w:t>
            </w:r>
            <w:r>
              <w:rPr>
                <w:rFonts w:ascii="Times New Roman" w:hAnsi="Times New Roman" w:eastAsia="宋体" w:cs="Times New Roman"/>
                <w:color w:val="000000"/>
                <w:sz w:val="21"/>
                <w:szCs w:val="21"/>
                <w14:ligatures w14:val="none"/>
              </w:rPr>
              <w:t>（2013）</w:t>
            </w:r>
          </w:p>
        </w:tc>
      </w:tr>
      <w:tr w14:paraId="58EA99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53975C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Z</w:t>
            </w:r>
          </w:p>
        </w:tc>
        <w:tc>
          <w:tcPr>
            <w:tcW w:w="3185" w:type="dxa"/>
          </w:tcPr>
          <w:p w14:paraId="586718C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Z</w:t>
            </w:r>
            <w:r>
              <w:rPr>
                <w:rFonts w:hint="eastAsia" w:ascii="Times New Roman" w:hAnsi="Times New Roman" w:eastAsia="宋体" w:cs="Times New Roman"/>
                <w:color w:val="000000"/>
                <w:sz w:val="21"/>
                <w:szCs w:val="21"/>
                <w14:ligatures w14:val="none"/>
              </w:rPr>
              <w:t>评分（</w:t>
            </w:r>
            <w:r>
              <w:rPr>
                <w:rFonts w:ascii="Times New Roman" w:hAnsi="Times New Roman" w:eastAsia="宋体" w:cs="Times New Roman"/>
                <w:color w:val="000000"/>
                <w:sz w:val="21"/>
                <w:szCs w:val="21"/>
                <w14:ligatures w14:val="none"/>
              </w:rPr>
              <w:t>Z-score</w:t>
            </w:r>
            <w:r>
              <w:rPr>
                <w:rFonts w:hint="eastAsia" w:ascii="Times New Roman" w:hAnsi="Times New Roman" w:eastAsia="宋体" w:cs="Times New Roman"/>
                <w:color w:val="000000"/>
                <w:sz w:val="21"/>
                <w:szCs w:val="21"/>
                <w14:ligatures w14:val="none"/>
              </w:rPr>
              <w:t>）</w:t>
            </w:r>
          </w:p>
        </w:tc>
        <w:tc>
          <w:tcPr>
            <w:tcW w:w="3553" w:type="dxa"/>
          </w:tcPr>
          <w:p w14:paraId="062F1FF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迪切夫</w:t>
            </w:r>
            <w:r>
              <w:rPr>
                <w:rFonts w:ascii="Times New Roman" w:hAnsi="Times New Roman" w:eastAsia="宋体" w:cs="Times New Roman"/>
                <w:color w:val="000000"/>
                <w:sz w:val="21"/>
                <w:szCs w:val="21"/>
                <w14:ligatures w14:val="none"/>
              </w:rPr>
              <w:t>（1998）</w:t>
            </w:r>
          </w:p>
        </w:tc>
      </w:tr>
      <w:tr w14:paraId="5A64D6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B1B417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SALEREV</w:t>
            </w:r>
          </w:p>
        </w:tc>
        <w:tc>
          <w:tcPr>
            <w:tcW w:w="3185" w:type="dxa"/>
          </w:tcPr>
          <w:p w14:paraId="1FAB2C9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应收账款周转率（Sales</w:t>
            </w:r>
            <w:r>
              <w:rPr>
                <w:rFonts w:ascii="Times New Roman" w:hAnsi="Times New Roman" w:eastAsia="宋体" w:cs="Times New Roman"/>
                <w:color w:val="000000"/>
                <w:sz w:val="21"/>
                <w:szCs w:val="21"/>
                <w14:ligatures w14:val="none"/>
              </w:rPr>
              <w:t xml:space="preserve"> to receivables</w:t>
            </w:r>
            <w:r>
              <w:rPr>
                <w:rFonts w:hint="eastAsia" w:ascii="Times New Roman" w:hAnsi="Times New Roman" w:eastAsia="宋体" w:cs="Times New Roman"/>
                <w:color w:val="000000"/>
                <w:sz w:val="21"/>
                <w:szCs w:val="21"/>
                <w14:ligatures w14:val="none"/>
              </w:rPr>
              <w:t>）</w:t>
            </w:r>
          </w:p>
        </w:tc>
        <w:tc>
          <w:tcPr>
            <w:tcW w:w="3553" w:type="dxa"/>
          </w:tcPr>
          <w:p w14:paraId="04DAD68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60AAD5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99632C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C</w:t>
            </w:r>
            <w:r>
              <w:rPr>
                <w:rFonts w:ascii="Times New Roman" w:hAnsi="Times New Roman" w:eastAsia="宋体" w:cs="Times New Roman"/>
                <w:i/>
                <w:iCs/>
                <w:color w:val="000000"/>
                <w:sz w:val="21"/>
                <w:szCs w:val="21"/>
                <w14:ligatures w14:val="none"/>
              </w:rPr>
              <w:t>HTX</w:t>
            </w:r>
          </w:p>
        </w:tc>
        <w:tc>
          <w:tcPr>
            <w:tcW w:w="3185" w:type="dxa"/>
          </w:tcPr>
          <w:p w14:paraId="4227506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纳税变化额（Change</w:t>
            </w:r>
            <w:r>
              <w:rPr>
                <w:rFonts w:ascii="Times New Roman" w:hAnsi="Times New Roman" w:eastAsia="宋体" w:cs="Times New Roman"/>
                <w:color w:val="000000"/>
                <w:sz w:val="21"/>
                <w:szCs w:val="21"/>
                <w14:ligatures w14:val="none"/>
              </w:rPr>
              <w:t xml:space="preserve"> in tax expense</w:t>
            </w:r>
            <w:r>
              <w:rPr>
                <w:rFonts w:hint="eastAsia" w:ascii="Times New Roman" w:hAnsi="Times New Roman" w:eastAsia="宋体" w:cs="Times New Roman"/>
                <w:color w:val="000000"/>
                <w:sz w:val="21"/>
                <w:szCs w:val="21"/>
                <w14:ligatures w14:val="none"/>
              </w:rPr>
              <w:t>）</w:t>
            </w:r>
          </w:p>
        </w:tc>
        <w:tc>
          <w:tcPr>
            <w:tcW w:w="3553" w:type="dxa"/>
          </w:tcPr>
          <w:p w14:paraId="7944D4F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托马斯</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张</w:t>
            </w:r>
            <w:r>
              <w:rPr>
                <w:rFonts w:ascii="Times New Roman" w:hAnsi="Times New Roman" w:eastAsia="宋体" w:cs="Times New Roman"/>
                <w:color w:val="000000"/>
                <w:sz w:val="21"/>
                <w:szCs w:val="21"/>
                <w14:ligatures w14:val="none"/>
              </w:rPr>
              <w:t>（2011）</w:t>
            </w:r>
          </w:p>
        </w:tc>
      </w:tr>
      <w:tr w14:paraId="2ED8DD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4BF454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EPS</w:t>
            </w:r>
          </w:p>
        </w:tc>
        <w:tc>
          <w:tcPr>
            <w:tcW w:w="3185" w:type="dxa"/>
          </w:tcPr>
          <w:p w14:paraId="08D0A88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每股盈余（Earnings</w:t>
            </w:r>
            <w:r>
              <w:rPr>
                <w:rFonts w:ascii="Times New Roman" w:hAnsi="Times New Roman" w:eastAsia="宋体" w:cs="Times New Roman"/>
                <w:color w:val="000000"/>
                <w:sz w:val="21"/>
                <w:szCs w:val="21"/>
                <w14:ligatures w14:val="none"/>
              </w:rPr>
              <w:t xml:space="preserve"> per share</w:t>
            </w:r>
            <w:r>
              <w:rPr>
                <w:rFonts w:hint="eastAsia" w:ascii="Times New Roman" w:hAnsi="Times New Roman" w:eastAsia="宋体" w:cs="Times New Roman"/>
                <w:color w:val="000000"/>
                <w:sz w:val="21"/>
                <w:szCs w:val="21"/>
                <w14:ligatures w14:val="none"/>
              </w:rPr>
              <w:t>）</w:t>
            </w:r>
          </w:p>
        </w:tc>
        <w:tc>
          <w:tcPr>
            <w:tcW w:w="3553" w:type="dxa"/>
          </w:tcPr>
          <w:p w14:paraId="47DE1BA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赵宇龙（1998）</w:t>
            </w:r>
          </w:p>
        </w:tc>
      </w:tr>
      <w:tr w14:paraId="006A7B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0C3761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C</w:t>
            </w:r>
            <w:r>
              <w:rPr>
                <w:rFonts w:ascii="Times New Roman" w:hAnsi="Times New Roman" w:eastAsia="宋体" w:cs="Times New Roman"/>
                <w:i/>
                <w:iCs/>
                <w:color w:val="000000"/>
                <w:sz w:val="21"/>
                <w:szCs w:val="21"/>
                <w14:ligatures w14:val="none"/>
              </w:rPr>
              <w:t>EPS</w:t>
            </w:r>
          </w:p>
        </w:tc>
        <w:tc>
          <w:tcPr>
            <w:tcW w:w="3185" w:type="dxa"/>
          </w:tcPr>
          <w:p w14:paraId="759558C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永久经济盈余（</w:t>
            </w:r>
            <w:r>
              <w:rPr>
                <w:rFonts w:ascii="Times New Roman" w:hAnsi="Times New Roman" w:eastAsia="宋体" w:cs="Times New Roman"/>
                <w:color w:val="000000"/>
                <w:sz w:val="21"/>
                <w:szCs w:val="21"/>
                <w14:ligatures w14:val="none"/>
              </w:rPr>
              <w:t>Consensus Earnings Per Share</w:t>
            </w:r>
            <w:r>
              <w:rPr>
                <w:rFonts w:hint="eastAsia" w:ascii="Times New Roman" w:hAnsi="Times New Roman" w:eastAsia="宋体" w:cs="Times New Roman"/>
                <w:color w:val="000000"/>
                <w:sz w:val="21"/>
                <w:szCs w:val="21"/>
                <w14:ligatures w14:val="none"/>
              </w:rPr>
              <w:t>）</w:t>
            </w:r>
          </w:p>
        </w:tc>
        <w:tc>
          <w:tcPr>
            <w:tcW w:w="3553" w:type="dxa"/>
          </w:tcPr>
          <w:p w14:paraId="7D7B5B4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赵宇龙和易琮（1999）</w:t>
            </w:r>
          </w:p>
        </w:tc>
      </w:tr>
      <w:tr w14:paraId="2DD83B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01C57CB">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R</w:t>
            </w:r>
            <w:r>
              <w:rPr>
                <w:rFonts w:ascii="Times New Roman" w:hAnsi="Times New Roman" w:eastAsia="宋体" w:cs="Times New Roman"/>
                <w:i/>
                <w:iCs/>
                <w:color w:val="000000"/>
                <w:sz w:val="21"/>
                <w:szCs w:val="21"/>
                <w14:ligatures w14:val="none"/>
              </w:rPr>
              <w:t>O</w:t>
            </w:r>
          </w:p>
        </w:tc>
        <w:tc>
          <w:tcPr>
            <w:tcW w:w="3185" w:type="dxa"/>
          </w:tcPr>
          <w:p w14:paraId="2A60C4F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经营利润率（Re</w:t>
            </w:r>
            <w:r>
              <w:rPr>
                <w:rFonts w:ascii="Times New Roman" w:hAnsi="Times New Roman" w:eastAsia="宋体" w:cs="Times New Roman"/>
                <w:color w:val="000000"/>
                <w:sz w:val="21"/>
                <w:szCs w:val="21"/>
                <w14:ligatures w14:val="none"/>
              </w:rPr>
              <w:t>turn of operating</w:t>
            </w:r>
            <w:r>
              <w:rPr>
                <w:rFonts w:hint="eastAsia" w:ascii="Times New Roman" w:hAnsi="Times New Roman" w:eastAsia="宋体" w:cs="Times New Roman"/>
                <w:color w:val="000000"/>
                <w:sz w:val="21"/>
                <w:szCs w:val="21"/>
                <w14:ligatures w14:val="none"/>
              </w:rPr>
              <w:t>）</w:t>
            </w:r>
          </w:p>
        </w:tc>
        <w:tc>
          <w:tcPr>
            <w:tcW w:w="3553" w:type="dxa"/>
          </w:tcPr>
          <w:p w14:paraId="5D70076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张腾文和黄友（2008）</w:t>
            </w:r>
          </w:p>
        </w:tc>
      </w:tr>
      <w:tr w14:paraId="7A72D3E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B61B1E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R</w:t>
            </w:r>
            <w:r>
              <w:rPr>
                <w:rFonts w:ascii="Times New Roman" w:hAnsi="Times New Roman" w:eastAsia="宋体" w:cs="Times New Roman"/>
                <w:i/>
                <w:iCs/>
                <w:color w:val="000000"/>
                <w:sz w:val="21"/>
                <w:szCs w:val="21"/>
                <w14:ligatures w14:val="none"/>
              </w:rPr>
              <w:t>FI</w:t>
            </w:r>
          </w:p>
        </w:tc>
        <w:tc>
          <w:tcPr>
            <w:tcW w:w="3185" w:type="dxa"/>
          </w:tcPr>
          <w:p w14:paraId="4DF23B3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金融投资收益（Re</w:t>
            </w:r>
            <w:r>
              <w:rPr>
                <w:rFonts w:ascii="Times New Roman" w:hAnsi="Times New Roman" w:eastAsia="宋体" w:cs="Times New Roman"/>
                <w:color w:val="000000"/>
                <w:sz w:val="21"/>
                <w:szCs w:val="21"/>
                <w14:ligatures w14:val="none"/>
              </w:rPr>
              <w:t>turn of financial investment</w:t>
            </w:r>
            <w:r>
              <w:rPr>
                <w:rFonts w:hint="eastAsia" w:ascii="Times New Roman" w:hAnsi="Times New Roman" w:eastAsia="宋体" w:cs="Times New Roman"/>
                <w:color w:val="000000"/>
                <w:sz w:val="21"/>
                <w:szCs w:val="21"/>
                <w14:ligatures w14:val="none"/>
              </w:rPr>
              <w:t>）</w:t>
            </w:r>
          </w:p>
        </w:tc>
        <w:tc>
          <w:tcPr>
            <w:tcW w:w="3553" w:type="dxa"/>
          </w:tcPr>
          <w:p w14:paraId="60D5859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胡聪慧等（2015）</w:t>
            </w:r>
          </w:p>
        </w:tc>
      </w:tr>
      <w:tr w14:paraId="205DC39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2396F1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I</w:t>
            </w:r>
            <w:r>
              <w:rPr>
                <w:rFonts w:ascii="Times New Roman" w:hAnsi="Times New Roman" w:eastAsia="宋体" w:cs="Times New Roman"/>
                <w:i/>
                <w:iCs/>
                <w:color w:val="000000"/>
                <w:sz w:val="21"/>
                <w:szCs w:val="21"/>
                <w14:ligatures w14:val="none"/>
              </w:rPr>
              <w:t>P</w:t>
            </w:r>
          </w:p>
        </w:tc>
        <w:tc>
          <w:tcPr>
            <w:tcW w:w="3185" w:type="dxa"/>
          </w:tcPr>
          <w:p w14:paraId="1068659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 xml:space="preserve">投资收益占比（Investment </w:t>
            </w:r>
            <w:r>
              <w:rPr>
                <w:rFonts w:ascii="Times New Roman" w:hAnsi="Times New Roman" w:eastAsia="宋体" w:cs="Times New Roman"/>
                <w:color w:val="000000"/>
                <w:sz w:val="21"/>
                <w:szCs w:val="21"/>
                <w14:ligatures w14:val="none"/>
              </w:rPr>
              <w:t>g</w:t>
            </w:r>
            <w:r>
              <w:rPr>
                <w:rFonts w:hint="eastAsia" w:ascii="Times New Roman" w:hAnsi="Times New Roman" w:eastAsia="宋体" w:cs="Times New Roman"/>
                <w:color w:val="000000"/>
                <w:sz w:val="21"/>
                <w:szCs w:val="21"/>
                <w14:ligatures w14:val="none"/>
              </w:rPr>
              <w:t xml:space="preserve">ains to </w:t>
            </w:r>
            <w:r>
              <w:rPr>
                <w:rFonts w:ascii="Times New Roman" w:hAnsi="Times New Roman" w:eastAsia="宋体" w:cs="Times New Roman"/>
                <w:color w:val="000000"/>
                <w:sz w:val="21"/>
                <w:szCs w:val="21"/>
                <w14:ligatures w14:val="none"/>
              </w:rPr>
              <w:t>n</w:t>
            </w:r>
            <w:r>
              <w:rPr>
                <w:rFonts w:hint="eastAsia" w:ascii="Times New Roman" w:hAnsi="Times New Roman" w:eastAsia="宋体" w:cs="Times New Roman"/>
                <w:color w:val="000000"/>
                <w:sz w:val="21"/>
                <w:szCs w:val="21"/>
                <w14:ligatures w14:val="none"/>
              </w:rPr>
              <w:t xml:space="preserve">et </w:t>
            </w:r>
            <w:r>
              <w:rPr>
                <w:rFonts w:ascii="Times New Roman" w:hAnsi="Times New Roman" w:eastAsia="宋体" w:cs="Times New Roman"/>
                <w:color w:val="000000"/>
                <w:sz w:val="21"/>
                <w:szCs w:val="21"/>
                <w14:ligatures w14:val="none"/>
              </w:rPr>
              <w:t>p</w:t>
            </w:r>
            <w:r>
              <w:rPr>
                <w:rFonts w:hint="eastAsia" w:ascii="Times New Roman" w:hAnsi="Times New Roman" w:eastAsia="宋体" w:cs="Times New Roman"/>
                <w:color w:val="000000"/>
                <w:sz w:val="21"/>
                <w:szCs w:val="21"/>
                <w14:ligatures w14:val="none"/>
              </w:rPr>
              <w:t>rofit）</w:t>
            </w:r>
          </w:p>
        </w:tc>
        <w:tc>
          <w:tcPr>
            <w:tcW w:w="3553" w:type="dxa"/>
          </w:tcPr>
          <w:p w14:paraId="100EBC6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翟进步和罗玫（2014）</w:t>
            </w:r>
          </w:p>
        </w:tc>
      </w:tr>
      <w:tr w14:paraId="22E7CD4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826008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TMT</w:t>
            </w:r>
          </w:p>
        </w:tc>
        <w:tc>
          <w:tcPr>
            <w:tcW w:w="3185" w:type="dxa"/>
          </w:tcPr>
          <w:p w14:paraId="74EE1D9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主营业务利润率增长速度</w:t>
            </w:r>
          </w:p>
        </w:tc>
        <w:tc>
          <w:tcPr>
            <w:tcW w:w="3553" w:type="dxa"/>
          </w:tcPr>
          <w:p w14:paraId="6DF31E8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干伟明和张涤新（2018）</w:t>
            </w:r>
          </w:p>
        </w:tc>
      </w:tr>
      <w:tr w14:paraId="7162BF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306" w:type="dxa"/>
            <w:gridSpan w:val="3"/>
          </w:tcPr>
          <w:p w14:paraId="31BB16B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惯性类指标（</w:t>
            </w:r>
            <w:r>
              <w:rPr>
                <w:rFonts w:ascii="Times New Roman" w:hAnsi="Times New Roman" w:eastAsia="宋体" w:cs="Times New Roman"/>
                <w:color w:val="000000"/>
                <w:sz w:val="21"/>
                <w:szCs w:val="21"/>
                <w14:ligatures w14:val="none"/>
              </w:rPr>
              <w:t>7</w:t>
            </w:r>
            <w:r>
              <w:rPr>
                <w:rFonts w:hint="eastAsia" w:ascii="Times New Roman" w:hAnsi="Times New Roman" w:eastAsia="宋体" w:cs="Times New Roman"/>
                <w:color w:val="000000"/>
                <w:sz w:val="21"/>
                <w:szCs w:val="21"/>
                <w14:ligatures w14:val="none"/>
              </w:rPr>
              <w:t>个）</w:t>
            </w:r>
          </w:p>
        </w:tc>
      </w:tr>
      <w:tr w14:paraId="71EE6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44CD54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CHMOM</w:t>
            </w:r>
          </w:p>
        </w:tc>
        <w:tc>
          <w:tcPr>
            <w:tcW w:w="3185" w:type="dxa"/>
          </w:tcPr>
          <w:p w14:paraId="429EB3A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6个月惯性变化（</w:t>
            </w:r>
            <w:r>
              <w:rPr>
                <w:rFonts w:ascii="Times New Roman" w:hAnsi="Times New Roman" w:eastAsia="宋体" w:cs="Times New Roman"/>
                <w:color w:val="000000"/>
                <w:sz w:val="21"/>
                <w:szCs w:val="21"/>
                <w14:ligatures w14:val="none"/>
              </w:rPr>
              <w:t>Change in 6-month momentum</w:t>
            </w:r>
            <w:r>
              <w:rPr>
                <w:rFonts w:hint="eastAsia" w:ascii="Times New Roman" w:hAnsi="Times New Roman" w:eastAsia="宋体" w:cs="Times New Roman"/>
                <w:color w:val="000000"/>
                <w:sz w:val="21"/>
                <w:szCs w:val="21"/>
                <w14:ligatures w14:val="none"/>
              </w:rPr>
              <w:t>）</w:t>
            </w:r>
          </w:p>
        </w:tc>
        <w:tc>
          <w:tcPr>
            <w:tcW w:w="3553" w:type="dxa"/>
          </w:tcPr>
          <w:p w14:paraId="5D5DC8D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格特尔曼</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马克斯</w:t>
            </w:r>
            <w:r>
              <w:rPr>
                <w:rFonts w:ascii="Times New Roman" w:hAnsi="Times New Roman" w:eastAsia="宋体" w:cs="Times New Roman"/>
                <w:color w:val="000000"/>
                <w:sz w:val="21"/>
                <w:szCs w:val="21"/>
                <w14:ligatures w14:val="none"/>
              </w:rPr>
              <w:t>（2006）</w:t>
            </w:r>
          </w:p>
        </w:tc>
      </w:tr>
      <w:tr w14:paraId="428A3A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1E6BA4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VOLT</w:t>
            </w:r>
          </w:p>
        </w:tc>
        <w:tc>
          <w:tcPr>
            <w:tcW w:w="3185" w:type="dxa"/>
          </w:tcPr>
          <w:p w14:paraId="6B84A96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交易量趋势（</w:t>
            </w:r>
            <w:r>
              <w:rPr>
                <w:rFonts w:ascii="Times New Roman" w:hAnsi="Times New Roman" w:eastAsia="宋体" w:cs="Times New Roman"/>
                <w:color w:val="000000"/>
                <w:sz w:val="21"/>
                <w:szCs w:val="21"/>
                <w14:ligatures w14:val="none"/>
              </w:rPr>
              <w:t>Volume trend</w:t>
            </w:r>
            <w:r>
              <w:rPr>
                <w:rFonts w:hint="eastAsia" w:ascii="Times New Roman" w:hAnsi="Times New Roman" w:eastAsia="宋体" w:cs="Times New Roman"/>
                <w:color w:val="000000"/>
                <w:sz w:val="21"/>
                <w:szCs w:val="21"/>
                <w14:ligatures w14:val="none"/>
              </w:rPr>
              <w:t>）</w:t>
            </w:r>
          </w:p>
        </w:tc>
        <w:tc>
          <w:tcPr>
            <w:tcW w:w="3553" w:type="dxa"/>
          </w:tcPr>
          <w:p w14:paraId="5B64BBE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豪根</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贝克</w:t>
            </w:r>
            <w:r>
              <w:rPr>
                <w:rFonts w:ascii="Times New Roman" w:hAnsi="Times New Roman" w:eastAsia="宋体" w:cs="Times New Roman"/>
                <w:color w:val="000000"/>
                <w:sz w:val="21"/>
                <w:szCs w:val="21"/>
                <w14:ligatures w14:val="none"/>
              </w:rPr>
              <w:t>（1996）</w:t>
            </w:r>
          </w:p>
        </w:tc>
      </w:tr>
      <w:tr w14:paraId="42610B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BED84E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I</w:t>
            </w:r>
            <w:r>
              <w:rPr>
                <w:rFonts w:ascii="Times New Roman" w:hAnsi="Times New Roman" w:eastAsia="宋体" w:cs="Times New Roman"/>
                <w:i/>
                <w:iCs/>
                <w:color w:val="000000"/>
                <w:sz w:val="21"/>
                <w:szCs w:val="21"/>
                <w14:ligatures w14:val="none"/>
              </w:rPr>
              <w:t>NDMOM</w:t>
            </w:r>
          </w:p>
        </w:tc>
        <w:tc>
          <w:tcPr>
            <w:tcW w:w="3185" w:type="dxa"/>
          </w:tcPr>
          <w:p w14:paraId="7211906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行业惯性（In</w:t>
            </w:r>
            <w:r>
              <w:rPr>
                <w:rFonts w:ascii="Times New Roman" w:hAnsi="Times New Roman" w:eastAsia="宋体" w:cs="Times New Roman"/>
                <w:color w:val="000000"/>
                <w:sz w:val="21"/>
                <w:szCs w:val="21"/>
                <w14:ligatures w14:val="none"/>
              </w:rPr>
              <w:t>dustry momentum</w:t>
            </w:r>
            <w:r>
              <w:rPr>
                <w:rFonts w:hint="eastAsia" w:ascii="Times New Roman" w:hAnsi="Times New Roman" w:eastAsia="宋体" w:cs="Times New Roman"/>
                <w:color w:val="000000"/>
                <w:sz w:val="21"/>
                <w:szCs w:val="21"/>
                <w14:ligatures w14:val="none"/>
              </w:rPr>
              <w:t>）</w:t>
            </w:r>
          </w:p>
        </w:tc>
        <w:tc>
          <w:tcPr>
            <w:tcW w:w="3553" w:type="dxa"/>
          </w:tcPr>
          <w:p w14:paraId="26DE8A0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莫斯科维茨</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格林布拉特</w:t>
            </w:r>
            <w:r>
              <w:rPr>
                <w:rFonts w:ascii="Times New Roman" w:hAnsi="Times New Roman" w:eastAsia="宋体" w:cs="Times New Roman"/>
                <w:color w:val="000000"/>
                <w:sz w:val="21"/>
                <w:szCs w:val="21"/>
                <w14:ligatures w14:val="none"/>
              </w:rPr>
              <w:t>（1999）</w:t>
            </w:r>
          </w:p>
        </w:tc>
      </w:tr>
      <w:tr w14:paraId="2D6109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FF49E6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M</w:t>
            </w:r>
            <w:r>
              <w:rPr>
                <w:rFonts w:ascii="Times New Roman" w:hAnsi="Times New Roman" w:eastAsia="宋体" w:cs="Times New Roman"/>
                <w:i/>
                <w:iCs/>
                <w:color w:val="000000"/>
                <w:sz w:val="21"/>
                <w:szCs w:val="21"/>
                <w14:ligatures w14:val="none"/>
              </w:rPr>
              <w:t>OM1M</w:t>
            </w:r>
          </w:p>
        </w:tc>
        <w:tc>
          <w:tcPr>
            <w:tcW w:w="3185" w:type="dxa"/>
          </w:tcPr>
          <w:p w14:paraId="066D656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1个月惯性（1-month</w:t>
            </w:r>
            <w:r>
              <w:rPr>
                <w:rFonts w:ascii="Times New Roman" w:hAnsi="Times New Roman" w:eastAsia="宋体" w:cs="Times New Roman"/>
                <w:color w:val="000000"/>
                <w:sz w:val="21"/>
                <w:szCs w:val="21"/>
                <w14:ligatures w14:val="none"/>
              </w:rPr>
              <w:t xml:space="preserve"> momentum</w:t>
            </w:r>
            <w:r>
              <w:rPr>
                <w:rFonts w:hint="eastAsia" w:ascii="Times New Roman" w:hAnsi="Times New Roman" w:eastAsia="宋体" w:cs="Times New Roman"/>
                <w:color w:val="000000"/>
                <w:sz w:val="21"/>
                <w:szCs w:val="21"/>
                <w14:ligatures w14:val="none"/>
              </w:rPr>
              <w:t>）</w:t>
            </w:r>
          </w:p>
        </w:tc>
        <w:tc>
          <w:tcPr>
            <w:tcW w:w="3553" w:type="dxa"/>
          </w:tcPr>
          <w:p w14:paraId="2DD7082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杰格迪什</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蒂特曼</w:t>
            </w:r>
            <w:r>
              <w:rPr>
                <w:rFonts w:ascii="Times New Roman" w:hAnsi="Times New Roman" w:eastAsia="宋体" w:cs="Times New Roman"/>
                <w:color w:val="000000"/>
                <w:sz w:val="21"/>
                <w:szCs w:val="21"/>
                <w14:ligatures w14:val="none"/>
              </w:rPr>
              <w:t>（1993）</w:t>
            </w:r>
          </w:p>
        </w:tc>
      </w:tr>
      <w:tr w14:paraId="024F8D4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EB64FF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M</w:t>
            </w:r>
            <w:r>
              <w:rPr>
                <w:rFonts w:ascii="Times New Roman" w:hAnsi="Times New Roman" w:eastAsia="宋体" w:cs="Times New Roman"/>
                <w:i/>
                <w:iCs/>
                <w:color w:val="000000"/>
                <w:sz w:val="21"/>
                <w:szCs w:val="21"/>
                <w14:ligatures w14:val="none"/>
              </w:rPr>
              <w:t>OM6M</w:t>
            </w:r>
          </w:p>
        </w:tc>
        <w:tc>
          <w:tcPr>
            <w:tcW w:w="3185" w:type="dxa"/>
          </w:tcPr>
          <w:p w14:paraId="33266FC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6个月惯性（6-month momentum）</w:t>
            </w:r>
          </w:p>
        </w:tc>
        <w:tc>
          <w:tcPr>
            <w:tcW w:w="3553" w:type="dxa"/>
          </w:tcPr>
          <w:p w14:paraId="6499FB6E">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杰格迪什</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蒂特曼</w:t>
            </w:r>
            <w:r>
              <w:rPr>
                <w:rFonts w:ascii="Times New Roman" w:hAnsi="Times New Roman" w:eastAsia="宋体" w:cs="Times New Roman"/>
                <w:color w:val="000000"/>
                <w:sz w:val="21"/>
                <w:szCs w:val="21"/>
                <w14:ligatures w14:val="none"/>
              </w:rPr>
              <w:t>（1993）</w:t>
            </w:r>
          </w:p>
        </w:tc>
      </w:tr>
      <w:tr w14:paraId="2A3FBE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0EB4F88">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M</w:t>
            </w:r>
            <w:r>
              <w:rPr>
                <w:rFonts w:ascii="Times New Roman" w:hAnsi="Times New Roman" w:eastAsia="宋体" w:cs="Times New Roman"/>
                <w:i/>
                <w:iCs/>
                <w:color w:val="000000"/>
                <w:sz w:val="21"/>
                <w:szCs w:val="21"/>
                <w14:ligatures w14:val="none"/>
              </w:rPr>
              <w:t>OM12M</w:t>
            </w:r>
          </w:p>
        </w:tc>
        <w:tc>
          <w:tcPr>
            <w:tcW w:w="3185" w:type="dxa"/>
          </w:tcPr>
          <w:p w14:paraId="1E56E87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12个月惯性（1</w:t>
            </w:r>
            <w:r>
              <w:rPr>
                <w:rFonts w:ascii="Times New Roman" w:hAnsi="Times New Roman" w:eastAsia="宋体" w:cs="Times New Roman"/>
                <w:color w:val="000000"/>
                <w:sz w:val="21"/>
                <w:szCs w:val="21"/>
                <w14:ligatures w14:val="none"/>
              </w:rPr>
              <w:t>2</w:t>
            </w:r>
            <w:r>
              <w:rPr>
                <w:rFonts w:hint="eastAsia" w:ascii="Times New Roman" w:hAnsi="Times New Roman" w:eastAsia="宋体" w:cs="Times New Roman"/>
                <w:color w:val="000000"/>
                <w:sz w:val="21"/>
                <w:szCs w:val="21"/>
                <w14:ligatures w14:val="none"/>
              </w:rPr>
              <w:t>-month momentum）</w:t>
            </w:r>
          </w:p>
        </w:tc>
        <w:tc>
          <w:tcPr>
            <w:tcW w:w="3553" w:type="dxa"/>
          </w:tcPr>
          <w:p w14:paraId="0721798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杰格迪什</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蒂特曼</w:t>
            </w:r>
            <w:r>
              <w:rPr>
                <w:rFonts w:ascii="Times New Roman" w:hAnsi="Times New Roman" w:eastAsia="宋体" w:cs="Times New Roman"/>
                <w:color w:val="000000"/>
                <w:sz w:val="21"/>
                <w:szCs w:val="21"/>
                <w14:ligatures w14:val="none"/>
              </w:rPr>
              <w:t>（1993）</w:t>
            </w:r>
          </w:p>
        </w:tc>
      </w:tr>
      <w:tr w14:paraId="0C02EC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A6AF7A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M</w:t>
            </w:r>
            <w:r>
              <w:rPr>
                <w:rFonts w:ascii="Times New Roman" w:hAnsi="Times New Roman" w:eastAsia="宋体" w:cs="Times New Roman"/>
                <w:i/>
                <w:iCs/>
                <w:color w:val="000000"/>
                <w:sz w:val="21"/>
                <w:szCs w:val="21"/>
                <w14:ligatures w14:val="none"/>
              </w:rPr>
              <w:t>OM36M</w:t>
            </w:r>
          </w:p>
        </w:tc>
        <w:tc>
          <w:tcPr>
            <w:tcW w:w="3185" w:type="dxa"/>
          </w:tcPr>
          <w:p w14:paraId="24AB8FF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36个月惯性（3</w:t>
            </w:r>
            <w:r>
              <w:rPr>
                <w:rFonts w:ascii="Times New Roman" w:hAnsi="Times New Roman" w:eastAsia="宋体" w:cs="Times New Roman"/>
                <w:color w:val="000000"/>
                <w:sz w:val="21"/>
                <w:szCs w:val="21"/>
                <w14:ligatures w14:val="none"/>
              </w:rPr>
              <w:t>6</w:t>
            </w:r>
            <w:r>
              <w:rPr>
                <w:rFonts w:hint="eastAsia" w:ascii="Times New Roman" w:hAnsi="Times New Roman" w:eastAsia="宋体" w:cs="Times New Roman"/>
                <w:color w:val="000000"/>
                <w:sz w:val="21"/>
                <w:szCs w:val="21"/>
                <w14:ligatures w14:val="none"/>
              </w:rPr>
              <w:t>-month momentum）</w:t>
            </w:r>
          </w:p>
        </w:tc>
        <w:tc>
          <w:tcPr>
            <w:tcW w:w="3553" w:type="dxa"/>
          </w:tcPr>
          <w:p w14:paraId="64BEEFD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杰格迪什</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蒂特曼</w:t>
            </w:r>
            <w:r>
              <w:rPr>
                <w:rFonts w:ascii="Times New Roman" w:hAnsi="Times New Roman" w:eastAsia="宋体" w:cs="Times New Roman"/>
                <w:color w:val="000000"/>
                <w:sz w:val="21"/>
                <w:szCs w:val="21"/>
                <w14:ligatures w14:val="none"/>
              </w:rPr>
              <w:t>（1993）</w:t>
            </w:r>
          </w:p>
        </w:tc>
      </w:tr>
      <w:tr w14:paraId="007E03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306" w:type="dxa"/>
            <w:gridSpan w:val="3"/>
          </w:tcPr>
          <w:p w14:paraId="674295E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交易摩擦类指标（1</w:t>
            </w:r>
            <w:r>
              <w:rPr>
                <w:rFonts w:ascii="Times New Roman" w:hAnsi="Times New Roman" w:eastAsia="宋体" w:cs="Times New Roman"/>
                <w:color w:val="000000"/>
                <w:sz w:val="21"/>
                <w:szCs w:val="21"/>
                <w14:ligatures w14:val="none"/>
              </w:rPr>
              <w:t>6</w:t>
            </w:r>
            <w:r>
              <w:rPr>
                <w:rFonts w:hint="eastAsia" w:ascii="Times New Roman" w:hAnsi="Times New Roman" w:eastAsia="宋体" w:cs="Times New Roman"/>
                <w:color w:val="000000"/>
                <w:sz w:val="21"/>
                <w:szCs w:val="21"/>
                <w14:ligatures w14:val="none"/>
              </w:rPr>
              <w:t>个）</w:t>
            </w:r>
          </w:p>
        </w:tc>
      </w:tr>
      <w:tr w14:paraId="713A904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D4624C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B_DIM</w:t>
            </w:r>
          </w:p>
        </w:tc>
        <w:tc>
          <w:tcPr>
            <w:tcW w:w="3185" w:type="dxa"/>
          </w:tcPr>
          <w:p w14:paraId="06FD402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蒂姆森系数（</w:t>
            </w:r>
            <w:r>
              <w:rPr>
                <w:rFonts w:ascii="Times New Roman" w:hAnsi="Times New Roman" w:eastAsia="宋体" w:cs="Times New Roman"/>
                <w:color w:val="000000"/>
                <w:sz w:val="21"/>
                <w:szCs w:val="21"/>
                <w14:ligatures w14:val="none"/>
              </w:rPr>
              <w:t>The Dimson beta</w:t>
            </w:r>
            <w:r>
              <w:rPr>
                <w:rFonts w:hint="eastAsia" w:ascii="Times New Roman" w:hAnsi="Times New Roman" w:eastAsia="宋体" w:cs="Times New Roman"/>
                <w:color w:val="000000"/>
                <w:sz w:val="21"/>
                <w:szCs w:val="21"/>
                <w14:ligatures w14:val="none"/>
              </w:rPr>
              <w:t>）</w:t>
            </w:r>
          </w:p>
        </w:tc>
        <w:tc>
          <w:tcPr>
            <w:tcW w:w="3553" w:type="dxa"/>
          </w:tcPr>
          <w:p w14:paraId="3C93128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迪姆松</w:t>
            </w:r>
            <w:r>
              <w:rPr>
                <w:rFonts w:ascii="Times New Roman" w:hAnsi="Times New Roman" w:eastAsia="宋体" w:cs="Times New Roman"/>
                <w:color w:val="000000"/>
                <w:sz w:val="21"/>
                <w:szCs w:val="21"/>
                <w14:ligatures w14:val="none"/>
              </w:rPr>
              <w:t>（1979）</w:t>
            </w:r>
          </w:p>
        </w:tc>
      </w:tr>
      <w:tr w14:paraId="062230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EBD8EF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B_DN</w:t>
            </w:r>
          </w:p>
        </w:tc>
        <w:tc>
          <w:tcPr>
            <w:tcW w:w="3185" w:type="dxa"/>
          </w:tcPr>
          <w:p w14:paraId="79237DB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下行系数（</w:t>
            </w:r>
            <w:r>
              <w:rPr>
                <w:rFonts w:ascii="Times New Roman" w:hAnsi="Times New Roman" w:eastAsia="宋体" w:cs="Times New Roman"/>
                <w:color w:val="000000"/>
                <w:sz w:val="21"/>
                <w:szCs w:val="21"/>
                <w14:ligatures w14:val="none"/>
              </w:rPr>
              <w:t>Downside beta</w:t>
            </w:r>
            <w:r>
              <w:rPr>
                <w:rFonts w:hint="eastAsia" w:ascii="Times New Roman" w:hAnsi="Times New Roman" w:eastAsia="宋体" w:cs="Times New Roman"/>
                <w:color w:val="000000"/>
                <w:sz w:val="21"/>
                <w:szCs w:val="21"/>
                <w14:ligatures w14:val="none"/>
              </w:rPr>
              <w:t>）</w:t>
            </w:r>
          </w:p>
        </w:tc>
        <w:tc>
          <w:tcPr>
            <w:tcW w:w="3553" w:type="dxa"/>
          </w:tcPr>
          <w:p w14:paraId="619AAE6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洪等</w:t>
            </w:r>
            <w:r>
              <w:rPr>
                <w:rFonts w:ascii="Times New Roman" w:hAnsi="Times New Roman" w:eastAsia="宋体" w:cs="Times New Roman"/>
                <w:color w:val="000000"/>
                <w:sz w:val="21"/>
                <w:szCs w:val="21"/>
                <w14:ligatures w14:val="none"/>
              </w:rPr>
              <w:t>（2006）</w:t>
            </w:r>
          </w:p>
        </w:tc>
      </w:tr>
      <w:tr w14:paraId="6FE230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89BA770">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BETA</w:t>
            </w:r>
          </w:p>
        </w:tc>
        <w:tc>
          <w:tcPr>
            <w:tcW w:w="3185" w:type="dxa"/>
          </w:tcPr>
          <w:p w14:paraId="36735FA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系统性风险系数（</w:t>
            </w:r>
            <w:r>
              <w:rPr>
                <w:rFonts w:ascii="Times New Roman" w:hAnsi="Times New Roman" w:eastAsia="宋体" w:cs="Times New Roman"/>
                <w:color w:val="000000"/>
                <w:sz w:val="21"/>
                <w:szCs w:val="21"/>
                <w14:ligatures w14:val="none"/>
              </w:rPr>
              <w:t>Market beta</w:t>
            </w:r>
            <w:r>
              <w:rPr>
                <w:rFonts w:hint="eastAsia" w:ascii="Times New Roman" w:hAnsi="Times New Roman" w:eastAsia="宋体" w:cs="Times New Roman"/>
                <w:color w:val="000000"/>
                <w:sz w:val="21"/>
                <w:szCs w:val="21"/>
                <w14:ligatures w14:val="none"/>
              </w:rPr>
              <w:t>）</w:t>
            </w:r>
          </w:p>
        </w:tc>
        <w:tc>
          <w:tcPr>
            <w:tcW w:w="3553" w:type="dxa"/>
          </w:tcPr>
          <w:p w14:paraId="0329A66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法马</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麦克白</w:t>
            </w:r>
            <w:r>
              <w:rPr>
                <w:rFonts w:ascii="Times New Roman" w:hAnsi="Times New Roman" w:eastAsia="宋体" w:cs="Times New Roman"/>
                <w:color w:val="000000"/>
                <w:sz w:val="21"/>
                <w:szCs w:val="21"/>
                <w14:ligatures w14:val="none"/>
              </w:rPr>
              <w:t>（1973）</w:t>
            </w:r>
          </w:p>
        </w:tc>
      </w:tr>
      <w:tr w14:paraId="0D8B56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368084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BETASQ</w:t>
            </w:r>
          </w:p>
        </w:tc>
        <w:tc>
          <w:tcPr>
            <w:tcW w:w="3185" w:type="dxa"/>
          </w:tcPr>
          <w:p w14:paraId="5913994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系统性风险系数方差（</w:t>
            </w:r>
            <w:r>
              <w:rPr>
                <w:rFonts w:ascii="Times New Roman" w:hAnsi="Times New Roman" w:eastAsia="宋体" w:cs="Times New Roman"/>
                <w:color w:val="000000"/>
                <w:sz w:val="21"/>
                <w:szCs w:val="21"/>
                <w14:ligatures w14:val="none"/>
              </w:rPr>
              <w:t>Beta squared</w:t>
            </w:r>
            <w:r>
              <w:rPr>
                <w:rFonts w:hint="eastAsia" w:ascii="Times New Roman" w:hAnsi="Times New Roman" w:eastAsia="宋体" w:cs="Times New Roman"/>
                <w:color w:val="000000"/>
                <w:sz w:val="21"/>
                <w:szCs w:val="21"/>
                <w14:ligatures w14:val="none"/>
              </w:rPr>
              <w:t>）</w:t>
            </w:r>
          </w:p>
        </w:tc>
        <w:tc>
          <w:tcPr>
            <w:tcW w:w="3553" w:type="dxa"/>
          </w:tcPr>
          <w:p w14:paraId="5FEC768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法马</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麦克白</w:t>
            </w:r>
            <w:r>
              <w:rPr>
                <w:rFonts w:ascii="Times New Roman" w:hAnsi="Times New Roman" w:eastAsia="宋体" w:cs="Times New Roman"/>
                <w:color w:val="000000"/>
                <w:sz w:val="21"/>
                <w:szCs w:val="21"/>
                <w14:ligatures w14:val="none"/>
              </w:rPr>
              <w:t>（1973）</w:t>
            </w:r>
          </w:p>
        </w:tc>
      </w:tr>
      <w:tr w14:paraId="512E8F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574285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B_FF</w:t>
            </w:r>
          </w:p>
        </w:tc>
        <w:tc>
          <w:tcPr>
            <w:tcW w:w="3185" w:type="dxa"/>
          </w:tcPr>
          <w:p w14:paraId="443BC70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法马弗伦奇系数（</w:t>
            </w:r>
            <w:r>
              <w:rPr>
                <w:rFonts w:ascii="Times New Roman" w:hAnsi="Times New Roman" w:eastAsia="宋体" w:cs="Times New Roman"/>
                <w:color w:val="000000"/>
                <w:sz w:val="21"/>
                <w:szCs w:val="21"/>
                <w14:ligatures w14:val="none"/>
              </w:rPr>
              <w:t xml:space="preserve">Fama and French </w:t>
            </w:r>
            <w:r>
              <w:rPr>
                <w:rFonts w:hint="eastAsia" w:ascii="Times New Roman" w:hAnsi="Times New Roman" w:eastAsia="宋体" w:cs="Times New Roman"/>
                <w:color w:val="000000"/>
                <w:sz w:val="21"/>
                <w:szCs w:val="21"/>
                <w14:ligatures w14:val="none"/>
              </w:rPr>
              <w:t>(</w:t>
            </w:r>
            <w:r>
              <w:rPr>
                <w:rFonts w:ascii="Times New Roman" w:hAnsi="Times New Roman" w:eastAsia="宋体" w:cs="Times New Roman"/>
                <w:color w:val="000000"/>
                <w:sz w:val="21"/>
                <w:szCs w:val="21"/>
                <w14:ligatures w14:val="none"/>
              </w:rPr>
              <w:t>1992</w:t>
            </w:r>
            <w:r>
              <w:rPr>
                <w:rFonts w:hint="eastAsia" w:ascii="Times New Roman" w:hAnsi="Times New Roman" w:eastAsia="宋体" w:cs="Times New Roman"/>
                <w:color w:val="000000"/>
                <w:sz w:val="21"/>
                <w:szCs w:val="21"/>
                <w14:ligatures w14:val="none"/>
              </w:rPr>
              <w:t>)</w:t>
            </w:r>
            <w:r>
              <w:rPr>
                <w:rFonts w:ascii="Times New Roman" w:hAnsi="Times New Roman" w:eastAsia="宋体" w:cs="Times New Roman"/>
                <w:color w:val="000000"/>
                <w:sz w:val="21"/>
                <w:szCs w:val="21"/>
                <w14:ligatures w14:val="none"/>
              </w:rPr>
              <w:t xml:space="preserve"> beta</w:t>
            </w:r>
            <w:r>
              <w:rPr>
                <w:rFonts w:hint="eastAsia" w:ascii="Times New Roman" w:hAnsi="Times New Roman" w:eastAsia="宋体" w:cs="Times New Roman"/>
                <w:color w:val="000000"/>
                <w:sz w:val="21"/>
                <w:szCs w:val="21"/>
                <w14:ligatures w14:val="none"/>
              </w:rPr>
              <w:t>）</w:t>
            </w:r>
          </w:p>
        </w:tc>
        <w:tc>
          <w:tcPr>
            <w:tcW w:w="3553" w:type="dxa"/>
          </w:tcPr>
          <w:p w14:paraId="445021D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法马</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弗伦奇</w:t>
            </w:r>
            <w:r>
              <w:rPr>
                <w:rFonts w:ascii="Times New Roman" w:hAnsi="Times New Roman" w:eastAsia="宋体" w:cs="Times New Roman"/>
                <w:color w:val="000000"/>
                <w:sz w:val="21"/>
                <w:szCs w:val="21"/>
                <w14:ligatures w14:val="none"/>
              </w:rPr>
              <w:t>（1992）</w:t>
            </w:r>
          </w:p>
        </w:tc>
      </w:tr>
      <w:tr w14:paraId="3F696A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23B07F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B_FP</w:t>
            </w:r>
          </w:p>
        </w:tc>
        <w:tc>
          <w:tcPr>
            <w:tcW w:w="3185" w:type="dxa"/>
          </w:tcPr>
          <w:p w14:paraId="2DAD1D3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弗兰兹尼与皮特森系数（</w:t>
            </w:r>
            <w:r>
              <w:rPr>
                <w:rFonts w:ascii="Times New Roman" w:hAnsi="Times New Roman" w:eastAsia="宋体" w:cs="Times New Roman"/>
                <w:color w:val="000000"/>
                <w:sz w:val="21"/>
                <w:szCs w:val="21"/>
                <w14:ligatures w14:val="none"/>
              </w:rPr>
              <w:t xml:space="preserve">Frazzini and Pedersen </w:t>
            </w:r>
            <w:r>
              <w:rPr>
                <w:rFonts w:hint="eastAsia" w:ascii="Times New Roman" w:hAnsi="Times New Roman" w:eastAsia="宋体" w:cs="Times New Roman"/>
                <w:color w:val="000000"/>
                <w:sz w:val="21"/>
                <w:szCs w:val="21"/>
                <w14:ligatures w14:val="none"/>
              </w:rPr>
              <w:t>(</w:t>
            </w:r>
            <w:r>
              <w:rPr>
                <w:rFonts w:ascii="Times New Roman" w:hAnsi="Times New Roman" w:eastAsia="宋体" w:cs="Times New Roman"/>
                <w:color w:val="000000"/>
                <w:sz w:val="21"/>
                <w:szCs w:val="21"/>
                <w14:ligatures w14:val="none"/>
              </w:rPr>
              <w:t>2014</w:t>
            </w:r>
            <w:r>
              <w:rPr>
                <w:rFonts w:hint="eastAsia" w:ascii="Times New Roman" w:hAnsi="Times New Roman" w:eastAsia="宋体" w:cs="Times New Roman"/>
                <w:color w:val="000000"/>
                <w:sz w:val="21"/>
                <w:szCs w:val="21"/>
                <w14:ligatures w14:val="none"/>
              </w:rPr>
              <w:t>)</w:t>
            </w:r>
            <w:r>
              <w:rPr>
                <w:rFonts w:ascii="Times New Roman" w:hAnsi="Times New Roman" w:eastAsia="宋体" w:cs="Times New Roman"/>
                <w:color w:val="000000"/>
                <w:sz w:val="21"/>
                <w:szCs w:val="21"/>
                <w14:ligatures w14:val="none"/>
              </w:rPr>
              <w:t xml:space="preserve"> beta</w:t>
            </w:r>
            <w:r>
              <w:rPr>
                <w:rFonts w:hint="eastAsia" w:ascii="Times New Roman" w:hAnsi="Times New Roman" w:eastAsia="宋体" w:cs="Times New Roman"/>
                <w:color w:val="000000"/>
                <w:sz w:val="21"/>
                <w:szCs w:val="21"/>
                <w14:ligatures w14:val="none"/>
              </w:rPr>
              <w:t>）</w:t>
            </w:r>
          </w:p>
        </w:tc>
        <w:tc>
          <w:tcPr>
            <w:tcW w:w="3553" w:type="dxa"/>
          </w:tcPr>
          <w:p w14:paraId="6545BCD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弗拉齐尼</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佩徳森</w:t>
            </w:r>
            <w:r>
              <w:rPr>
                <w:rFonts w:ascii="Times New Roman" w:hAnsi="Times New Roman" w:eastAsia="宋体" w:cs="Times New Roman"/>
                <w:color w:val="000000"/>
                <w:sz w:val="21"/>
                <w:szCs w:val="21"/>
                <w14:ligatures w14:val="none"/>
              </w:rPr>
              <w:t>（2014）</w:t>
            </w:r>
          </w:p>
        </w:tc>
      </w:tr>
      <w:tr w14:paraId="79EA09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A27A2C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B_HS</w:t>
            </w:r>
          </w:p>
        </w:tc>
        <w:tc>
          <w:tcPr>
            <w:tcW w:w="3185" w:type="dxa"/>
          </w:tcPr>
          <w:p w14:paraId="6D9C131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洪与斯拉尔系数（</w:t>
            </w:r>
            <w:r>
              <w:rPr>
                <w:rFonts w:ascii="Times New Roman" w:hAnsi="Times New Roman" w:eastAsia="宋体" w:cs="Times New Roman"/>
                <w:color w:val="000000"/>
                <w:sz w:val="21"/>
                <w:szCs w:val="21"/>
                <w14:ligatures w14:val="none"/>
              </w:rPr>
              <w:t>Hong and Sraer</w:t>
            </w:r>
            <w:r>
              <w:rPr>
                <w:rFonts w:hint="eastAsia" w:ascii="Times New Roman" w:hAnsi="Times New Roman" w:eastAsia="宋体" w:cs="Times New Roman"/>
                <w:color w:val="000000"/>
                <w:sz w:val="21"/>
                <w:szCs w:val="21"/>
                <w14:ligatures w14:val="none"/>
              </w:rPr>
              <w:t xml:space="preserve"> (</w:t>
            </w:r>
            <w:r>
              <w:rPr>
                <w:rFonts w:ascii="Times New Roman" w:hAnsi="Times New Roman" w:eastAsia="宋体" w:cs="Times New Roman"/>
                <w:color w:val="000000"/>
                <w:sz w:val="21"/>
                <w:szCs w:val="21"/>
                <w14:ligatures w14:val="none"/>
              </w:rPr>
              <w:t>201</w:t>
            </w:r>
            <w:r>
              <w:rPr>
                <w:rFonts w:hint="eastAsia" w:ascii="Times New Roman" w:hAnsi="Times New Roman" w:eastAsia="宋体" w:cs="Times New Roman"/>
                <w:color w:val="000000"/>
                <w:sz w:val="21"/>
                <w:szCs w:val="21"/>
                <w14:ligatures w14:val="none"/>
              </w:rPr>
              <w:t>6)</w:t>
            </w:r>
            <w:r>
              <w:rPr>
                <w:rFonts w:ascii="Times New Roman" w:hAnsi="Times New Roman" w:eastAsia="宋体" w:cs="Times New Roman"/>
                <w:color w:val="000000"/>
                <w:sz w:val="21"/>
                <w:szCs w:val="21"/>
                <w14:ligatures w14:val="none"/>
              </w:rPr>
              <w:t xml:space="preserve"> beta</w:t>
            </w:r>
            <w:r>
              <w:rPr>
                <w:rFonts w:hint="eastAsia" w:ascii="Times New Roman" w:hAnsi="Times New Roman" w:eastAsia="宋体" w:cs="Times New Roman"/>
                <w:color w:val="000000"/>
                <w:sz w:val="21"/>
                <w:szCs w:val="21"/>
                <w14:ligatures w14:val="none"/>
              </w:rPr>
              <w:t>）</w:t>
            </w:r>
          </w:p>
        </w:tc>
        <w:tc>
          <w:tcPr>
            <w:tcW w:w="3553" w:type="dxa"/>
          </w:tcPr>
          <w:p w14:paraId="17963E8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洪</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斯雷尔</w:t>
            </w:r>
            <w:r>
              <w:rPr>
                <w:rFonts w:ascii="Times New Roman" w:hAnsi="Times New Roman" w:eastAsia="宋体" w:cs="Times New Roman"/>
                <w:color w:val="000000"/>
                <w:sz w:val="21"/>
                <w:szCs w:val="21"/>
                <w14:ligatures w14:val="none"/>
              </w:rPr>
              <w:t>（2016）</w:t>
            </w:r>
          </w:p>
        </w:tc>
      </w:tr>
      <w:tr w14:paraId="36833FA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27A62E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ILLIQ</w:t>
            </w:r>
          </w:p>
        </w:tc>
        <w:tc>
          <w:tcPr>
            <w:tcW w:w="3185" w:type="dxa"/>
          </w:tcPr>
          <w:p w14:paraId="4C30891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非流动性（</w:t>
            </w:r>
            <w:r>
              <w:rPr>
                <w:rFonts w:ascii="Times New Roman" w:hAnsi="Times New Roman" w:eastAsia="宋体" w:cs="Times New Roman"/>
                <w:color w:val="000000"/>
                <w:sz w:val="21"/>
                <w:szCs w:val="21"/>
                <w14:ligatures w14:val="none"/>
              </w:rPr>
              <w:t>Illiquidity</w:t>
            </w:r>
            <w:r>
              <w:rPr>
                <w:rFonts w:hint="eastAsia" w:ascii="Times New Roman" w:hAnsi="Times New Roman" w:eastAsia="宋体" w:cs="Times New Roman"/>
                <w:color w:val="000000"/>
                <w:sz w:val="21"/>
                <w:szCs w:val="21"/>
                <w14:ligatures w14:val="none"/>
              </w:rPr>
              <w:t>）</w:t>
            </w:r>
          </w:p>
        </w:tc>
        <w:tc>
          <w:tcPr>
            <w:tcW w:w="3553" w:type="dxa"/>
          </w:tcPr>
          <w:p w14:paraId="7D07FD0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阿米胡德</w:t>
            </w:r>
            <w:r>
              <w:rPr>
                <w:rFonts w:ascii="Times New Roman" w:hAnsi="Times New Roman" w:eastAsia="宋体" w:cs="Times New Roman"/>
                <w:color w:val="000000"/>
                <w:sz w:val="21"/>
                <w:szCs w:val="21"/>
                <w14:ligatures w14:val="none"/>
              </w:rPr>
              <w:t>（2002）</w:t>
            </w:r>
          </w:p>
        </w:tc>
      </w:tr>
      <w:tr w14:paraId="5C489A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42CB29E">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MAXRET</w:t>
            </w:r>
          </w:p>
        </w:tc>
        <w:tc>
          <w:tcPr>
            <w:tcW w:w="3185" w:type="dxa"/>
          </w:tcPr>
          <w:p w14:paraId="21CD3AE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最大日收益（</w:t>
            </w:r>
            <w:r>
              <w:rPr>
                <w:rFonts w:ascii="Times New Roman" w:hAnsi="Times New Roman" w:eastAsia="宋体" w:cs="Times New Roman"/>
                <w:color w:val="000000"/>
                <w:sz w:val="21"/>
                <w:szCs w:val="21"/>
                <w14:ligatures w14:val="none"/>
              </w:rPr>
              <w:t>Maximum daily returns</w:t>
            </w:r>
            <w:r>
              <w:rPr>
                <w:rFonts w:hint="eastAsia" w:ascii="Times New Roman" w:hAnsi="Times New Roman" w:eastAsia="宋体" w:cs="Times New Roman"/>
                <w:color w:val="000000"/>
                <w:sz w:val="21"/>
                <w:szCs w:val="21"/>
                <w14:ligatures w14:val="none"/>
              </w:rPr>
              <w:t>）</w:t>
            </w:r>
          </w:p>
        </w:tc>
        <w:tc>
          <w:tcPr>
            <w:tcW w:w="3553" w:type="dxa"/>
          </w:tcPr>
          <w:p w14:paraId="5959922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巴利等</w:t>
            </w:r>
            <w:r>
              <w:rPr>
                <w:rFonts w:ascii="Times New Roman" w:hAnsi="Times New Roman" w:eastAsia="宋体" w:cs="Times New Roman"/>
                <w:color w:val="000000"/>
                <w:sz w:val="21"/>
                <w:szCs w:val="21"/>
                <w14:ligatures w14:val="none"/>
              </w:rPr>
              <w:t>（2011）</w:t>
            </w:r>
          </w:p>
        </w:tc>
      </w:tr>
      <w:tr w14:paraId="67043B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86243F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PRC</w:t>
            </w:r>
          </w:p>
        </w:tc>
        <w:tc>
          <w:tcPr>
            <w:tcW w:w="3185" w:type="dxa"/>
          </w:tcPr>
          <w:p w14:paraId="1CD5931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股价（</w:t>
            </w:r>
            <w:r>
              <w:rPr>
                <w:rFonts w:ascii="Times New Roman" w:hAnsi="Times New Roman" w:eastAsia="宋体" w:cs="Times New Roman"/>
                <w:color w:val="000000"/>
                <w:sz w:val="21"/>
                <w:szCs w:val="21"/>
                <w14:ligatures w14:val="none"/>
              </w:rPr>
              <w:t>Price</w:t>
            </w:r>
            <w:r>
              <w:rPr>
                <w:rFonts w:hint="eastAsia" w:ascii="Times New Roman" w:hAnsi="Times New Roman" w:eastAsia="宋体" w:cs="Times New Roman"/>
                <w:color w:val="000000"/>
                <w:sz w:val="21"/>
                <w:szCs w:val="21"/>
                <w14:ligatures w14:val="none"/>
              </w:rPr>
              <w:t>）</w:t>
            </w:r>
          </w:p>
        </w:tc>
        <w:tc>
          <w:tcPr>
            <w:tcW w:w="3553" w:type="dxa"/>
          </w:tcPr>
          <w:p w14:paraId="48790D6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布卢姆</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胡西奇</w:t>
            </w:r>
            <w:r>
              <w:rPr>
                <w:rFonts w:ascii="Times New Roman" w:hAnsi="Times New Roman" w:eastAsia="宋体" w:cs="Times New Roman"/>
                <w:color w:val="000000"/>
                <w:sz w:val="21"/>
                <w:szCs w:val="21"/>
                <w14:ligatures w14:val="none"/>
              </w:rPr>
              <w:t>（1973）</w:t>
            </w:r>
          </w:p>
        </w:tc>
      </w:tr>
      <w:tr w14:paraId="17A13D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85D2D7E">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PRCDEL</w:t>
            </w:r>
          </w:p>
        </w:tc>
        <w:tc>
          <w:tcPr>
            <w:tcW w:w="3185" w:type="dxa"/>
          </w:tcPr>
          <w:p w14:paraId="19A6FFB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延迟股价（</w:t>
            </w:r>
            <w:r>
              <w:rPr>
                <w:rFonts w:ascii="Times New Roman" w:hAnsi="Times New Roman" w:eastAsia="宋体" w:cs="Times New Roman"/>
                <w:color w:val="000000"/>
                <w:sz w:val="21"/>
                <w:szCs w:val="21"/>
                <w14:ligatures w14:val="none"/>
              </w:rPr>
              <w:t>Price delay</w:t>
            </w:r>
            <w:r>
              <w:rPr>
                <w:rFonts w:hint="eastAsia" w:ascii="Times New Roman" w:hAnsi="Times New Roman" w:eastAsia="宋体" w:cs="Times New Roman"/>
                <w:color w:val="000000"/>
                <w:sz w:val="21"/>
                <w:szCs w:val="21"/>
                <w14:ligatures w14:val="none"/>
              </w:rPr>
              <w:t>）</w:t>
            </w:r>
          </w:p>
        </w:tc>
        <w:tc>
          <w:tcPr>
            <w:tcW w:w="3553" w:type="dxa"/>
          </w:tcPr>
          <w:p w14:paraId="36ACA0C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侯</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莫斯科维茨</w:t>
            </w:r>
            <w:r>
              <w:rPr>
                <w:rFonts w:ascii="Times New Roman" w:hAnsi="Times New Roman" w:eastAsia="宋体" w:cs="Times New Roman"/>
                <w:color w:val="000000"/>
                <w:sz w:val="21"/>
                <w:szCs w:val="21"/>
                <w14:ligatures w14:val="none"/>
              </w:rPr>
              <w:t>（2005）</w:t>
            </w:r>
          </w:p>
        </w:tc>
      </w:tr>
      <w:tr w14:paraId="1BD730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FC6E219">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MV</w:t>
            </w:r>
          </w:p>
        </w:tc>
        <w:tc>
          <w:tcPr>
            <w:tcW w:w="3185" w:type="dxa"/>
          </w:tcPr>
          <w:p w14:paraId="2BDC95E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公司规模（</w:t>
            </w:r>
            <w:r>
              <w:rPr>
                <w:rFonts w:ascii="Times New Roman" w:hAnsi="Times New Roman" w:eastAsia="宋体" w:cs="Times New Roman"/>
                <w:color w:val="000000"/>
                <w:sz w:val="21"/>
                <w:szCs w:val="21"/>
                <w14:ligatures w14:val="none"/>
              </w:rPr>
              <w:t>Frim size</w:t>
            </w:r>
            <w:r>
              <w:rPr>
                <w:rFonts w:hint="eastAsia" w:ascii="Times New Roman" w:hAnsi="Times New Roman" w:eastAsia="宋体" w:cs="Times New Roman"/>
                <w:color w:val="000000"/>
                <w:sz w:val="21"/>
                <w:szCs w:val="21"/>
                <w14:ligatures w14:val="none"/>
              </w:rPr>
              <w:t>）</w:t>
            </w:r>
          </w:p>
        </w:tc>
        <w:tc>
          <w:tcPr>
            <w:tcW w:w="3553" w:type="dxa"/>
          </w:tcPr>
          <w:p w14:paraId="48706B7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班茨</w:t>
            </w:r>
            <w:r>
              <w:rPr>
                <w:rFonts w:ascii="Times New Roman" w:hAnsi="Times New Roman" w:eastAsia="宋体" w:cs="Times New Roman"/>
                <w:color w:val="000000"/>
                <w:sz w:val="21"/>
                <w:szCs w:val="21"/>
                <w14:ligatures w14:val="none"/>
              </w:rPr>
              <w:t>（1981）</w:t>
            </w:r>
          </w:p>
        </w:tc>
      </w:tr>
      <w:tr w14:paraId="39FDC58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96BDBBE">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STD_TURN</w:t>
            </w:r>
          </w:p>
        </w:tc>
        <w:tc>
          <w:tcPr>
            <w:tcW w:w="3185" w:type="dxa"/>
          </w:tcPr>
          <w:p w14:paraId="29D9C19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换手率波动率（</w:t>
            </w:r>
            <w:r>
              <w:rPr>
                <w:rFonts w:ascii="Times New Roman" w:hAnsi="Times New Roman" w:eastAsia="宋体" w:cs="Times New Roman"/>
                <w:color w:val="000000"/>
                <w:sz w:val="21"/>
                <w:szCs w:val="21"/>
                <w14:ligatures w14:val="none"/>
              </w:rPr>
              <w:t>Volatility of turnover</w:t>
            </w:r>
            <w:r>
              <w:rPr>
                <w:rFonts w:hint="eastAsia" w:ascii="Times New Roman" w:hAnsi="Times New Roman" w:eastAsia="宋体" w:cs="Times New Roman"/>
                <w:color w:val="000000"/>
                <w:sz w:val="21"/>
                <w:szCs w:val="21"/>
                <w14:ligatures w14:val="none"/>
              </w:rPr>
              <w:t>）</w:t>
            </w:r>
          </w:p>
        </w:tc>
        <w:tc>
          <w:tcPr>
            <w:tcW w:w="3553" w:type="dxa"/>
          </w:tcPr>
          <w:p w14:paraId="21E3C4B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乔迪亚等</w:t>
            </w:r>
            <w:r>
              <w:rPr>
                <w:rFonts w:ascii="Times New Roman" w:hAnsi="Times New Roman" w:eastAsia="宋体" w:cs="Times New Roman"/>
                <w:color w:val="000000"/>
                <w:sz w:val="21"/>
                <w:szCs w:val="21"/>
                <w14:ligatures w14:val="none"/>
              </w:rPr>
              <w:t>（2001）</w:t>
            </w:r>
          </w:p>
        </w:tc>
      </w:tr>
      <w:tr w14:paraId="057F24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78F458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RETVOL</w:t>
            </w:r>
          </w:p>
        </w:tc>
        <w:tc>
          <w:tcPr>
            <w:tcW w:w="3185" w:type="dxa"/>
          </w:tcPr>
          <w:p w14:paraId="2E6B071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收益率波动率（</w:t>
            </w:r>
            <w:r>
              <w:rPr>
                <w:rFonts w:ascii="Times New Roman" w:hAnsi="Times New Roman" w:eastAsia="宋体" w:cs="Times New Roman"/>
                <w:color w:val="000000"/>
                <w:sz w:val="21"/>
                <w:szCs w:val="21"/>
                <w14:ligatures w14:val="none"/>
              </w:rPr>
              <w:t>Return volatility</w:t>
            </w:r>
            <w:r>
              <w:rPr>
                <w:rFonts w:hint="eastAsia" w:ascii="Times New Roman" w:hAnsi="Times New Roman" w:eastAsia="宋体" w:cs="Times New Roman"/>
                <w:color w:val="000000"/>
                <w:sz w:val="21"/>
                <w:szCs w:val="21"/>
                <w14:ligatures w14:val="none"/>
              </w:rPr>
              <w:t>）</w:t>
            </w:r>
          </w:p>
        </w:tc>
        <w:tc>
          <w:tcPr>
            <w:tcW w:w="3553" w:type="dxa"/>
          </w:tcPr>
          <w:p w14:paraId="5AFBB5E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洪等</w:t>
            </w:r>
            <w:r>
              <w:rPr>
                <w:rFonts w:ascii="Times New Roman" w:hAnsi="Times New Roman" w:eastAsia="宋体" w:cs="Times New Roman"/>
                <w:color w:val="000000"/>
                <w:sz w:val="21"/>
                <w:szCs w:val="21"/>
                <w14:ligatures w14:val="none"/>
              </w:rPr>
              <w:t>（2006）</w:t>
            </w:r>
          </w:p>
        </w:tc>
      </w:tr>
      <w:tr w14:paraId="6F2ADB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99EC5A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TURN</w:t>
            </w:r>
          </w:p>
        </w:tc>
        <w:tc>
          <w:tcPr>
            <w:tcW w:w="3185" w:type="dxa"/>
          </w:tcPr>
          <w:p w14:paraId="5B12658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股票换手率（</w:t>
            </w:r>
            <w:r>
              <w:rPr>
                <w:rFonts w:ascii="Times New Roman" w:hAnsi="Times New Roman" w:eastAsia="宋体" w:cs="Times New Roman"/>
                <w:color w:val="000000"/>
                <w:sz w:val="21"/>
                <w:szCs w:val="21"/>
                <w14:ligatures w14:val="none"/>
              </w:rPr>
              <w:t>Share turnover</w:t>
            </w:r>
            <w:r>
              <w:rPr>
                <w:rFonts w:hint="eastAsia" w:ascii="Times New Roman" w:hAnsi="Times New Roman" w:eastAsia="宋体" w:cs="Times New Roman"/>
                <w:color w:val="000000"/>
                <w:sz w:val="21"/>
                <w:szCs w:val="21"/>
                <w14:ligatures w14:val="none"/>
              </w:rPr>
              <w:t>）</w:t>
            </w:r>
          </w:p>
        </w:tc>
        <w:tc>
          <w:tcPr>
            <w:tcW w:w="3553" w:type="dxa"/>
          </w:tcPr>
          <w:p w14:paraId="6BCE94A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达塔尔等</w:t>
            </w:r>
            <w:r>
              <w:rPr>
                <w:rFonts w:ascii="Times New Roman" w:hAnsi="Times New Roman" w:eastAsia="宋体" w:cs="Times New Roman"/>
                <w:color w:val="000000"/>
                <w:sz w:val="21"/>
                <w:szCs w:val="21"/>
                <w14:ligatures w14:val="none"/>
              </w:rPr>
              <w:t>（1998）</w:t>
            </w:r>
          </w:p>
        </w:tc>
      </w:tr>
      <w:tr w14:paraId="2D2A7F7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A4067B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ZEROTRADE</w:t>
            </w:r>
          </w:p>
        </w:tc>
        <w:tc>
          <w:tcPr>
            <w:tcW w:w="3185" w:type="dxa"/>
          </w:tcPr>
          <w:p w14:paraId="73D71877">
            <w:pPr>
              <w:adjustRightInd w:val="0"/>
              <w:spacing w:after="0" w:line="420" w:lineRule="exact"/>
              <w:textAlignment w:val="baseline"/>
              <w:rPr>
                <w:rFonts w:ascii="Times New Roman" w:hAnsi="Times New Roman" w:eastAsia="宋体" w:cs="Times New Roman"/>
                <w:color w:val="000000"/>
                <w:sz w:val="21"/>
                <w:szCs w:val="21"/>
                <w14:ligatures w14:val="none"/>
              </w:rPr>
            </w:pPr>
            <w:bookmarkStart w:id="1" w:name="_Hlk514838525"/>
            <w:r>
              <w:rPr>
                <w:rFonts w:hint="eastAsia" w:ascii="Times New Roman" w:hAnsi="Times New Roman" w:eastAsia="宋体" w:cs="Times New Roman"/>
                <w:color w:val="000000"/>
                <w:sz w:val="21"/>
                <w:szCs w:val="21"/>
                <w14:ligatures w14:val="none"/>
              </w:rPr>
              <w:t>零交易天数（</w:t>
            </w:r>
            <w:r>
              <w:rPr>
                <w:rFonts w:ascii="Times New Roman" w:hAnsi="Times New Roman" w:eastAsia="宋体" w:cs="Times New Roman"/>
                <w:color w:val="000000"/>
                <w:sz w:val="21"/>
                <w:szCs w:val="21"/>
                <w14:ligatures w14:val="none"/>
              </w:rPr>
              <w:t>Zero trading days</w:t>
            </w:r>
            <w:bookmarkEnd w:id="1"/>
            <w:r>
              <w:rPr>
                <w:rFonts w:hint="eastAsia" w:ascii="Times New Roman" w:hAnsi="Times New Roman" w:eastAsia="宋体" w:cs="Times New Roman"/>
                <w:color w:val="000000"/>
                <w:sz w:val="21"/>
                <w:szCs w:val="21"/>
                <w14:ligatures w14:val="none"/>
              </w:rPr>
              <w:t>）</w:t>
            </w:r>
          </w:p>
        </w:tc>
        <w:tc>
          <w:tcPr>
            <w:tcW w:w="3553" w:type="dxa"/>
          </w:tcPr>
          <w:p w14:paraId="1DD2704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刘</w:t>
            </w:r>
            <w:r>
              <w:rPr>
                <w:rFonts w:ascii="Times New Roman" w:hAnsi="Times New Roman" w:eastAsia="宋体" w:cs="Times New Roman"/>
                <w:color w:val="000000"/>
                <w:sz w:val="21"/>
                <w:szCs w:val="21"/>
                <w14:ligatures w14:val="none"/>
              </w:rPr>
              <w:t>（2006）</w:t>
            </w:r>
          </w:p>
        </w:tc>
      </w:tr>
      <w:tr w14:paraId="09DCAB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306" w:type="dxa"/>
            <w:gridSpan w:val="3"/>
          </w:tcPr>
          <w:p w14:paraId="5268644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无形资产类指标（2</w:t>
            </w:r>
            <w:r>
              <w:rPr>
                <w:rFonts w:ascii="Times New Roman" w:hAnsi="Times New Roman" w:eastAsia="宋体" w:cs="Times New Roman"/>
                <w:color w:val="000000"/>
                <w:sz w:val="21"/>
                <w:szCs w:val="21"/>
                <w14:ligatures w14:val="none"/>
              </w:rPr>
              <w:t>1</w:t>
            </w:r>
            <w:r>
              <w:rPr>
                <w:rFonts w:hint="eastAsia" w:ascii="Times New Roman" w:hAnsi="Times New Roman" w:eastAsia="宋体" w:cs="Times New Roman"/>
                <w:color w:val="000000"/>
                <w:sz w:val="21"/>
                <w:szCs w:val="21"/>
                <w14:ligatures w14:val="none"/>
              </w:rPr>
              <w:t>个）</w:t>
            </w:r>
          </w:p>
        </w:tc>
      </w:tr>
      <w:tr w14:paraId="2BB5A5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1B2CD2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AGE</w:t>
            </w:r>
          </w:p>
        </w:tc>
        <w:tc>
          <w:tcPr>
            <w:tcW w:w="3185" w:type="dxa"/>
          </w:tcPr>
          <w:p w14:paraId="73766CE5">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公司年龄（</w:t>
            </w:r>
            <w:r>
              <w:rPr>
                <w:rFonts w:ascii="Times New Roman" w:hAnsi="Times New Roman" w:eastAsia="宋体" w:cs="Times New Roman"/>
                <w:color w:val="000000"/>
                <w:sz w:val="21"/>
                <w:szCs w:val="21"/>
                <w14:ligatures w14:val="none"/>
              </w:rPr>
              <w:t>Firm age</w:t>
            </w:r>
            <w:r>
              <w:rPr>
                <w:rFonts w:hint="eastAsia" w:ascii="Times New Roman" w:hAnsi="Times New Roman" w:eastAsia="宋体" w:cs="Times New Roman"/>
                <w:color w:val="000000"/>
                <w:sz w:val="21"/>
                <w:szCs w:val="21"/>
                <w14:ligatures w14:val="none"/>
              </w:rPr>
              <w:t>）</w:t>
            </w:r>
          </w:p>
        </w:tc>
        <w:tc>
          <w:tcPr>
            <w:tcW w:w="3553" w:type="dxa"/>
          </w:tcPr>
          <w:p w14:paraId="213C91E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姜等</w:t>
            </w:r>
            <w:r>
              <w:rPr>
                <w:rFonts w:ascii="Times New Roman" w:hAnsi="Times New Roman" w:eastAsia="宋体" w:cs="Times New Roman"/>
                <w:color w:val="000000"/>
                <w:sz w:val="21"/>
                <w:szCs w:val="21"/>
                <w14:ligatures w14:val="none"/>
              </w:rPr>
              <w:t>（2005）</w:t>
            </w:r>
          </w:p>
        </w:tc>
      </w:tr>
      <w:tr w14:paraId="58826D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2A1D37B">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CFD</w:t>
            </w:r>
          </w:p>
        </w:tc>
        <w:tc>
          <w:tcPr>
            <w:tcW w:w="3185" w:type="dxa"/>
          </w:tcPr>
          <w:p w14:paraId="453B1CA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现金流负债比（</w:t>
            </w:r>
            <w:r>
              <w:rPr>
                <w:rFonts w:ascii="Times New Roman" w:hAnsi="Times New Roman" w:eastAsia="宋体" w:cs="Times New Roman"/>
                <w:color w:val="000000"/>
                <w:sz w:val="21"/>
                <w:szCs w:val="21"/>
                <w14:ligatures w14:val="none"/>
              </w:rPr>
              <w:t>Cash flow-to-debt</w:t>
            </w:r>
            <w:r>
              <w:rPr>
                <w:rFonts w:hint="eastAsia" w:ascii="Times New Roman" w:hAnsi="Times New Roman" w:eastAsia="宋体" w:cs="Times New Roman"/>
                <w:color w:val="000000"/>
                <w:sz w:val="21"/>
                <w:szCs w:val="21"/>
                <w14:ligatures w14:val="none"/>
              </w:rPr>
              <w:t>）</w:t>
            </w:r>
          </w:p>
        </w:tc>
        <w:tc>
          <w:tcPr>
            <w:tcW w:w="3553" w:type="dxa"/>
          </w:tcPr>
          <w:p w14:paraId="07C62B9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41016C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EA19D2D">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CR</w:t>
            </w:r>
          </w:p>
        </w:tc>
        <w:tc>
          <w:tcPr>
            <w:tcW w:w="3185" w:type="dxa"/>
          </w:tcPr>
          <w:p w14:paraId="3917896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流动比率（</w:t>
            </w:r>
            <w:r>
              <w:rPr>
                <w:rFonts w:ascii="Times New Roman" w:hAnsi="Times New Roman" w:eastAsia="宋体" w:cs="Times New Roman"/>
                <w:color w:val="000000"/>
                <w:sz w:val="21"/>
                <w:szCs w:val="21"/>
                <w14:ligatures w14:val="none"/>
              </w:rPr>
              <w:t>Current ratio</w:t>
            </w:r>
            <w:r>
              <w:rPr>
                <w:rFonts w:hint="eastAsia" w:ascii="Times New Roman" w:hAnsi="Times New Roman" w:eastAsia="宋体" w:cs="Times New Roman"/>
                <w:color w:val="000000"/>
                <w:sz w:val="21"/>
                <w:szCs w:val="21"/>
                <w14:ligatures w14:val="none"/>
              </w:rPr>
              <w:t>）</w:t>
            </w:r>
          </w:p>
        </w:tc>
        <w:tc>
          <w:tcPr>
            <w:tcW w:w="3553" w:type="dxa"/>
          </w:tcPr>
          <w:p w14:paraId="5700491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075C9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EA19142">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CRG</w:t>
            </w:r>
          </w:p>
        </w:tc>
        <w:tc>
          <w:tcPr>
            <w:tcW w:w="3185" w:type="dxa"/>
          </w:tcPr>
          <w:p w14:paraId="474E86E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流动比率增长（</w:t>
            </w:r>
            <w:r>
              <w:rPr>
                <w:rFonts w:ascii="Times New Roman" w:hAnsi="Times New Roman" w:eastAsia="宋体" w:cs="Times New Roman"/>
                <w:color w:val="000000"/>
                <w:sz w:val="21"/>
                <w:szCs w:val="21"/>
                <w14:ligatures w14:val="none"/>
              </w:rPr>
              <w:t>Current ratio growth</w:t>
            </w:r>
            <w:r>
              <w:rPr>
                <w:rFonts w:hint="eastAsia" w:ascii="Times New Roman" w:hAnsi="Times New Roman" w:eastAsia="宋体" w:cs="Times New Roman"/>
                <w:color w:val="000000"/>
                <w:sz w:val="21"/>
                <w:szCs w:val="21"/>
                <w14:ligatures w14:val="none"/>
              </w:rPr>
              <w:t>）</w:t>
            </w:r>
          </w:p>
        </w:tc>
        <w:tc>
          <w:tcPr>
            <w:tcW w:w="3553" w:type="dxa"/>
          </w:tcPr>
          <w:p w14:paraId="2A9A954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400C46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5C1E981">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QR</w:t>
            </w:r>
          </w:p>
        </w:tc>
        <w:tc>
          <w:tcPr>
            <w:tcW w:w="3185" w:type="dxa"/>
          </w:tcPr>
          <w:p w14:paraId="7B27B61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速动比率（</w:t>
            </w:r>
            <w:r>
              <w:rPr>
                <w:rFonts w:ascii="Times New Roman" w:hAnsi="Times New Roman" w:eastAsia="宋体" w:cs="Times New Roman"/>
                <w:color w:val="000000"/>
                <w:sz w:val="21"/>
                <w:szCs w:val="21"/>
                <w14:ligatures w14:val="none"/>
              </w:rPr>
              <w:t>Quick ratio</w:t>
            </w:r>
            <w:r>
              <w:rPr>
                <w:rFonts w:hint="eastAsia" w:ascii="Times New Roman" w:hAnsi="Times New Roman" w:eastAsia="宋体" w:cs="Times New Roman"/>
                <w:color w:val="000000"/>
                <w:sz w:val="21"/>
                <w:szCs w:val="21"/>
                <w14:ligatures w14:val="none"/>
              </w:rPr>
              <w:t>）</w:t>
            </w:r>
          </w:p>
        </w:tc>
        <w:tc>
          <w:tcPr>
            <w:tcW w:w="3553" w:type="dxa"/>
          </w:tcPr>
          <w:p w14:paraId="3D820526">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18D94F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1F81DE5">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QRG</w:t>
            </w:r>
          </w:p>
        </w:tc>
        <w:tc>
          <w:tcPr>
            <w:tcW w:w="3185" w:type="dxa"/>
          </w:tcPr>
          <w:p w14:paraId="169FABC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速动比率增长（</w:t>
            </w:r>
            <w:r>
              <w:rPr>
                <w:rFonts w:ascii="Times New Roman" w:hAnsi="Times New Roman" w:eastAsia="宋体" w:cs="Times New Roman"/>
                <w:color w:val="000000"/>
                <w:sz w:val="21"/>
                <w:szCs w:val="21"/>
                <w14:ligatures w14:val="none"/>
              </w:rPr>
              <w:t>Quick ratio growth</w:t>
            </w:r>
            <w:r>
              <w:rPr>
                <w:rFonts w:hint="eastAsia" w:ascii="Times New Roman" w:hAnsi="Times New Roman" w:eastAsia="宋体" w:cs="Times New Roman"/>
                <w:color w:val="000000"/>
                <w:sz w:val="21"/>
                <w:szCs w:val="21"/>
                <w14:ligatures w14:val="none"/>
              </w:rPr>
              <w:t>）</w:t>
            </w:r>
          </w:p>
        </w:tc>
        <w:tc>
          <w:tcPr>
            <w:tcW w:w="3553" w:type="dxa"/>
          </w:tcPr>
          <w:p w14:paraId="068E36C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28EF8C0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3BF897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SC</w:t>
            </w:r>
          </w:p>
        </w:tc>
        <w:tc>
          <w:tcPr>
            <w:tcW w:w="3185" w:type="dxa"/>
          </w:tcPr>
          <w:p w14:paraId="4608F6A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销量现金比（</w:t>
            </w:r>
            <w:r>
              <w:rPr>
                <w:rFonts w:ascii="Times New Roman" w:hAnsi="Times New Roman" w:eastAsia="宋体" w:cs="Times New Roman"/>
                <w:color w:val="000000"/>
                <w:sz w:val="21"/>
                <w:szCs w:val="21"/>
                <w14:ligatures w14:val="none"/>
              </w:rPr>
              <w:t>Sales-to-cash</w:t>
            </w:r>
            <w:r>
              <w:rPr>
                <w:rFonts w:hint="eastAsia" w:ascii="Times New Roman" w:hAnsi="Times New Roman" w:eastAsia="宋体" w:cs="Times New Roman"/>
                <w:color w:val="000000"/>
                <w:sz w:val="21"/>
                <w:szCs w:val="21"/>
                <w14:ligatures w14:val="none"/>
              </w:rPr>
              <w:t>）</w:t>
            </w:r>
          </w:p>
        </w:tc>
        <w:tc>
          <w:tcPr>
            <w:tcW w:w="3553" w:type="dxa"/>
          </w:tcPr>
          <w:p w14:paraId="60EAC0B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00B77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08DC1C8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SI</w:t>
            </w:r>
          </w:p>
        </w:tc>
        <w:tc>
          <w:tcPr>
            <w:tcW w:w="3185" w:type="dxa"/>
          </w:tcPr>
          <w:p w14:paraId="7F3EFFB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销量存货比（</w:t>
            </w:r>
            <w:r>
              <w:rPr>
                <w:rFonts w:ascii="Times New Roman" w:hAnsi="Times New Roman" w:eastAsia="宋体" w:cs="Times New Roman"/>
                <w:color w:val="000000"/>
                <w:sz w:val="21"/>
                <w:szCs w:val="21"/>
                <w14:ligatures w14:val="none"/>
              </w:rPr>
              <w:t>Sales-to-inventory</w:t>
            </w:r>
            <w:r>
              <w:rPr>
                <w:rFonts w:hint="eastAsia" w:ascii="Times New Roman" w:hAnsi="Times New Roman" w:eastAsia="宋体" w:cs="Times New Roman"/>
                <w:color w:val="000000"/>
                <w:sz w:val="21"/>
                <w:szCs w:val="21"/>
                <w14:ligatures w14:val="none"/>
              </w:rPr>
              <w:t>）</w:t>
            </w:r>
          </w:p>
        </w:tc>
        <w:tc>
          <w:tcPr>
            <w:tcW w:w="3553" w:type="dxa"/>
          </w:tcPr>
          <w:p w14:paraId="2EE4204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欧</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彭曼</w:t>
            </w:r>
            <w:r>
              <w:rPr>
                <w:rFonts w:ascii="Times New Roman" w:hAnsi="Times New Roman" w:eastAsia="宋体" w:cs="Times New Roman"/>
                <w:color w:val="000000"/>
                <w:sz w:val="21"/>
                <w:szCs w:val="21"/>
                <w14:ligatures w14:val="none"/>
              </w:rPr>
              <w:t>（1989）</w:t>
            </w:r>
          </w:p>
        </w:tc>
      </w:tr>
      <w:tr w14:paraId="045634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A077F9C">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RDM</w:t>
            </w:r>
          </w:p>
        </w:tc>
        <w:tc>
          <w:tcPr>
            <w:tcW w:w="3185" w:type="dxa"/>
          </w:tcPr>
          <w:p w14:paraId="2CB74A2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研发支出与市值比</w:t>
            </w:r>
          </w:p>
        </w:tc>
        <w:tc>
          <w:tcPr>
            <w:tcW w:w="3553" w:type="dxa"/>
          </w:tcPr>
          <w:p w14:paraId="0EA5A92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陈等</w:t>
            </w:r>
            <w:r>
              <w:rPr>
                <w:rFonts w:ascii="Times New Roman" w:hAnsi="Times New Roman" w:eastAsia="宋体" w:cs="Times New Roman"/>
                <w:color w:val="000000"/>
                <w:sz w:val="21"/>
                <w:szCs w:val="21"/>
                <w14:ligatures w14:val="none"/>
              </w:rPr>
              <w:t>（2001）</w:t>
            </w:r>
          </w:p>
        </w:tc>
      </w:tr>
      <w:tr w14:paraId="5D3060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A19110F">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RCA</w:t>
            </w:r>
          </w:p>
        </w:tc>
        <w:tc>
          <w:tcPr>
            <w:tcW w:w="3185" w:type="dxa"/>
            <w:vAlign w:val="center"/>
          </w:tcPr>
          <w:p w14:paraId="2EB06592">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资产加权研发资本市值比</w:t>
            </w:r>
          </w:p>
        </w:tc>
        <w:tc>
          <w:tcPr>
            <w:tcW w:w="3553" w:type="dxa"/>
          </w:tcPr>
          <w:p w14:paraId="403570A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李</w:t>
            </w:r>
            <w:r>
              <w:rPr>
                <w:rFonts w:ascii="Times New Roman" w:hAnsi="Times New Roman" w:eastAsia="宋体" w:cs="Times New Roman"/>
                <w:color w:val="000000"/>
                <w:sz w:val="21"/>
                <w:szCs w:val="21"/>
                <w14:ligatures w14:val="none"/>
              </w:rPr>
              <w:t>（2011）</w:t>
            </w:r>
          </w:p>
        </w:tc>
      </w:tr>
      <w:tr w14:paraId="1788CA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23E4D68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HN</w:t>
            </w:r>
          </w:p>
        </w:tc>
        <w:tc>
          <w:tcPr>
            <w:tcW w:w="3185" w:type="dxa"/>
            <w:vAlign w:val="center"/>
          </w:tcPr>
          <w:p w14:paraId="1D072BF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雇佣率</w:t>
            </w:r>
          </w:p>
        </w:tc>
        <w:tc>
          <w:tcPr>
            <w:tcW w:w="3553" w:type="dxa"/>
          </w:tcPr>
          <w:p w14:paraId="372EC00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贝洛等</w:t>
            </w:r>
            <w:r>
              <w:rPr>
                <w:rFonts w:ascii="Times New Roman" w:hAnsi="Times New Roman" w:eastAsia="宋体" w:cs="Times New Roman"/>
                <w:color w:val="000000"/>
                <w:sz w:val="21"/>
                <w:szCs w:val="21"/>
                <w14:ligatures w14:val="none"/>
              </w:rPr>
              <w:t>（2014）</w:t>
            </w:r>
          </w:p>
        </w:tc>
      </w:tr>
      <w:tr w14:paraId="5B9FB7F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75C66B1A">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VAHU</w:t>
            </w:r>
          </w:p>
        </w:tc>
        <w:tc>
          <w:tcPr>
            <w:tcW w:w="3185" w:type="dxa"/>
            <w:vAlign w:val="center"/>
          </w:tcPr>
          <w:p w14:paraId="5807B0F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净增加价值与员工工资比（</w:t>
            </w:r>
            <w:r>
              <w:rPr>
                <w:rFonts w:ascii="Times New Roman" w:hAnsi="Times New Roman" w:eastAsia="宋体" w:cs="Times New Roman"/>
                <w:color w:val="000000"/>
                <w:sz w:val="21"/>
                <w:szCs w:val="21"/>
                <w14:ligatures w14:val="none"/>
              </w:rPr>
              <w:t>net value added</w:t>
            </w:r>
            <w:r>
              <w:rPr>
                <w:rFonts w:hint="eastAsia" w:ascii="Times New Roman" w:hAnsi="Times New Roman" w:eastAsia="宋体" w:cs="Times New Roman"/>
                <w:color w:val="000000"/>
                <w:sz w:val="21"/>
                <w:szCs w:val="21"/>
                <w14:ligatures w14:val="none"/>
              </w:rPr>
              <w:t>）</w:t>
            </w:r>
          </w:p>
        </w:tc>
        <w:tc>
          <w:tcPr>
            <w:tcW w:w="3553" w:type="dxa"/>
          </w:tcPr>
          <w:p w14:paraId="3A1BE7F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里亚希-贝尔考伊</w:t>
            </w:r>
            <w:r>
              <w:rPr>
                <w:rFonts w:ascii="Times New Roman" w:hAnsi="Times New Roman" w:eastAsia="宋体" w:cs="Times New Roman"/>
                <w:color w:val="000000"/>
                <w:sz w:val="21"/>
                <w:szCs w:val="21"/>
                <w14:ligatures w14:val="none"/>
              </w:rPr>
              <w:t>（2003</w:t>
            </w:r>
            <w:r>
              <w:rPr>
                <w:rFonts w:hint="eastAsia" w:ascii="Times New Roman" w:hAnsi="Times New Roman" w:eastAsia="宋体" w:cs="Times New Roman"/>
                <w:color w:val="000000"/>
                <w:sz w:val="21"/>
                <w:szCs w:val="21"/>
                <w14:ligatures w14:val="none"/>
              </w:rPr>
              <w:t>）；陈等</w:t>
            </w:r>
            <w:r>
              <w:rPr>
                <w:rFonts w:ascii="Times New Roman" w:hAnsi="Times New Roman" w:eastAsia="宋体" w:cs="Times New Roman"/>
                <w:color w:val="000000"/>
                <w:sz w:val="21"/>
                <w:szCs w:val="21"/>
                <w14:ligatures w14:val="none"/>
              </w:rPr>
              <w:t>（2005）</w:t>
            </w:r>
            <w:r>
              <w:rPr>
                <w:rFonts w:hint="eastAsia" w:ascii="Times New Roman" w:hAnsi="Times New Roman" w:eastAsia="宋体" w:cs="Times New Roman"/>
                <w:color w:val="000000"/>
                <w:sz w:val="21"/>
                <w:szCs w:val="21"/>
                <w14:ligatures w14:val="none"/>
              </w:rPr>
              <w:t>；潘扎利斯和帕克</w:t>
            </w:r>
            <w:r>
              <w:rPr>
                <w:rFonts w:ascii="Times New Roman" w:hAnsi="Times New Roman" w:eastAsia="宋体" w:cs="Times New Roman"/>
                <w:color w:val="000000"/>
                <w:sz w:val="21"/>
                <w:szCs w:val="21"/>
                <w14:ligatures w14:val="none"/>
              </w:rPr>
              <w:t>（2009）</w:t>
            </w:r>
          </w:p>
        </w:tc>
      </w:tr>
      <w:tr w14:paraId="1448B3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19615D8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GAD</w:t>
            </w:r>
          </w:p>
        </w:tc>
        <w:tc>
          <w:tcPr>
            <w:tcW w:w="3185" w:type="dxa"/>
            <w:vAlign w:val="center"/>
          </w:tcPr>
          <w:p w14:paraId="474D622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广告宣传推广费增长率</w:t>
            </w:r>
          </w:p>
        </w:tc>
        <w:tc>
          <w:tcPr>
            <w:tcW w:w="3553" w:type="dxa"/>
          </w:tcPr>
          <w:p w14:paraId="7EBC2E49">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卢</w:t>
            </w:r>
            <w:r>
              <w:rPr>
                <w:rFonts w:ascii="Times New Roman" w:hAnsi="Times New Roman" w:eastAsia="宋体" w:cs="Times New Roman"/>
                <w:color w:val="000000"/>
                <w:sz w:val="21"/>
                <w:szCs w:val="21"/>
                <w14:ligatures w14:val="none"/>
              </w:rPr>
              <w:t>（2014）</w:t>
            </w:r>
          </w:p>
        </w:tc>
      </w:tr>
      <w:tr w14:paraId="04E4B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427E266">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INA</w:t>
            </w:r>
          </w:p>
        </w:tc>
        <w:tc>
          <w:tcPr>
            <w:tcW w:w="3185" w:type="dxa"/>
            <w:vAlign w:val="center"/>
          </w:tcPr>
          <w:p w14:paraId="49252BBC">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无形资产净额与总资产之比</w:t>
            </w:r>
          </w:p>
        </w:tc>
        <w:tc>
          <w:tcPr>
            <w:tcW w:w="3553" w:type="dxa"/>
          </w:tcPr>
          <w:p w14:paraId="320BAC7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杨文军和陆正飞（</w:t>
            </w:r>
            <w:r>
              <w:rPr>
                <w:rFonts w:ascii="Times New Roman" w:hAnsi="Times New Roman" w:eastAsia="宋体" w:cs="Times New Roman"/>
                <w:color w:val="000000"/>
                <w:sz w:val="21"/>
                <w:szCs w:val="21"/>
                <w14:ligatures w14:val="none"/>
              </w:rPr>
              <w:t>2018</w:t>
            </w:r>
            <w:r>
              <w:rPr>
                <w:rFonts w:hint="eastAsia" w:ascii="Times New Roman" w:hAnsi="Times New Roman" w:eastAsia="宋体" w:cs="Times New Roman"/>
                <w:color w:val="000000"/>
                <w:sz w:val="21"/>
                <w:szCs w:val="21"/>
                <w14:ligatures w14:val="none"/>
              </w:rPr>
              <w:t>）</w:t>
            </w:r>
          </w:p>
        </w:tc>
      </w:tr>
      <w:tr w14:paraId="175927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4F595A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ANA</w:t>
            </w:r>
          </w:p>
        </w:tc>
        <w:tc>
          <w:tcPr>
            <w:tcW w:w="3185" w:type="dxa"/>
            <w:vAlign w:val="center"/>
          </w:tcPr>
          <w:p w14:paraId="6C7A8127">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分析师关注度</w:t>
            </w:r>
          </w:p>
        </w:tc>
        <w:tc>
          <w:tcPr>
            <w:tcW w:w="3553" w:type="dxa"/>
          </w:tcPr>
          <w:p w14:paraId="32B9A76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国泰安上市公司分析师预测数据库</w:t>
            </w:r>
          </w:p>
        </w:tc>
      </w:tr>
      <w:tr w14:paraId="0660DC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524607AC">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REA</w:t>
            </w:r>
          </w:p>
        </w:tc>
        <w:tc>
          <w:tcPr>
            <w:tcW w:w="3185" w:type="dxa"/>
            <w:vAlign w:val="center"/>
          </w:tcPr>
          <w:p w14:paraId="63A122A1">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研究报告关注度</w:t>
            </w:r>
          </w:p>
        </w:tc>
        <w:tc>
          <w:tcPr>
            <w:tcW w:w="3553" w:type="dxa"/>
          </w:tcPr>
          <w:p w14:paraId="37BA6FD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国泰安上市公司分析师预测数据库</w:t>
            </w:r>
          </w:p>
        </w:tc>
      </w:tr>
      <w:tr w14:paraId="3A7BA1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D0094B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OL</w:t>
            </w:r>
          </w:p>
        </w:tc>
        <w:tc>
          <w:tcPr>
            <w:tcW w:w="3185" w:type="dxa"/>
            <w:vAlign w:val="center"/>
          </w:tcPr>
          <w:p w14:paraId="2A557BA8">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经营杠杆</w:t>
            </w:r>
          </w:p>
        </w:tc>
        <w:tc>
          <w:tcPr>
            <w:tcW w:w="3553" w:type="dxa"/>
          </w:tcPr>
          <w:p w14:paraId="2C75B3B3">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诺维-马克斯</w:t>
            </w:r>
            <w:r>
              <w:rPr>
                <w:rFonts w:ascii="Times New Roman" w:hAnsi="Times New Roman" w:eastAsia="宋体" w:cs="Times New Roman"/>
                <w:color w:val="000000"/>
                <w:sz w:val="21"/>
                <w:szCs w:val="21"/>
                <w14:ligatures w14:val="none"/>
              </w:rPr>
              <w:t>（2011）</w:t>
            </w:r>
          </w:p>
        </w:tc>
      </w:tr>
      <w:tr w14:paraId="00E1842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3ECFD23">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TAN</w:t>
            </w:r>
          </w:p>
        </w:tc>
        <w:tc>
          <w:tcPr>
            <w:tcW w:w="3185" w:type="dxa"/>
            <w:vAlign w:val="center"/>
          </w:tcPr>
          <w:p w14:paraId="25B7EB14">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可交易性（Tan</w:t>
            </w:r>
            <w:r>
              <w:rPr>
                <w:rFonts w:ascii="Times New Roman" w:hAnsi="Times New Roman" w:eastAsia="宋体" w:cs="Times New Roman"/>
                <w:color w:val="000000"/>
                <w:sz w:val="21"/>
                <w:szCs w:val="21"/>
                <w14:ligatures w14:val="none"/>
              </w:rPr>
              <w:t>gibility</w:t>
            </w:r>
            <w:r>
              <w:rPr>
                <w:rFonts w:hint="eastAsia" w:ascii="Times New Roman" w:hAnsi="Times New Roman" w:eastAsia="宋体" w:cs="Times New Roman"/>
                <w:color w:val="000000"/>
                <w:sz w:val="21"/>
                <w:szCs w:val="21"/>
                <w14:ligatures w14:val="none"/>
              </w:rPr>
              <w:t>）</w:t>
            </w:r>
          </w:p>
        </w:tc>
        <w:tc>
          <w:tcPr>
            <w:tcW w:w="3553" w:type="dxa"/>
          </w:tcPr>
          <w:p w14:paraId="1BC21D0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哈恩</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李</w:t>
            </w:r>
            <w:r>
              <w:rPr>
                <w:rFonts w:ascii="Times New Roman" w:hAnsi="Times New Roman" w:eastAsia="宋体" w:cs="Times New Roman"/>
                <w:color w:val="000000"/>
                <w:sz w:val="21"/>
                <w:szCs w:val="21"/>
                <w14:ligatures w14:val="none"/>
              </w:rPr>
              <w:t>（2009）</w:t>
            </w:r>
          </w:p>
        </w:tc>
      </w:tr>
      <w:tr w14:paraId="183B2D1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6698368B">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hint="eastAsia" w:ascii="Times New Roman" w:hAnsi="Times New Roman" w:eastAsia="宋体" w:cs="Times New Roman"/>
                <w:i/>
                <w:iCs/>
                <w:color w:val="000000"/>
                <w:sz w:val="21"/>
                <w:szCs w:val="21"/>
                <w14:ligatures w14:val="none"/>
              </w:rPr>
              <w:t>L</w:t>
            </w:r>
            <w:r>
              <w:rPr>
                <w:rFonts w:ascii="Times New Roman" w:hAnsi="Times New Roman" w:eastAsia="宋体" w:cs="Times New Roman"/>
                <w:i/>
                <w:iCs/>
                <w:color w:val="000000"/>
                <w:sz w:val="21"/>
                <w:szCs w:val="21"/>
                <w14:ligatures w14:val="none"/>
              </w:rPr>
              <w:t>FE</w:t>
            </w:r>
          </w:p>
        </w:tc>
        <w:tc>
          <w:tcPr>
            <w:tcW w:w="3185" w:type="dxa"/>
            <w:vAlign w:val="center"/>
          </w:tcPr>
          <w:p w14:paraId="787152E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劳动力使用效率（</w:t>
            </w:r>
            <w:r>
              <w:rPr>
                <w:rFonts w:ascii="Times New Roman" w:hAnsi="Times New Roman" w:eastAsia="宋体" w:cs="Times New Roman"/>
                <w:color w:val="000000"/>
                <w:sz w:val="21"/>
                <w:szCs w:val="21"/>
                <w14:ligatures w14:val="none"/>
              </w:rPr>
              <w:t>Labor Force Efficiency</w:t>
            </w:r>
            <w:r>
              <w:rPr>
                <w:rFonts w:hint="eastAsia" w:ascii="Times New Roman" w:hAnsi="Times New Roman" w:eastAsia="宋体" w:cs="Times New Roman"/>
                <w:color w:val="000000"/>
                <w:sz w:val="21"/>
                <w:szCs w:val="21"/>
                <w14:ligatures w14:val="none"/>
              </w:rPr>
              <w:t>）</w:t>
            </w:r>
          </w:p>
        </w:tc>
        <w:tc>
          <w:tcPr>
            <w:tcW w:w="3553" w:type="dxa"/>
          </w:tcPr>
          <w:p w14:paraId="2E875100">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阿巴伯内尔</w:t>
            </w:r>
            <w:r>
              <w:rPr>
                <w:rFonts w:ascii="Times New Roman" w:hAnsi="Times New Roman" w:eastAsia="宋体" w:cs="Times New Roman"/>
                <w:color w:val="000000"/>
                <w:sz w:val="21"/>
                <w:szCs w:val="21"/>
                <w14:ligatures w14:val="none"/>
              </w:rPr>
              <w:t>和</w:t>
            </w:r>
            <w:r>
              <w:rPr>
                <w:rFonts w:hint="eastAsia" w:ascii="Times New Roman" w:hAnsi="Times New Roman" w:eastAsia="宋体" w:cs="Times New Roman"/>
                <w:color w:val="000000"/>
                <w:sz w:val="21"/>
                <w:szCs w:val="21"/>
                <w14:ligatures w14:val="none"/>
              </w:rPr>
              <w:t>布希</w:t>
            </w:r>
            <w:r>
              <w:rPr>
                <w:rFonts w:ascii="Times New Roman" w:hAnsi="Times New Roman" w:eastAsia="宋体" w:cs="Times New Roman"/>
                <w:color w:val="000000"/>
                <w:sz w:val="21"/>
                <w:szCs w:val="21"/>
                <w14:ligatures w14:val="none"/>
              </w:rPr>
              <w:t>（1998）</w:t>
            </w:r>
          </w:p>
        </w:tc>
      </w:tr>
      <w:tr w14:paraId="48783E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313CA444">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AD</w:t>
            </w:r>
          </w:p>
        </w:tc>
        <w:tc>
          <w:tcPr>
            <w:tcW w:w="3185" w:type="dxa"/>
            <w:vAlign w:val="center"/>
          </w:tcPr>
          <w:p w14:paraId="7E769C4A">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广告费用与营业收入比（Advertising to Operating Revenue）</w:t>
            </w:r>
          </w:p>
        </w:tc>
        <w:tc>
          <w:tcPr>
            <w:tcW w:w="3553" w:type="dxa"/>
          </w:tcPr>
          <w:p w14:paraId="2756D00D">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罗婷等（2009）</w:t>
            </w:r>
          </w:p>
        </w:tc>
      </w:tr>
      <w:tr w14:paraId="1C01EF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68" w:type="dxa"/>
          </w:tcPr>
          <w:p w14:paraId="47FA863B">
            <w:pPr>
              <w:adjustRightInd w:val="0"/>
              <w:spacing w:after="0" w:line="420" w:lineRule="exact"/>
              <w:textAlignment w:val="baseline"/>
              <w:rPr>
                <w:rFonts w:ascii="Times New Roman" w:hAnsi="Times New Roman" w:eastAsia="宋体" w:cs="Times New Roman"/>
                <w:i/>
                <w:iCs/>
                <w:color w:val="000000"/>
                <w:sz w:val="21"/>
                <w:szCs w:val="21"/>
                <w14:ligatures w14:val="none"/>
              </w:rPr>
            </w:pPr>
            <w:r>
              <w:rPr>
                <w:rFonts w:ascii="Times New Roman" w:hAnsi="Times New Roman" w:eastAsia="宋体" w:cs="Times New Roman"/>
                <w:i/>
                <w:iCs/>
                <w:color w:val="000000"/>
                <w:sz w:val="21"/>
                <w:szCs w:val="21"/>
                <w14:ligatures w14:val="none"/>
              </w:rPr>
              <w:t>IBV</w:t>
            </w:r>
          </w:p>
        </w:tc>
        <w:tc>
          <w:tcPr>
            <w:tcW w:w="3185" w:type="dxa"/>
            <w:vAlign w:val="center"/>
          </w:tcPr>
          <w:p w14:paraId="70FC6E1B">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每股无形资产</w:t>
            </w:r>
          </w:p>
        </w:tc>
        <w:tc>
          <w:tcPr>
            <w:tcW w:w="3553" w:type="dxa"/>
          </w:tcPr>
          <w:p w14:paraId="1F18F87F">
            <w:pPr>
              <w:adjustRightInd w:val="0"/>
              <w:spacing w:after="0" w:line="420" w:lineRule="exact"/>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薛云奎和王志台（2001）</w:t>
            </w:r>
          </w:p>
        </w:tc>
      </w:tr>
      <w:bookmarkEnd w:id="0"/>
    </w:tbl>
    <w:p w14:paraId="1141D01E">
      <w:pPr>
        <w:adjustRightInd w:val="0"/>
        <w:spacing w:after="0" w:line="240" w:lineRule="auto"/>
        <w:jc w:val="both"/>
        <w:textAlignment w:val="baseline"/>
        <w:rPr>
          <w:rFonts w:ascii="Times New Roman" w:hAnsi="Times New Roman" w:eastAsia="宋体" w:cs="Times New Roman"/>
          <w:color w:val="000000"/>
          <w:sz w:val="21"/>
          <w:szCs w:val="21"/>
          <w14:ligatures w14:val="none"/>
        </w:rPr>
      </w:pPr>
    </w:p>
    <w:p w14:paraId="24D9D3E9">
      <w:pPr>
        <w:widowControl/>
        <w:spacing w:after="0" w:line="240" w:lineRule="auto"/>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br w:type="page"/>
      </w:r>
    </w:p>
    <w:p w14:paraId="53A35049">
      <w:pPr>
        <w:keepNext/>
        <w:spacing w:before="120" w:after="120" w:line="240" w:lineRule="auto"/>
        <w:ind w:firstLine="420" w:firstLineChars="200"/>
        <w:jc w:val="both"/>
        <w:outlineLvl w:val="1"/>
        <w:rPr>
          <w:rFonts w:ascii="Times New Roman" w:hAnsi="Times New Roman" w:eastAsia="黑体" w:cs="Times New Roman"/>
          <w:bCs/>
          <w:iCs/>
          <w:color w:val="000000"/>
          <w:sz w:val="21"/>
          <w14:ligatures w14:val="none"/>
        </w:rPr>
      </w:pPr>
      <w:bookmarkStart w:id="2" w:name="_Hlk208308987"/>
      <w:r>
        <w:rPr>
          <w:rFonts w:hint="eastAsia" w:ascii="Times New Roman" w:hAnsi="Times New Roman" w:eastAsia="黑体" w:cs="Times New Roman"/>
          <w:bCs/>
          <w:iCs/>
          <w:color w:val="000000"/>
          <w:sz w:val="21"/>
          <w14:ligatures w14:val="none"/>
        </w:rPr>
        <w:t>附录2：神经网络在测试集上的预测效果</w:t>
      </w:r>
    </w:p>
    <w:p w14:paraId="3B4BD4AA">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1.基于多特征学习神经网络模型的绝对收益预测能力</w:t>
      </w:r>
    </w:p>
    <w:p w14:paraId="672A56EC">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此部分重点衡量模型对收益的绝对预测能力，即预测值接近未来真实值的程度。本文采用均方根误差（Root Mean Squared Error，RMSE）作为核心评估指标 ，其计算公式如下：</w:t>
      </w:r>
    </w:p>
    <w:p w14:paraId="5E557B6B">
      <w:pPr>
        <w:adjustRightInd w:val="0"/>
        <w:spacing w:after="0" w:line="240" w:lineRule="auto"/>
        <w:jc w:val="center"/>
        <w:textAlignment w:val="baseline"/>
        <w:rPr>
          <w:rFonts w:ascii="Times New Roman" w:hAnsi="Times New Roman" w:eastAsia="宋体" w:cs="Times New Roman"/>
          <w:color w:val="000000"/>
          <w:sz w:val="21"/>
          <w14:ligatures w14:val="none"/>
        </w:rPr>
      </w:pPr>
      <m:oMath>
        <m:r>
          <m:rPr/>
          <w:rPr>
            <w:rFonts w:ascii="Cambria Math" w:hAnsi="Cambria Math" w:eastAsia="宋体" w:cs="Times New Roman"/>
            <w:color w:val="000000"/>
            <w:sz w:val="21"/>
            <w14:ligatures w14:val="none"/>
          </w:rPr>
          <m:t>RMSE=</m:t>
        </m:r>
        <m:rad>
          <m:radPr>
            <m:degHide m:val="1"/>
            <m:ctrlPr>
              <w:rPr>
                <w:rFonts w:ascii="Cambria Math" w:hAnsi="Cambria Math" w:eastAsia="宋体" w:cs="Times New Roman"/>
                <w:i/>
                <w:color w:val="000000"/>
                <w:sz w:val="21"/>
                <w14:ligatures w14:val="none"/>
              </w:rPr>
            </m:ctrlPr>
          </m:radPr>
          <m:deg>
            <m:ctrlPr>
              <w:rPr>
                <w:rFonts w:ascii="Cambria Math" w:hAnsi="Cambria Math" w:eastAsia="宋体" w:cs="Times New Roman"/>
                <w:i/>
                <w:color w:val="000000"/>
                <w:sz w:val="21"/>
                <w14:ligatures w14:val="none"/>
              </w:rPr>
            </m:ctrlPr>
          </m:deg>
          <m:e>
            <m:f>
              <m:fPr>
                <m:ctrlPr>
                  <w:rPr>
                    <w:rFonts w:ascii="Cambria Math" w:hAnsi="Cambria Math" w:eastAsia="宋体" w:cs="Times New Roman"/>
                    <w:i/>
                    <w:color w:val="000000"/>
                    <w:sz w:val="21"/>
                    <w14:ligatures w14:val="none"/>
                  </w:rPr>
                </m:ctrlPr>
              </m:fPr>
              <m:num>
                <m:r>
                  <m:rPr/>
                  <w:rPr>
                    <w:rFonts w:ascii="Cambria Math" w:hAnsi="Cambria Math" w:eastAsia="宋体" w:cs="Times New Roman"/>
                    <w:color w:val="000000"/>
                    <w:sz w:val="21"/>
                    <w14:ligatures w14:val="none"/>
                  </w:rPr>
                  <m:t>1</m:t>
                </m:r>
                <m:ctrlPr>
                  <w:rPr>
                    <w:rFonts w:ascii="Cambria Math" w:hAnsi="Cambria Math" w:eastAsia="宋体" w:cs="Times New Roman"/>
                    <w:i/>
                    <w:color w:val="000000"/>
                    <w:sz w:val="21"/>
                    <w14:ligatures w14:val="none"/>
                  </w:rPr>
                </m:ctrlPr>
              </m:num>
              <m:den>
                <m:r>
                  <m:rPr/>
                  <w:rPr>
                    <w:rFonts w:ascii="Cambria Math" w:hAnsi="Cambria Math" w:eastAsia="宋体" w:cs="Times New Roman"/>
                    <w:color w:val="000000"/>
                    <w:sz w:val="21"/>
                    <w14:ligatures w14:val="none"/>
                  </w:rPr>
                  <m:t>Q</m:t>
                </m:r>
                <m:ctrlPr>
                  <w:rPr>
                    <w:rFonts w:ascii="Cambria Math" w:hAnsi="Cambria Math" w:eastAsia="宋体" w:cs="Times New Roman"/>
                    <w:i/>
                    <w:color w:val="000000"/>
                    <w:sz w:val="21"/>
                    <w14:ligatures w14:val="none"/>
                  </w:rPr>
                </m:ctrlPr>
              </m:den>
            </m:f>
            <m:nary>
              <m:naryPr>
                <m:chr m:val="∑"/>
                <m:limLoc m:val="undOvr"/>
                <m:ctrlPr>
                  <w:rPr>
                    <w:rFonts w:ascii="Cambria Math" w:hAnsi="Cambria Math" w:eastAsia="宋体" w:cs="Times New Roman"/>
                    <w:i/>
                    <w:color w:val="000000"/>
                    <w:sz w:val="21"/>
                    <w14:ligatures w14:val="none"/>
                  </w:rPr>
                </m:ctrlPr>
              </m:naryPr>
              <m:sub>
                <m:r>
                  <m:rPr/>
                  <w:rPr>
                    <w:rFonts w:hint="eastAsia" w:ascii="Cambria Math" w:hAnsi="Cambria Math" w:eastAsia="宋体" w:cs="Times New Roman"/>
                    <w:color w:val="000000"/>
                    <w:sz w:val="21"/>
                    <w14:ligatures w14:val="none"/>
                  </w:rPr>
                  <m:t>q</m:t>
                </m:r>
                <m:r>
                  <m:rPr/>
                  <w:rPr>
                    <w:rFonts w:ascii="Cambria Math" w:hAnsi="Cambria Math" w:eastAsia="宋体" w:cs="Times New Roman"/>
                    <w:color w:val="000000"/>
                    <w:sz w:val="21"/>
                    <w14:ligatures w14:val="none"/>
                  </w:rPr>
                  <m:t>=1</m:t>
                </m:r>
                <m:ctrlPr>
                  <w:rPr>
                    <w:rFonts w:ascii="Cambria Math" w:hAnsi="Cambria Math" w:eastAsia="宋体" w:cs="Times New Roman"/>
                    <w:i/>
                    <w:color w:val="000000"/>
                    <w:sz w:val="21"/>
                    <w14:ligatures w14:val="none"/>
                  </w:rPr>
                </m:ctrlPr>
              </m:sub>
              <m:sup>
                <m:r>
                  <m:rPr/>
                  <w:rPr>
                    <w:rFonts w:ascii="Cambria Math" w:hAnsi="Cambria Math" w:eastAsia="宋体" w:cs="Times New Roman"/>
                    <w:color w:val="000000"/>
                    <w:sz w:val="21"/>
                    <w14:ligatures w14:val="none"/>
                  </w:rPr>
                  <m:t>Q</m:t>
                </m:r>
                <m:ctrlPr>
                  <w:rPr>
                    <w:rFonts w:ascii="Cambria Math" w:hAnsi="Cambria Math" w:eastAsia="宋体" w:cs="Times New Roman"/>
                    <w:i/>
                    <w:color w:val="000000"/>
                    <w:sz w:val="21"/>
                    <w14:ligatures w14:val="none"/>
                  </w:rPr>
                </m:ctrlPr>
              </m:sup>
              <m:e>
                <m:sSup>
                  <m:sSupPr>
                    <m:ctrlPr>
                      <w:rPr>
                        <w:rFonts w:ascii="Cambria Math" w:hAnsi="Cambria Math" w:eastAsia="宋体" w:cs="Times New Roman"/>
                        <w:i/>
                        <w:color w:val="000000"/>
                        <w:sz w:val="21"/>
                        <w14:ligatures w14:val="none"/>
                      </w:rPr>
                    </m:ctrlPr>
                  </m:sSupPr>
                  <m:e>
                    <m:d>
                      <m:dPr>
                        <m:ctrlPr>
                          <w:rPr>
                            <w:rFonts w:ascii="Cambria Math" w:hAnsi="Cambria Math" w:eastAsia="宋体" w:cs="Times New Roman"/>
                            <w:i/>
                            <w:color w:val="000000"/>
                            <w:sz w:val="21"/>
                            <w14:ligatures w14:val="none"/>
                          </w:rPr>
                        </m:ctrlPr>
                      </m:dPr>
                      <m:e>
                        <m:sSub>
                          <m:sSubPr>
                            <m:ctrlPr>
                              <w:rPr>
                                <w:rFonts w:ascii="Cambria Math" w:hAnsi="Cambria Math" w:eastAsia="宋体" w:cs="Times New Roman"/>
                                <w:i/>
                                <w:color w:val="000000"/>
                                <w:sz w:val="21"/>
                                <w14:ligatures w14:val="none"/>
                              </w:rPr>
                            </m:ctrlPr>
                          </m:sSubPr>
                          <m:e>
                            <m:acc>
                              <m:accPr>
                                <m:ctrlPr>
                                  <w:rPr>
                                    <w:rFonts w:ascii="Cambria Math" w:hAnsi="Cambria Math" w:eastAsia="宋体" w:cs="Times New Roman"/>
                                    <w:i/>
                                    <w:color w:val="000000"/>
                                    <w:sz w:val="21"/>
                                    <w14:ligatures w14:val="none"/>
                                  </w:rPr>
                                </m:ctrlPr>
                              </m:accPr>
                              <m:e>
                                <m:r>
                                  <m:rPr/>
                                  <w:rPr>
                                    <w:rFonts w:hint="eastAsia" w:ascii="Cambria Math" w:hAnsi="Cambria Math" w:eastAsia="宋体" w:cs="Times New Roman"/>
                                    <w:color w:val="000000"/>
                                    <w:sz w:val="21"/>
                                    <w14:ligatures w14:val="none"/>
                                  </w:rPr>
                                  <m:t>y</m:t>
                                </m:r>
                                <m:ctrlPr>
                                  <w:rPr>
                                    <w:rFonts w:ascii="Cambria Math" w:hAnsi="Cambria Math" w:eastAsia="宋体" w:cs="Times New Roman"/>
                                    <w:i/>
                                    <w:color w:val="000000"/>
                                    <w:sz w:val="21"/>
                                    <w14:ligatures w14:val="none"/>
                                  </w:rPr>
                                </m:ctrlPr>
                              </m:e>
                            </m:acc>
                            <m:ctrlPr>
                              <w:rPr>
                                <w:rFonts w:ascii="Cambria Math" w:hAnsi="Cambria Math" w:eastAsia="宋体" w:cs="Times New Roman"/>
                                <w:i/>
                                <w:color w:val="000000"/>
                                <w:sz w:val="21"/>
                                <w14:ligatures w14:val="none"/>
                              </w:rPr>
                            </m:ctrlPr>
                          </m:e>
                          <m:sub>
                            <m:r>
                              <m:rPr/>
                              <w:rPr>
                                <w:rFonts w:hint="eastAsia" w:ascii="Cambria Math" w:hAnsi="Cambria Math" w:eastAsia="宋体" w:cs="Times New Roman"/>
                                <w:color w:val="000000"/>
                                <w:sz w:val="21"/>
                                <w14:ligatures w14:val="none"/>
                              </w:rPr>
                              <m:t>q</m:t>
                            </m:r>
                            <m:ctrlPr>
                              <w:rPr>
                                <w:rFonts w:ascii="Cambria Math" w:hAnsi="Cambria Math" w:eastAsia="宋体" w:cs="Times New Roman"/>
                                <w:i/>
                                <w:color w:val="000000"/>
                                <w:sz w:val="21"/>
                                <w14:ligatures w14:val="none"/>
                              </w:rPr>
                            </m:ctrlPr>
                          </m:sub>
                        </m:sSub>
                        <m:r>
                          <m:rPr/>
                          <w:rPr>
                            <w:rFonts w:ascii="Cambria Math" w:hAnsi="Cambria Math" w:eastAsia="宋体" w:cs="Times New Roman"/>
                            <w:color w:val="000000"/>
                            <w:sz w:val="21"/>
                            <w14:ligatures w14:val="none"/>
                          </w:rPr>
                          <m:t>−</m:t>
                        </m:r>
                        <m:sSub>
                          <m:sSubPr>
                            <m:ctrlPr>
                              <w:rPr>
                                <w:rFonts w:ascii="Cambria Math" w:hAnsi="Cambria Math" w:eastAsia="宋体" w:cs="Times New Roman"/>
                                <w:i/>
                                <w:color w:val="000000"/>
                                <w:sz w:val="21"/>
                                <w14:ligatures w14:val="none"/>
                              </w:rPr>
                            </m:ctrlPr>
                          </m:sSubPr>
                          <m:e>
                            <m:r>
                              <m:rPr/>
                              <w:rPr>
                                <w:rFonts w:hint="eastAsia" w:ascii="Cambria Math" w:hAnsi="Cambria Math" w:eastAsia="宋体" w:cs="Times New Roman"/>
                                <w:color w:val="000000"/>
                                <w:sz w:val="21"/>
                                <w14:ligatures w14:val="none"/>
                              </w:rPr>
                              <m:t>y</m:t>
                            </m:r>
                            <m:ctrlPr>
                              <w:rPr>
                                <w:rFonts w:ascii="Cambria Math" w:hAnsi="Cambria Math" w:eastAsia="宋体" w:cs="Times New Roman"/>
                                <w:i/>
                                <w:color w:val="000000"/>
                                <w:sz w:val="21"/>
                                <w14:ligatures w14:val="none"/>
                              </w:rPr>
                            </m:ctrlPr>
                          </m:e>
                          <m:sub>
                            <m:r>
                              <m:rPr/>
                              <w:rPr>
                                <w:rFonts w:ascii="Cambria Math" w:hAnsi="Cambria Math" w:eastAsia="宋体" w:cs="Times New Roman"/>
                                <w:color w:val="000000"/>
                                <w:sz w:val="21"/>
                                <w14:ligatures w14:val="none"/>
                              </w:rPr>
                              <m:t>q</m:t>
                            </m:r>
                            <m:ctrlPr>
                              <w:rPr>
                                <w:rFonts w:ascii="Cambria Math" w:hAnsi="Cambria Math" w:eastAsia="宋体" w:cs="Times New Roman"/>
                                <w:i/>
                                <w:color w:val="000000"/>
                                <w:sz w:val="21"/>
                                <w14:ligatures w14:val="none"/>
                              </w:rPr>
                            </m:ctrlPr>
                          </m:sub>
                        </m:sSub>
                        <m:ctrlPr>
                          <w:rPr>
                            <w:rFonts w:ascii="Cambria Math" w:hAnsi="Cambria Math" w:eastAsia="宋体" w:cs="Times New Roman"/>
                            <w:i/>
                            <w:color w:val="000000"/>
                            <w:sz w:val="21"/>
                            <w14:ligatures w14:val="none"/>
                          </w:rPr>
                        </m:ctrlPr>
                      </m:e>
                    </m:d>
                    <m:ctrlPr>
                      <w:rPr>
                        <w:rFonts w:ascii="Cambria Math" w:hAnsi="Cambria Math" w:eastAsia="宋体" w:cs="Times New Roman"/>
                        <w:i/>
                        <w:color w:val="000000"/>
                        <w:sz w:val="21"/>
                        <w14:ligatures w14:val="none"/>
                      </w:rPr>
                    </m:ctrlPr>
                  </m:e>
                  <m:sup>
                    <m:r>
                      <m:rPr/>
                      <w:rPr>
                        <w:rFonts w:ascii="Cambria Math" w:hAnsi="Cambria Math" w:eastAsia="宋体" w:cs="Times New Roman"/>
                        <w:color w:val="000000"/>
                        <w:sz w:val="21"/>
                        <w14:ligatures w14:val="none"/>
                      </w:rPr>
                      <m:t>2</m:t>
                    </m:r>
                    <m:ctrlPr>
                      <w:rPr>
                        <w:rFonts w:ascii="Cambria Math" w:hAnsi="Cambria Math" w:eastAsia="宋体" w:cs="Times New Roman"/>
                        <w:i/>
                        <w:color w:val="000000"/>
                        <w:sz w:val="21"/>
                        <w14:ligatures w14:val="none"/>
                      </w:rPr>
                    </m:ctrlPr>
                  </m:sup>
                </m:sSup>
                <m:ctrlPr>
                  <w:rPr>
                    <w:rFonts w:ascii="Cambria Math" w:hAnsi="Cambria Math" w:eastAsia="宋体" w:cs="Times New Roman"/>
                    <w:i/>
                    <w:color w:val="000000"/>
                    <w:sz w:val="21"/>
                    <w14:ligatures w14:val="none"/>
                  </w:rPr>
                </m:ctrlPr>
              </m:e>
            </m:nary>
            <m:ctrlPr>
              <w:rPr>
                <w:rFonts w:ascii="Cambria Math" w:hAnsi="Cambria Math" w:eastAsia="宋体" w:cs="Times New Roman"/>
                <w:i/>
                <w:color w:val="000000"/>
                <w:sz w:val="21"/>
                <w14:ligatures w14:val="none"/>
              </w:rPr>
            </m:ctrlPr>
          </m:e>
        </m:rad>
      </m:oMath>
      <w:bookmarkEnd w:id="2"/>
      <w:r>
        <w:rPr>
          <w:rFonts w:hint="eastAsia" w:ascii="Times New Roman" w:hAnsi="Times New Roman" w:eastAsia="宋体" w:cs="Times New Roman"/>
          <w:color w:val="000000"/>
          <w:sz w:val="21"/>
          <w14:ligatures w14:val="none"/>
        </w:rPr>
        <w:t>,</w:t>
      </w:r>
    </w:p>
    <w:p w14:paraId="106C8FFD">
      <w:pPr>
        <w:adjustRightInd w:val="0"/>
        <w:spacing w:after="0" w:line="240" w:lineRule="auto"/>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其中，</w:t>
      </w:r>
      <m:oMath>
        <m:r>
          <m:rPr/>
          <w:rPr>
            <w:rFonts w:ascii="Cambria Math" w:hAnsi="Cambria Math" w:eastAsia="宋体" w:cs="Times New Roman"/>
            <w:color w:val="000000"/>
            <w:sz w:val="21"/>
            <w14:ligatures w14:val="none"/>
          </w:rPr>
          <m:t>Q</m:t>
        </m:r>
      </m:oMath>
      <w:r>
        <w:rPr>
          <w:rFonts w:hint="eastAsia" w:ascii="Times New Roman" w:hAnsi="Times New Roman" w:eastAsia="宋体" w:cs="Times New Roman"/>
          <w:color w:val="000000"/>
          <w:sz w:val="21"/>
          <w14:ligatures w14:val="none"/>
        </w:rPr>
        <w:t>为样本总数，</w:t>
      </w:r>
      <m:oMath>
        <m:sSub>
          <m:sSubPr>
            <m:ctrlPr>
              <w:rPr>
                <w:rFonts w:ascii="Cambria Math" w:hAnsi="Cambria Math" w:eastAsia="宋体" w:cs="Times New Roman"/>
                <w:i/>
                <w:color w:val="000000"/>
                <w:sz w:val="21"/>
                <w14:ligatures w14:val="none"/>
              </w:rPr>
            </m:ctrlPr>
          </m:sSubPr>
          <m:e>
            <m:acc>
              <m:accPr>
                <m:ctrlPr>
                  <w:rPr>
                    <w:rFonts w:ascii="Cambria Math" w:hAnsi="Cambria Math" w:eastAsia="宋体" w:cs="Times New Roman"/>
                    <w:i/>
                    <w:color w:val="000000"/>
                    <w:sz w:val="21"/>
                    <w14:ligatures w14:val="none"/>
                  </w:rPr>
                </m:ctrlPr>
              </m:accPr>
              <m:e>
                <m:r>
                  <m:rPr/>
                  <w:rPr>
                    <w:rFonts w:hint="eastAsia" w:ascii="Cambria Math" w:hAnsi="Cambria Math" w:eastAsia="宋体" w:cs="Times New Roman"/>
                    <w:color w:val="000000"/>
                    <w:sz w:val="21"/>
                    <w14:ligatures w14:val="none"/>
                  </w:rPr>
                  <m:t>y</m:t>
                </m:r>
                <m:ctrlPr>
                  <w:rPr>
                    <w:rFonts w:ascii="Cambria Math" w:hAnsi="Cambria Math" w:eastAsia="宋体" w:cs="Times New Roman"/>
                    <w:i/>
                    <w:color w:val="000000"/>
                    <w:sz w:val="21"/>
                    <w14:ligatures w14:val="none"/>
                  </w:rPr>
                </m:ctrlPr>
              </m:e>
            </m:acc>
            <m:ctrlPr>
              <w:rPr>
                <w:rFonts w:ascii="Cambria Math" w:hAnsi="Cambria Math" w:eastAsia="宋体" w:cs="Times New Roman"/>
                <w:i/>
                <w:color w:val="000000"/>
                <w:sz w:val="21"/>
                <w14:ligatures w14:val="none"/>
              </w:rPr>
            </m:ctrlPr>
          </m:e>
          <m:sub>
            <m:r>
              <m:rPr/>
              <w:rPr>
                <w:rFonts w:hint="eastAsia" w:ascii="Cambria Math" w:hAnsi="Cambria Math" w:eastAsia="宋体" w:cs="Times New Roman"/>
                <w:color w:val="000000"/>
                <w:sz w:val="21"/>
                <w14:ligatures w14:val="none"/>
              </w:rPr>
              <m:t>q</m:t>
            </m:r>
            <m:ctrlPr>
              <w:rPr>
                <w:rFonts w:ascii="Cambria Math" w:hAnsi="Cambria Math" w:eastAsia="宋体" w:cs="Times New Roman"/>
                <w:i/>
                <w:color w:val="000000"/>
                <w:sz w:val="21"/>
                <w14:ligatures w14:val="none"/>
              </w:rPr>
            </m:ctrlPr>
          </m:sub>
        </m:sSub>
      </m:oMath>
      <w:r>
        <w:rPr>
          <w:rFonts w:hint="eastAsia" w:ascii="Times New Roman" w:hAnsi="Times New Roman" w:eastAsia="宋体" w:cs="Times New Roman"/>
          <w:color w:val="000000"/>
          <w:sz w:val="21"/>
          <w14:ligatures w14:val="none"/>
        </w:rPr>
        <w:t>为第</w:t>
      </w:r>
      <m:oMath>
        <m:r>
          <m:rPr/>
          <w:rPr>
            <w:rFonts w:hint="eastAsia" w:ascii="Cambria Math" w:hAnsi="Cambria Math" w:eastAsia="宋体" w:cs="Times New Roman"/>
            <w:color w:val="000000"/>
            <w:sz w:val="21"/>
            <w14:ligatures w14:val="none"/>
          </w:rPr>
          <m:t>q</m:t>
        </m:r>
      </m:oMath>
      <w:r>
        <w:rPr>
          <w:rFonts w:hint="eastAsia" w:ascii="Times New Roman" w:hAnsi="Times New Roman" w:eastAsia="宋体" w:cs="Times New Roman"/>
          <w:color w:val="000000"/>
          <w:sz w:val="21"/>
          <w14:ligatures w14:val="none"/>
        </w:rPr>
        <w:t>个预测值，</w:t>
      </w:r>
      <m:oMath>
        <m:sSub>
          <m:sSubPr>
            <m:ctrlPr>
              <w:rPr>
                <w:rFonts w:ascii="Cambria Math" w:hAnsi="Cambria Math" w:eastAsia="宋体" w:cs="Times New Roman"/>
                <w:i/>
                <w:color w:val="000000"/>
                <w:sz w:val="21"/>
                <w14:ligatures w14:val="none"/>
              </w:rPr>
            </m:ctrlPr>
          </m:sSubPr>
          <m:e>
            <m:r>
              <m:rPr/>
              <w:rPr>
                <w:rFonts w:hint="eastAsia" w:ascii="Cambria Math" w:hAnsi="Cambria Math" w:eastAsia="宋体" w:cs="Times New Roman"/>
                <w:color w:val="000000"/>
                <w:sz w:val="21"/>
                <w14:ligatures w14:val="none"/>
              </w:rPr>
              <m:t>y</m:t>
            </m:r>
            <m:ctrlPr>
              <w:rPr>
                <w:rFonts w:ascii="Cambria Math" w:hAnsi="Cambria Math" w:eastAsia="宋体" w:cs="Times New Roman"/>
                <w:i/>
                <w:color w:val="000000"/>
                <w:sz w:val="21"/>
                <w14:ligatures w14:val="none"/>
              </w:rPr>
            </m:ctrlPr>
          </m:e>
          <m:sub>
            <m:r>
              <m:rPr/>
              <w:rPr>
                <w:rFonts w:ascii="Cambria Math" w:hAnsi="Cambria Math" w:eastAsia="宋体" w:cs="Times New Roman"/>
                <w:color w:val="000000"/>
                <w:sz w:val="21"/>
                <w14:ligatures w14:val="none"/>
              </w:rPr>
              <m:t>q</m:t>
            </m:r>
            <m:ctrlPr>
              <w:rPr>
                <w:rFonts w:ascii="Cambria Math" w:hAnsi="Cambria Math" w:eastAsia="宋体" w:cs="Times New Roman"/>
                <w:i/>
                <w:color w:val="000000"/>
                <w:sz w:val="21"/>
                <w14:ligatures w14:val="none"/>
              </w:rPr>
            </m:ctrlPr>
          </m:sub>
        </m:sSub>
      </m:oMath>
      <w:r>
        <w:rPr>
          <w:rFonts w:hint="eastAsia" w:ascii="Times New Roman" w:hAnsi="Times New Roman" w:eastAsia="宋体" w:cs="Times New Roman"/>
          <w:color w:val="000000"/>
          <w:sz w:val="21"/>
          <w14:ligatures w14:val="none"/>
        </w:rPr>
        <w:t>为第</w:t>
      </w:r>
      <m:oMath>
        <m:r>
          <m:rPr/>
          <w:rPr>
            <w:rFonts w:hint="eastAsia" w:ascii="Cambria Math" w:hAnsi="Cambria Math" w:eastAsia="宋体" w:cs="Times New Roman"/>
            <w:color w:val="000000"/>
            <w:sz w:val="21"/>
            <w14:ligatures w14:val="none"/>
          </w:rPr>
          <m:t>q</m:t>
        </m:r>
      </m:oMath>
      <w:r>
        <w:rPr>
          <w:rFonts w:hint="eastAsia" w:ascii="Times New Roman" w:hAnsi="Times New Roman" w:eastAsia="宋体" w:cs="Times New Roman"/>
          <w:color w:val="000000"/>
          <w:sz w:val="21"/>
          <w14:ligatures w14:val="none"/>
        </w:rPr>
        <w:t>个真实值。</w:t>
      </w:r>
    </w:p>
    <w:p w14:paraId="2FDCA7C4">
      <w:pPr>
        <w:adjustRightInd w:val="0"/>
        <w:spacing w:after="0" w:line="240" w:lineRule="auto"/>
        <w:ind w:firstLine="420"/>
        <w:jc w:val="both"/>
        <w:textAlignment w:val="baseline"/>
        <w:rPr>
          <w:rFonts w:hint="eastAsia" w:ascii="宋体" w:hAnsi="宋体" w:eastAsia="宋体" w:cs="Times New Roman"/>
          <w:color w:val="000000"/>
          <w:sz w:val="21"/>
          <w14:ligatures w14:val="none"/>
        </w:rPr>
      </w:pPr>
      <w:r>
        <w:rPr>
          <w:rFonts w:hint="eastAsia" w:ascii="Times New Roman" w:hAnsi="Times New Roman" w:eastAsia="宋体" w:cs="Times New Roman"/>
          <w:sz w:val="21"/>
          <w14:ligatures w14:val="none"/>
        </w:rPr>
        <w:t>（1）</w:t>
      </w:r>
      <w:bookmarkStart w:id="3" w:name="_Hlk201175696"/>
      <w:r>
        <w:rPr>
          <w:rFonts w:hint="eastAsia" w:ascii="Times New Roman" w:hAnsi="Times New Roman" w:eastAsia="宋体" w:cs="Times New Roman"/>
          <w:sz w:val="21"/>
          <w14:ligatures w14:val="none"/>
        </w:rPr>
        <w:t>单</w:t>
      </w:r>
      <w:r>
        <w:rPr>
          <w:rFonts w:hint="eastAsia" w:ascii="宋体" w:hAnsi="宋体" w:eastAsia="宋体" w:cs="Times New Roman"/>
          <w:color w:val="000000"/>
          <w:sz w:val="21"/>
          <w14:ligatures w14:val="none"/>
        </w:rPr>
        <w:t>个神经网络模型的绝对收益预测能力</w:t>
      </w:r>
      <w:bookmarkEnd w:id="3"/>
      <w:r>
        <w:rPr>
          <w:rFonts w:hint="eastAsia" w:ascii="宋体" w:hAnsi="宋体" w:eastAsia="宋体" w:cs="Times New Roman"/>
          <w:color w:val="000000"/>
          <w:sz w:val="21"/>
          <w14:ligatures w14:val="none"/>
        </w:rPr>
        <w:t>：</w:t>
      </w:r>
      <w:bookmarkStart w:id="4" w:name="_Hlk201222416"/>
      <w:r>
        <w:rPr>
          <w:rFonts w:hint="eastAsia" w:ascii="宋体" w:hAnsi="宋体" w:eastAsia="宋体" w:cs="Times New Roman"/>
          <w:color w:val="000000"/>
          <w:sz w:val="21"/>
          <w14:ligatures w14:val="none"/>
        </w:rPr>
        <w:t>附图1展示了在测试集上100个投资者（即1</w:t>
      </w:r>
      <w:r>
        <w:rPr>
          <w:rFonts w:ascii="宋体" w:hAnsi="宋体" w:eastAsia="宋体" w:cs="Times New Roman"/>
          <w:color w:val="000000"/>
          <w:sz w:val="21"/>
          <w14:ligatures w14:val="none"/>
        </w:rPr>
        <w:t>00</w:t>
      </w:r>
      <w:r>
        <w:rPr>
          <w:rFonts w:hint="eastAsia" w:ascii="宋体" w:hAnsi="宋体" w:eastAsia="宋体" w:cs="Times New Roman"/>
          <w:color w:val="000000"/>
          <w:sz w:val="21"/>
          <w14:ligatures w14:val="none"/>
        </w:rPr>
        <w:t>个神经网络模型，编号为1-100）各自预测值的RMSE。</w:t>
      </w:r>
      <w:bookmarkEnd w:id="4"/>
    </w:p>
    <w:p w14:paraId="4F490F7E">
      <w:pPr>
        <w:adjustRightInd w:val="0"/>
        <w:spacing w:after="0" w:line="240" w:lineRule="auto"/>
        <w:jc w:val="center"/>
        <w:textAlignment w:val="baseline"/>
        <w:rPr>
          <w:rFonts w:hint="eastAsia" w:ascii="黑体" w:hAnsi="黑体" w:eastAsia="黑体" w:cs="Times New Roman"/>
          <w:color w:val="000000"/>
          <w:sz w:val="21"/>
          <w:szCs w:val="21"/>
          <w14:ligatures w14:val="none"/>
        </w:rPr>
      </w:pPr>
      <w:r>
        <w:drawing>
          <wp:inline distT="0" distB="0" distL="0" distR="0">
            <wp:extent cx="5274310" cy="3129915"/>
            <wp:effectExtent l="0" t="0" r="2540" b="0"/>
            <wp:docPr id="305131656" name="图片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1656" name="图片 3" descr="图表, 散点图&#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3129915"/>
                    </a:xfrm>
                    <a:prstGeom prst="rect">
                      <a:avLst/>
                    </a:prstGeom>
                    <a:noFill/>
                    <a:ln>
                      <a:noFill/>
                    </a:ln>
                  </pic:spPr>
                </pic:pic>
              </a:graphicData>
            </a:graphic>
          </wp:inline>
        </w:drawing>
      </w:r>
      <w:r>
        <w:rPr>
          <w:rFonts w:ascii="Times New Roman" w:hAnsi="Times New Roman" w:eastAsia="宋体" w:cs="Times New Roman"/>
          <w:color w:val="000000"/>
          <w:sz w:val="21"/>
          <w14:ligatures w14:val="none"/>
        </w:rPr>
        <w:br w:type="textWrapping"/>
      </w:r>
      <w:r>
        <w:rPr>
          <w:rFonts w:hint="eastAsia" w:ascii="黑体" w:hAnsi="黑体" w:eastAsia="黑体" w:cs="Times New Roman"/>
          <w:color w:val="000000"/>
          <w:sz w:val="21"/>
          <w:szCs w:val="21"/>
          <w14:ligatures w14:val="none"/>
        </w:rPr>
        <w:t>附图1  100个投资者预测值的均方根误差</w:t>
      </w:r>
    </w:p>
    <w:p w14:paraId="40E424CC">
      <w:pPr>
        <w:adjustRightInd w:val="0"/>
        <w:spacing w:after="0" w:line="240" w:lineRule="auto"/>
        <w:ind w:firstLine="42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2）多个神经网络模型平均的绝对收益预测能力：附图2展示了100个投资者（即100个神经网络模型）预测的平均效果。具体而言，横轴表示用于计算预测均值的投资者数量，如投资者数量75表示使用编号为1-75的投资者预测用于计算预测均值。</w:t>
      </w:r>
    </w:p>
    <w:p w14:paraId="66D4C1E6">
      <w:pPr>
        <w:adjustRightInd w:val="0"/>
        <w:spacing w:after="0" w:line="240" w:lineRule="auto"/>
        <w:jc w:val="both"/>
        <w:textAlignment w:val="baseline"/>
        <w:rPr>
          <w:rFonts w:ascii="Times New Roman" w:hAnsi="Times New Roman" w:eastAsia="宋体" w:cs="Times New Roman"/>
          <w:color w:val="000000"/>
          <w:sz w:val="21"/>
          <w14:ligatures w14:val="none"/>
        </w:rPr>
      </w:pPr>
      <w:r>
        <w:drawing>
          <wp:inline distT="0" distB="0" distL="0" distR="0">
            <wp:extent cx="5274310" cy="3129915"/>
            <wp:effectExtent l="0" t="0" r="2540" b="0"/>
            <wp:docPr id="1691286875" name="图片 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86875" name="图片 4" descr="图表, 直方图&#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129915"/>
                    </a:xfrm>
                    <a:prstGeom prst="rect">
                      <a:avLst/>
                    </a:prstGeom>
                    <a:noFill/>
                    <a:ln>
                      <a:noFill/>
                    </a:ln>
                  </pic:spPr>
                </pic:pic>
              </a:graphicData>
            </a:graphic>
          </wp:inline>
        </w:drawing>
      </w:r>
    </w:p>
    <w:p w14:paraId="7666C21A">
      <w:pPr>
        <w:adjustRightInd w:val="0"/>
        <w:spacing w:after="0" w:line="240" w:lineRule="auto"/>
        <w:jc w:val="center"/>
        <w:textAlignment w:val="baseline"/>
        <w:rPr>
          <w:rFonts w:hint="eastAsia" w:ascii="黑体" w:hAnsi="黑体" w:eastAsia="黑体" w:cs="Times New Roman"/>
          <w:color w:val="000000"/>
          <w:sz w:val="21"/>
          <w:szCs w:val="21"/>
          <w14:ligatures w14:val="none"/>
        </w:rPr>
      </w:pPr>
      <w:r>
        <w:rPr>
          <w:rFonts w:hint="eastAsia" w:ascii="黑体" w:hAnsi="黑体" w:eastAsia="黑体" w:cs="Times New Roman"/>
          <w:color w:val="000000"/>
          <w:sz w:val="21"/>
          <w:szCs w:val="21"/>
          <w14:ligatures w14:val="none"/>
        </w:rPr>
        <w:t>附图2  投资者预测均值的均方根误差</w:t>
      </w:r>
    </w:p>
    <w:p w14:paraId="5F315289">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2.基于多特征学习神经网络模型的相对收益预测能力</w:t>
      </w:r>
    </w:p>
    <w:p w14:paraId="02382B9D">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此部分旨在衡量模型的相对收益预测能力，即模型能否有效地区分出未来高收益和低收益的股票，并据此构建能产生超额收益的对冲组合。</w:t>
      </w:r>
    </w:p>
    <w:p w14:paraId="3FEDD158">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（1）单个神经网络模型的相对收益预测能力：附图3展示了基于100个投资者（即100个神经网络模型）各自预测值所构建对冲组合的经Fama-French五因子模型调整后的超额收益（FF5-</w:t>
      </w:r>
      <m:oMath>
        <m:r>
          <m:rPr/>
          <w:rPr>
            <w:rFonts w:hint="eastAsia" w:ascii="Cambria Math" w:hAnsi="Cambria Math" w:eastAsia="宋体" w:cs="Times New Roman"/>
            <w:color w:val="000000"/>
            <w:sz w:val="21"/>
            <w14:ligatures w14:val="none"/>
          </w:rPr>
          <m:t>α</m:t>
        </m:r>
      </m:oMath>
      <w:r>
        <w:rPr>
          <w:rFonts w:hint="eastAsia" w:ascii="Times New Roman" w:hAnsi="Times New Roman" w:eastAsia="宋体" w:cs="Times New Roman"/>
          <w:color w:val="000000"/>
          <w:sz w:val="21"/>
          <w14:ligatures w14:val="none"/>
        </w:rPr>
        <w:t>）。</w:t>
      </w:r>
    </w:p>
    <w:p w14:paraId="493F5E83">
      <w:pPr>
        <w:adjustRightInd w:val="0"/>
        <w:spacing w:after="0" w:line="240" w:lineRule="auto"/>
        <w:jc w:val="both"/>
        <w:textAlignment w:val="baseline"/>
        <w:rPr>
          <w:rFonts w:ascii="Times New Roman" w:hAnsi="Times New Roman" w:eastAsia="宋体" w:cs="Times New Roman"/>
          <w:color w:val="000000"/>
          <w:sz w:val="21"/>
          <w14:ligatures w14:val="none"/>
        </w:rPr>
      </w:pPr>
      <w:r>
        <w:drawing>
          <wp:inline distT="0" distB="0" distL="0" distR="0">
            <wp:extent cx="5274310" cy="3129915"/>
            <wp:effectExtent l="0" t="0" r="2540" b="0"/>
            <wp:docPr id="212502788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7888" name="图片 1" descr="图表, 散点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3129915"/>
                    </a:xfrm>
                    <a:prstGeom prst="rect">
                      <a:avLst/>
                    </a:prstGeom>
                    <a:noFill/>
                    <a:ln>
                      <a:noFill/>
                    </a:ln>
                  </pic:spPr>
                </pic:pic>
              </a:graphicData>
            </a:graphic>
          </wp:inline>
        </w:drawing>
      </w:r>
    </w:p>
    <w:p w14:paraId="6EAE255A">
      <w:pPr>
        <w:adjustRightInd w:val="0"/>
        <w:spacing w:after="0" w:line="240" w:lineRule="auto"/>
        <w:jc w:val="center"/>
        <w:textAlignment w:val="baseline"/>
        <w:rPr>
          <w:rFonts w:hint="eastAsia" w:ascii="黑体" w:hAnsi="黑体" w:eastAsia="黑体" w:cs="Times New Roman"/>
          <w:color w:val="000000"/>
          <w:sz w:val="21"/>
          <w:szCs w:val="21"/>
          <w14:ligatures w14:val="none"/>
        </w:rPr>
      </w:pPr>
      <w:r>
        <w:rPr>
          <w:rFonts w:hint="eastAsia" w:ascii="黑体" w:hAnsi="黑体" w:eastAsia="黑体" w:cs="Times New Roman"/>
          <w:color w:val="000000"/>
          <w:sz w:val="21"/>
          <w:szCs w:val="21"/>
          <w14:ligatures w14:val="none"/>
        </w:rPr>
        <w:t>附图3  100个投资者预测值的对冲组合的FF5-</w:t>
      </w:r>
      <m:oMath>
        <m:r>
          <m:rPr/>
          <w:rPr>
            <w:rFonts w:hint="eastAsia" w:ascii="Cambria Math" w:hAnsi="Cambria Math" w:eastAsia="黑体" w:cs="Times New Roman"/>
            <w:color w:val="000000"/>
            <w:sz w:val="21"/>
            <w:szCs w:val="21"/>
            <w14:ligatures w14:val="none"/>
          </w:rPr>
          <m:t>α</m:t>
        </m:r>
      </m:oMath>
    </w:p>
    <w:p w14:paraId="29DBE0DD">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（2）多个神经网络模型平均的相对收益预测能力：与附图2类似，附图4展示了基于神经网络预测均值所构建对冲组合的风险调整后收益（FF5-</w:t>
      </w:r>
      <m:oMath>
        <m:r>
          <m:rPr/>
          <w:rPr>
            <w:rFonts w:hint="eastAsia" w:ascii="Cambria Math" w:hAnsi="Cambria Math" w:eastAsia="宋体" w:cs="Times New Roman"/>
            <w:color w:val="000000"/>
            <w:sz w:val="21"/>
            <w14:ligatures w14:val="none"/>
          </w:rPr>
          <m:t>α</m:t>
        </m:r>
      </m:oMath>
      <w:r>
        <w:rPr>
          <w:rFonts w:hint="eastAsia" w:ascii="Times New Roman" w:hAnsi="Times New Roman" w:eastAsia="宋体" w:cs="Times New Roman"/>
          <w:color w:val="000000"/>
          <w:sz w:val="21"/>
          <w14:ligatures w14:val="none"/>
        </w:rPr>
        <w:t>）。具体而言，横轴表示用于计算预测均值的投资者数量。例如，投资者数量75表示使用编号为1-75的投资者预测用于计算预测均值。</w:t>
      </w:r>
    </w:p>
    <w:p w14:paraId="478DE3D4">
      <w:pPr>
        <w:adjustRightInd w:val="0"/>
        <w:spacing w:after="0" w:line="240" w:lineRule="auto"/>
        <w:jc w:val="both"/>
        <w:textAlignment w:val="baseline"/>
        <w:rPr>
          <w:rFonts w:hint="eastAsia" w:ascii="黑体" w:hAnsi="黑体" w:eastAsia="黑体" w:cs="Times New Roman"/>
          <w:color w:val="000000"/>
          <w:sz w:val="21"/>
          <w:szCs w:val="21"/>
          <w14:ligatures w14:val="none"/>
        </w:rPr>
      </w:pPr>
      <w:r>
        <w:drawing>
          <wp:inline distT="0" distB="0" distL="0" distR="0">
            <wp:extent cx="5274310" cy="3129915"/>
            <wp:effectExtent l="0" t="0" r="2540" b="0"/>
            <wp:docPr id="857358029"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8029" name="图片 2" descr="图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129915"/>
                    </a:xfrm>
                    <a:prstGeom prst="rect">
                      <a:avLst/>
                    </a:prstGeom>
                    <a:noFill/>
                    <a:ln>
                      <a:noFill/>
                    </a:ln>
                  </pic:spPr>
                </pic:pic>
              </a:graphicData>
            </a:graphic>
          </wp:inline>
        </w:drawing>
      </w:r>
    </w:p>
    <w:p w14:paraId="064E77B5">
      <w:pPr>
        <w:adjustRightInd w:val="0"/>
        <w:spacing w:after="0" w:line="240" w:lineRule="auto"/>
        <w:jc w:val="center"/>
        <w:textAlignment w:val="baseline"/>
        <w:rPr>
          <w:rFonts w:hint="eastAsia" w:ascii="黑体" w:hAnsi="黑体" w:eastAsia="黑体" w:cs="Times New Roman"/>
          <w:color w:val="000000"/>
          <w:sz w:val="21"/>
          <w:szCs w:val="21"/>
          <w14:ligatures w14:val="none"/>
        </w:rPr>
      </w:pPr>
      <w:r>
        <w:rPr>
          <w:rFonts w:hint="eastAsia" w:ascii="黑体" w:hAnsi="黑体" w:eastAsia="黑体" w:cs="Times New Roman"/>
          <w:color w:val="000000"/>
          <w:sz w:val="21"/>
          <w:szCs w:val="21"/>
          <w14:ligatures w14:val="none"/>
        </w:rPr>
        <w:t>附图4  投资者预测均值的对冲组合的FF5-</w:t>
      </w:r>
      <m:oMath>
        <m:r>
          <m:rPr/>
          <w:rPr>
            <w:rFonts w:hint="eastAsia" w:ascii="Cambria Math" w:hAnsi="Cambria Math" w:eastAsia="黑体" w:cs="Times New Roman"/>
            <w:color w:val="000000"/>
            <w:sz w:val="21"/>
            <w:szCs w:val="21"/>
            <w14:ligatures w14:val="none"/>
          </w:rPr>
          <m:t>α</m:t>
        </m:r>
      </m:oMath>
    </w:p>
    <w:p w14:paraId="0A1F7896">
      <w:pPr>
        <w:widowControl/>
        <w:spacing w:after="0" w:line="240" w:lineRule="auto"/>
        <w:ind w:firstLine="420" w:firstLineChars="200"/>
        <w:jc w:val="both"/>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需要说明的是，本文模拟了100个独立的神经网络以代表100个异质性投资者，为了确保模型在时间序列上的可比性，这100个投资者在整个288期的样本区间内是持续存在的，且每个神经网络的内部结构（例如，隐藏层有100个神经元）也保持不变。投资者的异质性主要通过两种机制引入，分别对应了本文在文献综述中阐述的“信息获取”和“解读方式”两大分歧来源。在核心模型中，本文依据“解读方式”这一来源进行模型设定，所有投资者接收完全相同的包含105个公司特征的信息集，其异质性来源于对这个相同信息集的“认知框架”不同。本文通过为每个投资者设定一个独一无二且固定不变的随机权重矩阵，来模拟投资者因认知能力、教育背景等差异而形成的稳定“信息解读模式”。同时，每个投资者并不能获取其他投资者的准确预期，均为各自独立地做出预测。</w:t>
      </w:r>
      <w:r>
        <w:rPr>
          <w:rFonts w:ascii="Times New Roman" w:hAnsi="Times New Roman" w:eastAsia="宋体" w:cs="Times New Roman"/>
          <w:color w:val="000000"/>
          <w:sz w:val="21"/>
          <w14:ligatures w14:val="none"/>
        </w:rPr>
        <w:br w:type="page"/>
      </w:r>
    </w:p>
    <w:p w14:paraId="7461CBBC">
      <w:pPr>
        <w:keepNext/>
        <w:spacing w:before="120" w:after="120" w:line="240" w:lineRule="auto"/>
        <w:ind w:firstLine="420" w:firstLineChars="200"/>
        <w:jc w:val="both"/>
        <w:outlineLvl w:val="1"/>
        <w:rPr>
          <w:rFonts w:ascii="Times New Roman" w:hAnsi="Times New Roman" w:eastAsia="黑体" w:cs="Times New Roman"/>
          <w:bCs/>
          <w:iCs/>
          <w:color w:val="000000"/>
          <w:sz w:val="21"/>
          <w14:ligatures w14:val="none"/>
        </w:rPr>
      </w:pPr>
      <w:r>
        <w:rPr>
          <w:rFonts w:hint="eastAsia" w:ascii="Times New Roman" w:hAnsi="Times New Roman" w:eastAsia="黑体" w:cs="Times New Roman"/>
          <w:bCs/>
          <w:iCs/>
          <w:color w:val="000000"/>
          <w:sz w:val="21"/>
          <w14:ligatures w14:val="none"/>
        </w:rPr>
        <w:t>附录3：不同预期水平的横截面分析</w:t>
      </w:r>
    </w:p>
    <w:p w14:paraId="66D1E2CE">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sz w:val="21"/>
          <w14:ligatures w14:val="none"/>
        </w:rPr>
        <w:t>附表</w:t>
      </w:r>
      <w:r>
        <w:rPr>
          <w:rFonts w:ascii="Times New Roman" w:hAnsi="Times New Roman" w:eastAsia="宋体" w:cs="Times New Roman"/>
          <w:sz w:val="21"/>
          <w14:ligatures w14:val="none"/>
        </w:rPr>
        <w:t>2</w:t>
      </w:r>
      <w:r>
        <w:rPr>
          <w:rFonts w:hint="eastAsia" w:ascii="Times New Roman" w:hAnsi="Times New Roman" w:eastAsia="宋体" w:cs="Times New Roman"/>
          <w:sz w:val="21"/>
          <w14:ligatures w14:val="none"/>
        </w:rPr>
        <w:t>展示了基于投资者平均预期（</w:t>
      </w:r>
      <w:r>
        <w:rPr>
          <w:rFonts w:ascii="Times New Roman" w:hAnsi="Times New Roman" w:eastAsia="宋体" w:cs="Times New Roman"/>
          <w:sz w:val="21"/>
          <w14:ligatures w14:val="none"/>
        </w:rPr>
        <w:t>Mean Forecast</w:t>
      </w:r>
      <w:r>
        <w:rPr>
          <w:rFonts w:hint="eastAsia" w:ascii="Times New Roman" w:hAnsi="Times New Roman" w:eastAsia="宋体" w:cs="Times New Roman"/>
          <w:sz w:val="21"/>
          <w14:ligatures w14:val="none"/>
        </w:rPr>
        <w:t>，</w:t>
      </w:r>
      <w:r>
        <w:rPr>
          <w:rFonts w:ascii="Times New Roman" w:hAnsi="Times New Roman" w:eastAsia="宋体" w:cs="Times New Roman"/>
          <w:sz w:val="21"/>
          <w14:ligatures w14:val="none"/>
        </w:rPr>
        <w:t xml:space="preserve"> MF</w:t>
      </w:r>
      <w:r>
        <w:rPr>
          <w:rFonts w:hint="eastAsia" w:ascii="Times New Roman" w:hAnsi="Times New Roman" w:eastAsia="宋体" w:cs="Times New Roman"/>
          <w:sz w:val="21"/>
          <w14:ligatures w14:val="none"/>
        </w:rPr>
        <w:t>）和预期协同的双变量组合分析结果。本文首先按月度将所有股票根据平均预期（</w:t>
      </w:r>
      <w:r>
        <w:rPr>
          <w:rFonts w:ascii="Times New Roman" w:hAnsi="Times New Roman" w:eastAsia="宋体" w:cs="Times New Roman"/>
          <w:sz w:val="21"/>
          <w14:ligatures w14:val="none"/>
        </w:rPr>
        <w:t>MF</w:t>
      </w:r>
      <w:r>
        <w:rPr>
          <w:rFonts w:hint="eastAsia" w:ascii="Times New Roman" w:hAnsi="Times New Roman" w:eastAsia="宋体" w:cs="Times New Roman"/>
          <w:sz w:val="21"/>
          <w14:ligatures w14:val="none"/>
        </w:rPr>
        <w:t>）分为三组（低、中、高），然后在每个</w:t>
      </w:r>
      <w:r>
        <w:rPr>
          <w:rFonts w:ascii="Times New Roman" w:hAnsi="Times New Roman" w:eastAsia="宋体" w:cs="Times New Roman"/>
          <w:sz w:val="21"/>
          <w14:ligatures w14:val="none"/>
        </w:rPr>
        <w:t>MF</w:t>
      </w:r>
      <w:r>
        <w:rPr>
          <w:rFonts w:hint="eastAsia" w:ascii="Times New Roman" w:hAnsi="Times New Roman" w:eastAsia="宋体" w:cs="Times New Roman"/>
          <w:sz w:val="21"/>
          <w14:ligatures w14:val="none"/>
        </w:rPr>
        <w:t>组内部，再根据预期协同程度（“</w:t>
      </w:r>
      <w:r>
        <w:rPr>
          <w:rFonts w:ascii="Times New Roman" w:hAnsi="Times New Roman" w:eastAsia="宋体" w:cs="Times New Roman"/>
          <w:sz w:val="21"/>
          <w14:ligatures w14:val="none"/>
        </w:rPr>
        <w:t>1</w:t>
      </w:r>
      <w:r>
        <w:rPr>
          <w:rFonts w:hint="eastAsia" w:ascii="Times New Roman" w:hAnsi="Times New Roman" w:eastAsia="宋体" w:cs="Times New Roman"/>
          <w:sz w:val="21"/>
          <w14:ligatures w14:val="none"/>
        </w:rPr>
        <w:t>”表示预期协同度最高，“</w:t>
      </w:r>
      <w:r>
        <w:rPr>
          <w:rFonts w:ascii="Times New Roman" w:hAnsi="Times New Roman" w:eastAsia="宋体" w:cs="Times New Roman"/>
          <w:sz w:val="21"/>
          <w14:ligatures w14:val="none"/>
        </w:rPr>
        <w:t>10</w:t>
      </w:r>
      <w:r>
        <w:rPr>
          <w:rFonts w:hint="eastAsia" w:ascii="Times New Roman" w:hAnsi="Times New Roman" w:eastAsia="宋体" w:cs="Times New Roman"/>
          <w:sz w:val="21"/>
          <w14:ligatures w14:val="none"/>
        </w:rPr>
        <w:t>”表示预期协同度最低）从高到低分为十组，共计30（3×10）个投资组合，每个组合中均展示了股票未来的真实收益（未来收益）与投资者的预测收益（预测均值）。</w:t>
      </w:r>
    </w:p>
    <w:p w14:paraId="1CF6EE40">
      <w:pPr>
        <w:spacing w:after="0" w:line="240" w:lineRule="auto"/>
        <w:jc w:val="center"/>
        <w:rPr>
          <w:rFonts w:hint="eastAsia" w:ascii="黑体" w:hAnsi="黑体" w:eastAsia="黑体" w:cs="宋体"/>
          <w:color w:val="0070C0"/>
          <w:sz w:val="28"/>
          <w:szCs w:val="28"/>
          <w14:ligatures w14:val="none"/>
        </w:rPr>
      </w:pPr>
      <w:r>
        <w:rPr>
          <w:rFonts w:hint="eastAsia" w:ascii="黑体" w:hAnsi="黑体" w:eastAsia="黑体" w:cs="Times New Roman"/>
          <w:color w:val="000000"/>
          <w:sz w:val="21"/>
          <w14:ligatures w14:val="none"/>
        </w:rPr>
        <w:t>附表</w:t>
      </w:r>
      <w:r>
        <w:rPr>
          <w:rFonts w:ascii="黑体" w:hAnsi="黑体" w:eastAsia="黑体" w:cs="Times New Roman"/>
          <w:color w:val="000000"/>
          <w:sz w:val="21"/>
          <w14:ligatures w14:val="none"/>
        </w:rPr>
        <w:t>2</w:t>
      </w:r>
      <w:r>
        <w:rPr>
          <w:rFonts w:hint="eastAsia" w:ascii="黑体" w:hAnsi="黑体" w:eastAsia="黑体" w:cs="Times New Roman"/>
          <w:color w:val="000000"/>
          <w:sz w:val="21"/>
          <w14:ligatures w14:val="none"/>
        </w:rPr>
        <w:t xml:space="preserve">  投资者平均预期与预期协同的双变量组合分析</w:t>
      </w:r>
    </w:p>
    <w:tbl>
      <w:tblPr>
        <w:tblStyle w:val="26"/>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1219"/>
        <w:gridCol w:w="1219"/>
        <w:gridCol w:w="1219"/>
        <w:gridCol w:w="1219"/>
        <w:gridCol w:w="1219"/>
        <w:gridCol w:w="1207"/>
      </w:tblGrid>
      <w:tr w14:paraId="7A4364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16" w:type="pct"/>
            <w:vMerge w:val="restart"/>
            <w:noWrap/>
            <w:vAlign w:val="center"/>
          </w:tcPr>
          <w:p w14:paraId="481ED8ED">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投资组合</w:t>
            </w:r>
          </w:p>
        </w:tc>
        <w:tc>
          <w:tcPr>
            <w:tcW w:w="1430" w:type="pct"/>
            <w:gridSpan w:val="2"/>
            <w:noWrap/>
            <w:vAlign w:val="center"/>
          </w:tcPr>
          <w:p w14:paraId="39E0CB9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低MF</w:t>
            </w:r>
          </w:p>
        </w:tc>
        <w:tc>
          <w:tcPr>
            <w:tcW w:w="1430" w:type="pct"/>
            <w:gridSpan w:val="2"/>
            <w:noWrap/>
            <w:vAlign w:val="center"/>
          </w:tcPr>
          <w:p w14:paraId="222A38BD">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中MF</w:t>
            </w:r>
          </w:p>
        </w:tc>
        <w:tc>
          <w:tcPr>
            <w:tcW w:w="1423" w:type="pct"/>
            <w:gridSpan w:val="2"/>
            <w:vAlign w:val="center"/>
          </w:tcPr>
          <w:p w14:paraId="57412C0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高MF</w:t>
            </w:r>
          </w:p>
        </w:tc>
      </w:tr>
      <w:tr w14:paraId="6885E6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716" w:type="pct"/>
            <w:vMerge w:val="continue"/>
            <w:vAlign w:val="center"/>
          </w:tcPr>
          <w:p w14:paraId="06777A82">
            <w:pPr>
              <w:widowControl/>
              <w:snapToGrid w:val="0"/>
              <w:spacing w:after="0" w:line="400" w:lineRule="atLeast"/>
              <w:rPr>
                <w:rFonts w:ascii="Times New Roman" w:hAnsi="Times New Roman" w:eastAsia="宋体" w:cs="Times New Roman"/>
                <w:color w:val="000000"/>
                <w:kern w:val="0"/>
                <w:sz w:val="21"/>
                <w:szCs w:val="21"/>
                <w14:ligatures w14:val="none"/>
              </w:rPr>
            </w:pPr>
          </w:p>
        </w:tc>
        <w:tc>
          <w:tcPr>
            <w:tcW w:w="715" w:type="pct"/>
            <w:noWrap/>
            <w:vAlign w:val="center"/>
          </w:tcPr>
          <w:p w14:paraId="0D36B7ED">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未来收益</w:t>
            </w:r>
          </w:p>
        </w:tc>
        <w:tc>
          <w:tcPr>
            <w:tcW w:w="715" w:type="pct"/>
            <w:noWrap/>
            <w:vAlign w:val="center"/>
          </w:tcPr>
          <w:p w14:paraId="073AB606">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预测均值</w:t>
            </w:r>
          </w:p>
        </w:tc>
        <w:tc>
          <w:tcPr>
            <w:tcW w:w="715" w:type="pct"/>
            <w:noWrap/>
            <w:vAlign w:val="center"/>
          </w:tcPr>
          <w:p w14:paraId="44155043">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未来收益</w:t>
            </w:r>
          </w:p>
        </w:tc>
        <w:tc>
          <w:tcPr>
            <w:tcW w:w="715" w:type="pct"/>
            <w:noWrap/>
            <w:vAlign w:val="center"/>
          </w:tcPr>
          <w:p w14:paraId="00B4F9E1">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预测均值</w:t>
            </w:r>
          </w:p>
        </w:tc>
        <w:tc>
          <w:tcPr>
            <w:tcW w:w="715" w:type="pct"/>
            <w:vAlign w:val="center"/>
          </w:tcPr>
          <w:p w14:paraId="4D67AAAF">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未来收益</w:t>
            </w:r>
          </w:p>
        </w:tc>
        <w:tc>
          <w:tcPr>
            <w:tcW w:w="708" w:type="pct"/>
            <w:vAlign w:val="center"/>
          </w:tcPr>
          <w:p w14:paraId="1D0BCB6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预测均值</w:t>
            </w:r>
          </w:p>
        </w:tc>
      </w:tr>
      <w:tr w14:paraId="19FD01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73E8F1C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1</w:t>
            </w:r>
          </w:p>
        </w:tc>
        <w:tc>
          <w:tcPr>
            <w:tcW w:w="715" w:type="pct"/>
            <w:noWrap/>
            <w:vAlign w:val="center"/>
          </w:tcPr>
          <w:p w14:paraId="30ED8D73">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1.</w:t>
            </w:r>
            <w:r>
              <w:rPr>
                <w:rFonts w:hint="eastAsia" w:ascii="Times New Roman" w:hAnsi="Times New Roman" w:eastAsia="宋体" w:cs="Times New Roman"/>
                <w:color w:val="000000"/>
                <w:kern w:val="0"/>
                <w:sz w:val="21"/>
                <w:szCs w:val="21"/>
                <w14:ligatures w14:val="none"/>
              </w:rPr>
              <w:t>12*</w:t>
            </w:r>
          </w:p>
          <w:p w14:paraId="73EA74F0">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[1.6</w:t>
            </w:r>
            <w:r>
              <w:rPr>
                <w:rFonts w:hint="eastAsia" w:ascii="Times New Roman" w:hAnsi="Times New Roman" w:eastAsia="宋体" w:cs="Times New Roman"/>
                <w:color w:val="000000"/>
                <w:kern w:val="0"/>
                <w:sz w:val="21"/>
                <w:szCs w:val="21"/>
                <w14:ligatures w14:val="none"/>
              </w:rPr>
              <w:t>9</w:t>
            </w:r>
            <w:r>
              <w:rPr>
                <w:rFonts w:ascii="Times New Roman" w:hAnsi="Times New Roman" w:eastAsia="宋体" w:cs="Times New Roman"/>
                <w:color w:val="000000"/>
                <w:kern w:val="0"/>
                <w:sz w:val="21"/>
                <w:szCs w:val="21"/>
                <w14:ligatures w14:val="none"/>
              </w:rPr>
              <w:t>]</w:t>
            </w:r>
          </w:p>
        </w:tc>
        <w:tc>
          <w:tcPr>
            <w:tcW w:w="715" w:type="pct"/>
            <w:noWrap/>
            <w:vAlign w:val="center"/>
          </w:tcPr>
          <w:p w14:paraId="57B806C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-1.83***</w:t>
            </w:r>
          </w:p>
          <w:p w14:paraId="04951A6B">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-4.41</w:t>
            </w:r>
            <w:r>
              <w:rPr>
                <w:rFonts w:ascii="Times New Roman" w:hAnsi="Times New Roman" w:eastAsia="宋体" w:cs="Times New Roman"/>
                <w:color w:val="000000"/>
                <w:kern w:val="0"/>
                <w:sz w:val="21"/>
                <w:szCs w:val="21"/>
                <w14:ligatures w14:val="none"/>
              </w:rPr>
              <w:t>]</w:t>
            </w:r>
          </w:p>
        </w:tc>
        <w:tc>
          <w:tcPr>
            <w:tcW w:w="715" w:type="pct"/>
            <w:noWrap/>
            <w:vAlign w:val="center"/>
          </w:tcPr>
          <w:p w14:paraId="1A92AEB3">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1.</w:t>
            </w:r>
            <w:r>
              <w:rPr>
                <w:rFonts w:hint="eastAsia" w:ascii="Times New Roman" w:hAnsi="Times New Roman" w:eastAsia="宋体" w:cs="Times New Roman"/>
                <w:color w:val="000000"/>
                <w:kern w:val="0"/>
                <w:sz w:val="21"/>
                <w:szCs w:val="21"/>
                <w14:ligatures w14:val="none"/>
              </w:rPr>
              <w:t>20*</w:t>
            </w:r>
          </w:p>
          <w:p w14:paraId="4E2E418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[1.</w:t>
            </w:r>
            <w:r>
              <w:rPr>
                <w:rFonts w:hint="eastAsia" w:ascii="Times New Roman" w:hAnsi="Times New Roman" w:eastAsia="宋体" w:cs="Times New Roman"/>
                <w:color w:val="000000"/>
                <w:kern w:val="0"/>
                <w:sz w:val="21"/>
                <w:szCs w:val="21"/>
                <w14:ligatures w14:val="none"/>
              </w:rPr>
              <w:t>88</w:t>
            </w:r>
            <w:r>
              <w:rPr>
                <w:rFonts w:ascii="Times New Roman" w:hAnsi="Times New Roman" w:eastAsia="宋体" w:cs="Times New Roman"/>
                <w:color w:val="000000"/>
                <w:kern w:val="0"/>
                <w:sz w:val="21"/>
                <w:szCs w:val="21"/>
                <w14:ligatures w14:val="none"/>
              </w:rPr>
              <w:t>]</w:t>
            </w:r>
          </w:p>
        </w:tc>
        <w:tc>
          <w:tcPr>
            <w:tcW w:w="715" w:type="pct"/>
            <w:noWrap/>
            <w:vAlign w:val="center"/>
          </w:tcPr>
          <w:p w14:paraId="602CF65C">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0.6</w:t>
            </w:r>
            <w:r>
              <w:rPr>
                <w:rFonts w:hint="eastAsia" w:ascii="Times New Roman" w:hAnsi="Times New Roman" w:eastAsia="宋体" w:cs="Times New Roman"/>
                <w:color w:val="000000"/>
                <w:kern w:val="0"/>
                <w:sz w:val="21"/>
                <w:szCs w:val="21"/>
                <w14:ligatures w14:val="none"/>
              </w:rPr>
              <w:t>5</w:t>
            </w:r>
          </w:p>
          <w:p w14:paraId="5F95A5B2">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[1.</w:t>
            </w:r>
            <w:r>
              <w:rPr>
                <w:rFonts w:hint="eastAsia" w:ascii="Times New Roman" w:hAnsi="Times New Roman" w:eastAsia="宋体" w:cs="Times New Roman"/>
                <w:color w:val="000000"/>
                <w:kern w:val="0"/>
                <w:sz w:val="21"/>
                <w:szCs w:val="21"/>
                <w14:ligatures w14:val="none"/>
              </w:rPr>
              <w:t>46</w:t>
            </w:r>
            <w:r>
              <w:rPr>
                <w:rFonts w:ascii="Times New Roman" w:hAnsi="Times New Roman" w:eastAsia="宋体" w:cs="Times New Roman"/>
                <w:color w:val="000000"/>
                <w:kern w:val="0"/>
                <w:sz w:val="21"/>
                <w:szCs w:val="21"/>
                <w14:ligatures w14:val="none"/>
              </w:rPr>
              <w:t>]</w:t>
            </w:r>
          </w:p>
        </w:tc>
        <w:tc>
          <w:tcPr>
            <w:tcW w:w="715" w:type="pct"/>
            <w:vAlign w:val="center"/>
          </w:tcPr>
          <w:p w14:paraId="2744A47D">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1.58***</w:t>
            </w:r>
          </w:p>
          <w:p w14:paraId="7D8C0989">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2.59</w:t>
            </w:r>
            <w:r>
              <w:rPr>
                <w:rFonts w:ascii="Times New Roman" w:hAnsi="Times New Roman" w:eastAsia="宋体" w:cs="Times New Roman"/>
                <w:color w:val="000000"/>
                <w:kern w:val="0"/>
                <w:sz w:val="21"/>
                <w:szCs w:val="21"/>
                <w14:ligatures w14:val="none"/>
              </w:rPr>
              <w:t>]</w:t>
            </w:r>
          </w:p>
        </w:tc>
        <w:tc>
          <w:tcPr>
            <w:tcW w:w="708" w:type="pct"/>
            <w:vAlign w:val="center"/>
          </w:tcPr>
          <w:p w14:paraId="014BC68B">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3.18*</w:t>
            </w:r>
            <w:r>
              <w:rPr>
                <w:rFonts w:ascii="Times New Roman" w:hAnsi="Times New Roman" w:eastAsia="宋体" w:cs="Times New Roman"/>
                <w:color w:val="000000"/>
                <w:kern w:val="0"/>
                <w:sz w:val="21"/>
                <w:szCs w:val="21"/>
                <w14:ligatures w14:val="none"/>
              </w:rPr>
              <w:t>**</w:t>
            </w:r>
          </w:p>
          <w:p w14:paraId="0056B8D2">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5.95</w:t>
            </w:r>
            <w:r>
              <w:rPr>
                <w:rFonts w:ascii="Times New Roman" w:hAnsi="Times New Roman" w:eastAsia="宋体" w:cs="Times New Roman"/>
                <w:color w:val="000000"/>
                <w:kern w:val="0"/>
                <w:sz w:val="21"/>
                <w:szCs w:val="21"/>
                <w14:ligatures w14:val="none"/>
              </w:rPr>
              <w:t>]</w:t>
            </w:r>
          </w:p>
        </w:tc>
      </w:tr>
      <w:tr w14:paraId="20B2A8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54F7F956">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2</w:t>
            </w:r>
          </w:p>
        </w:tc>
        <w:tc>
          <w:tcPr>
            <w:tcW w:w="715" w:type="pct"/>
            <w:noWrap/>
            <w:vAlign w:val="center"/>
          </w:tcPr>
          <w:p w14:paraId="632CEEA6">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0.64</w:t>
            </w:r>
          </w:p>
          <w:p w14:paraId="5999D7C9">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[1.04]</w:t>
            </w:r>
          </w:p>
        </w:tc>
        <w:tc>
          <w:tcPr>
            <w:tcW w:w="715" w:type="pct"/>
            <w:noWrap/>
            <w:vAlign w:val="center"/>
          </w:tcPr>
          <w:p w14:paraId="0E0623B6">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-1.97***</w:t>
            </w:r>
          </w:p>
          <w:p w14:paraId="7DF82743">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[-4.67]</w:t>
            </w:r>
          </w:p>
        </w:tc>
        <w:tc>
          <w:tcPr>
            <w:tcW w:w="715" w:type="pct"/>
            <w:noWrap/>
            <w:vAlign w:val="center"/>
          </w:tcPr>
          <w:p w14:paraId="025B3218">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1.15*</w:t>
            </w:r>
          </w:p>
          <w:p w14:paraId="12A6B25E">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[1.91]</w:t>
            </w:r>
          </w:p>
        </w:tc>
        <w:tc>
          <w:tcPr>
            <w:tcW w:w="715" w:type="pct"/>
            <w:noWrap/>
            <w:vAlign w:val="center"/>
          </w:tcPr>
          <w:p w14:paraId="2C2319CE">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0.64</w:t>
            </w:r>
          </w:p>
          <w:p w14:paraId="20158349">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[1.44]</w:t>
            </w:r>
          </w:p>
        </w:tc>
        <w:tc>
          <w:tcPr>
            <w:tcW w:w="715" w:type="pct"/>
            <w:vAlign w:val="center"/>
          </w:tcPr>
          <w:p w14:paraId="02890FA1">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1.38**</w:t>
            </w:r>
          </w:p>
          <w:p w14:paraId="48E5E8A6">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[2.20]</w:t>
            </w:r>
          </w:p>
        </w:tc>
        <w:tc>
          <w:tcPr>
            <w:tcW w:w="708" w:type="pct"/>
            <w:vAlign w:val="center"/>
          </w:tcPr>
          <w:p w14:paraId="3AC1CF6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3.30***</w:t>
            </w:r>
          </w:p>
          <w:p w14:paraId="371AF841">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[6.06]</w:t>
            </w:r>
          </w:p>
        </w:tc>
      </w:tr>
      <w:tr w14:paraId="4A2D09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4B8512C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3</w:t>
            </w:r>
          </w:p>
        </w:tc>
        <w:tc>
          <w:tcPr>
            <w:tcW w:w="715" w:type="pct"/>
            <w:noWrap/>
            <w:vAlign w:val="center"/>
          </w:tcPr>
          <w:p w14:paraId="44266154">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0.74</w:t>
            </w:r>
          </w:p>
          <w:p w14:paraId="3B7CCB29">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[1.20]</w:t>
            </w:r>
          </w:p>
        </w:tc>
        <w:tc>
          <w:tcPr>
            <w:tcW w:w="715" w:type="pct"/>
            <w:noWrap/>
            <w:vAlign w:val="center"/>
          </w:tcPr>
          <w:p w14:paraId="31893B2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-2.02***</w:t>
            </w:r>
          </w:p>
          <w:p w14:paraId="3D8ABA70">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[-4.72]</w:t>
            </w:r>
          </w:p>
        </w:tc>
        <w:tc>
          <w:tcPr>
            <w:tcW w:w="715" w:type="pct"/>
            <w:noWrap/>
            <w:vAlign w:val="center"/>
          </w:tcPr>
          <w:p w14:paraId="2768CCC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0.92</w:t>
            </w:r>
          </w:p>
          <w:p w14:paraId="5D011E4B">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[1.46]</w:t>
            </w:r>
          </w:p>
        </w:tc>
        <w:tc>
          <w:tcPr>
            <w:tcW w:w="715" w:type="pct"/>
            <w:noWrap/>
            <w:vAlign w:val="center"/>
          </w:tcPr>
          <w:p w14:paraId="7977972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0.63</w:t>
            </w:r>
          </w:p>
          <w:p w14:paraId="0EF4075B">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[1.41]</w:t>
            </w:r>
          </w:p>
        </w:tc>
        <w:tc>
          <w:tcPr>
            <w:tcW w:w="715" w:type="pct"/>
            <w:vAlign w:val="center"/>
          </w:tcPr>
          <w:p w14:paraId="2A30CABF">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1.49**</w:t>
            </w:r>
          </w:p>
          <w:p w14:paraId="7A582C2A">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[2.34]</w:t>
            </w:r>
          </w:p>
        </w:tc>
        <w:tc>
          <w:tcPr>
            <w:tcW w:w="708" w:type="pct"/>
            <w:vAlign w:val="center"/>
          </w:tcPr>
          <w:p w14:paraId="51956991">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3.46***</w:t>
            </w:r>
          </w:p>
          <w:p w14:paraId="23A348D0">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[6.24]</w:t>
            </w:r>
          </w:p>
        </w:tc>
      </w:tr>
      <w:tr w14:paraId="551C10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618ECF2F">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4</w:t>
            </w:r>
          </w:p>
        </w:tc>
        <w:tc>
          <w:tcPr>
            <w:tcW w:w="715" w:type="pct"/>
            <w:noWrap/>
            <w:vAlign w:val="center"/>
          </w:tcPr>
          <w:p w14:paraId="60862D47">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0.63</w:t>
            </w:r>
          </w:p>
          <w:p w14:paraId="630C3CF1">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[1.08]</w:t>
            </w:r>
          </w:p>
        </w:tc>
        <w:tc>
          <w:tcPr>
            <w:tcW w:w="715" w:type="pct"/>
            <w:noWrap/>
            <w:vAlign w:val="center"/>
          </w:tcPr>
          <w:p w14:paraId="5657226E">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-2.10***</w:t>
            </w:r>
          </w:p>
          <w:p w14:paraId="678AD4C5">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[-4.94]</w:t>
            </w:r>
          </w:p>
        </w:tc>
        <w:tc>
          <w:tcPr>
            <w:tcW w:w="715" w:type="pct"/>
            <w:noWrap/>
            <w:vAlign w:val="center"/>
          </w:tcPr>
          <w:p w14:paraId="2754A8B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0.87</w:t>
            </w:r>
          </w:p>
          <w:p w14:paraId="3F74C106">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[1.46]</w:t>
            </w:r>
          </w:p>
        </w:tc>
        <w:tc>
          <w:tcPr>
            <w:tcW w:w="715" w:type="pct"/>
            <w:noWrap/>
            <w:vAlign w:val="center"/>
          </w:tcPr>
          <w:p w14:paraId="2CCA2B7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0.64</w:t>
            </w:r>
          </w:p>
          <w:p w14:paraId="7D1DDB9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[1.43]</w:t>
            </w:r>
          </w:p>
        </w:tc>
        <w:tc>
          <w:tcPr>
            <w:tcW w:w="715" w:type="pct"/>
            <w:vAlign w:val="center"/>
          </w:tcPr>
          <w:p w14:paraId="564B573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1.35**</w:t>
            </w:r>
          </w:p>
          <w:p w14:paraId="6EF4EAF3">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[2.28]</w:t>
            </w:r>
          </w:p>
        </w:tc>
        <w:tc>
          <w:tcPr>
            <w:tcW w:w="708" w:type="pct"/>
            <w:vAlign w:val="center"/>
          </w:tcPr>
          <w:p w14:paraId="3DF40A3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3.53***</w:t>
            </w:r>
          </w:p>
          <w:p w14:paraId="44E660CA">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[6.34]</w:t>
            </w:r>
          </w:p>
        </w:tc>
      </w:tr>
      <w:tr w14:paraId="7DD94E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05DA1DF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5</w:t>
            </w:r>
          </w:p>
        </w:tc>
        <w:tc>
          <w:tcPr>
            <w:tcW w:w="715" w:type="pct"/>
            <w:noWrap/>
            <w:vAlign w:val="center"/>
          </w:tcPr>
          <w:p w14:paraId="739B0063">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0.60</w:t>
            </w:r>
          </w:p>
          <w:p w14:paraId="34171B2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[1.01]</w:t>
            </w:r>
          </w:p>
        </w:tc>
        <w:tc>
          <w:tcPr>
            <w:tcW w:w="715" w:type="pct"/>
            <w:noWrap/>
            <w:vAlign w:val="center"/>
          </w:tcPr>
          <w:p w14:paraId="65CEC83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-2.25***</w:t>
            </w:r>
          </w:p>
          <w:p w14:paraId="757A538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[-5.16]</w:t>
            </w:r>
          </w:p>
        </w:tc>
        <w:tc>
          <w:tcPr>
            <w:tcW w:w="715" w:type="pct"/>
            <w:noWrap/>
            <w:vAlign w:val="center"/>
          </w:tcPr>
          <w:p w14:paraId="672B0DD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1.07*</w:t>
            </w:r>
          </w:p>
          <w:p w14:paraId="01DDA236">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[1.77]</w:t>
            </w:r>
          </w:p>
        </w:tc>
        <w:tc>
          <w:tcPr>
            <w:tcW w:w="715" w:type="pct"/>
            <w:noWrap/>
            <w:vAlign w:val="center"/>
          </w:tcPr>
          <w:p w14:paraId="2052037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0.65</w:t>
            </w:r>
          </w:p>
          <w:p w14:paraId="2EA4AA7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[1.45]</w:t>
            </w:r>
          </w:p>
        </w:tc>
        <w:tc>
          <w:tcPr>
            <w:tcW w:w="715" w:type="pct"/>
            <w:vAlign w:val="center"/>
          </w:tcPr>
          <w:p w14:paraId="66317B58">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1.21**</w:t>
            </w:r>
          </w:p>
          <w:p w14:paraId="2BB2C3DA">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[2.01]</w:t>
            </w:r>
          </w:p>
        </w:tc>
        <w:tc>
          <w:tcPr>
            <w:tcW w:w="708" w:type="pct"/>
            <w:vAlign w:val="center"/>
          </w:tcPr>
          <w:p w14:paraId="35416A32">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3.62***</w:t>
            </w:r>
          </w:p>
          <w:p w14:paraId="04103BF8">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[6.51]</w:t>
            </w:r>
          </w:p>
        </w:tc>
      </w:tr>
      <w:tr w14:paraId="4BEB33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12BA4B08">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6</w:t>
            </w:r>
          </w:p>
        </w:tc>
        <w:tc>
          <w:tcPr>
            <w:tcW w:w="715" w:type="pct"/>
            <w:noWrap/>
            <w:vAlign w:val="center"/>
          </w:tcPr>
          <w:p w14:paraId="27968A48">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0.44</w:t>
            </w:r>
          </w:p>
          <w:p w14:paraId="338DDFA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[0.71]</w:t>
            </w:r>
          </w:p>
        </w:tc>
        <w:tc>
          <w:tcPr>
            <w:tcW w:w="715" w:type="pct"/>
            <w:noWrap/>
            <w:vAlign w:val="center"/>
          </w:tcPr>
          <w:p w14:paraId="21A28C0E">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-2.43***</w:t>
            </w:r>
          </w:p>
          <w:p w14:paraId="64C9D113">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[-5.49]</w:t>
            </w:r>
          </w:p>
        </w:tc>
        <w:tc>
          <w:tcPr>
            <w:tcW w:w="715" w:type="pct"/>
            <w:noWrap/>
            <w:vAlign w:val="center"/>
          </w:tcPr>
          <w:p w14:paraId="39107C23">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1.06*</w:t>
            </w:r>
          </w:p>
          <w:p w14:paraId="55A366D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[1.73]</w:t>
            </w:r>
          </w:p>
        </w:tc>
        <w:tc>
          <w:tcPr>
            <w:tcW w:w="715" w:type="pct"/>
            <w:noWrap/>
            <w:vAlign w:val="center"/>
          </w:tcPr>
          <w:p w14:paraId="7921303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0.68</w:t>
            </w:r>
          </w:p>
          <w:p w14:paraId="78AD2B41">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[1.49]</w:t>
            </w:r>
          </w:p>
        </w:tc>
        <w:tc>
          <w:tcPr>
            <w:tcW w:w="715" w:type="pct"/>
            <w:vAlign w:val="center"/>
          </w:tcPr>
          <w:p w14:paraId="306915E7">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1.22**</w:t>
            </w:r>
          </w:p>
          <w:p w14:paraId="016EC173">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[2.06]</w:t>
            </w:r>
          </w:p>
        </w:tc>
        <w:tc>
          <w:tcPr>
            <w:tcW w:w="708" w:type="pct"/>
            <w:vAlign w:val="center"/>
          </w:tcPr>
          <w:p w14:paraId="155C104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3.77***</w:t>
            </w:r>
          </w:p>
          <w:p w14:paraId="110019D1">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[6.77]</w:t>
            </w:r>
          </w:p>
        </w:tc>
      </w:tr>
      <w:tr w14:paraId="295637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1E81CF8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7</w:t>
            </w:r>
          </w:p>
        </w:tc>
        <w:tc>
          <w:tcPr>
            <w:tcW w:w="715" w:type="pct"/>
            <w:noWrap/>
            <w:vAlign w:val="center"/>
          </w:tcPr>
          <w:p w14:paraId="5C189903">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0.68</w:t>
            </w:r>
          </w:p>
          <w:p w14:paraId="0854054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[1.11]</w:t>
            </w:r>
          </w:p>
        </w:tc>
        <w:tc>
          <w:tcPr>
            <w:tcW w:w="715" w:type="pct"/>
            <w:noWrap/>
            <w:vAlign w:val="center"/>
          </w:tcPr>
          <w:p w14:paraId="4F76D18D">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-2.48***</w:t>
            </w:r>
          </w:p>
          <w:p w14:paraId="1A5C168B">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[-5.51]</w:t>
            </w:r>
          </w:p>
        </w:tc>
        <w:tc>
          <w:tcPr>
            <w:tcW w:w="715" w:type="pct"/>
            <w:noWrap/>
            <w:vAlign w:val="center"/>
          </w:tcPr>
          <w:p w14:paraId="3754FB97">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1.00*</w:t>
            </w:r>
          </w:p>
          <w:p w14:paraId="0B48785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[1.68]</w:t>
            </w:r>
          </w:p>
        </w:tc>
        <w:tc>
          <w:tcPr>
            <w:tcW w:w="715" w:type="pct"/>
            <w:noWrap/>
            <w:vAlign w:val="center"/>
          </w:tcPr>
          <w:p w14:paraId="1FA6D251">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0.67</w:t>
            </w:r>
          </w:p>
          <w:p w14:paraId="763E31BE">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[1.48]</w:t>
            </w:r>
          </w:p>
        </w:tc>
        <w:tc>
          <w:tcPr>
            <w:tcW w:w="715" w:type="pct"/>
            <w:vAlign w:val="center"/>
          </w:tcPr>
          <w:p w14:paraId="35FC5BAF">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1.11*</w:t>
            </w:r>
          </w:p>
          <w:p w14:paraId="6F800370">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[1.73]</w:t>
            </w:r>
          </w:p>
        </w:tc>
        <w:tc>
          <w:tcPr>
            <w:tcW w:w="708" w:type="pct"/>
            <w:vAlign w:val="center"/>
          </w:tcPr>
          <w:p w14:paraId="2E381EF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3.98***</w:t>
            </w:r>
          </w:p>
          <w:p w14:paraId="1D10D208">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[7.15]</w:t>
            </w:r>
          </w:p>
        </w:tc>
      </w:tr>
      <w:tr w14:paraId="724493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179A3694">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8</w:t>
            </w:r>
          </w:p>
        </w:tc>
        <w:tc>
          <w:tcPr>
            <w:tcW w:w="715" w:type="pct"/>
            <w:noWrap/>
            <w:vAlign w:val="center"/>
          </w:tcPr>
          <w:p w14:paraId="42F64FC4">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0.59</w:t>
            </w:r>
          </w:p>
          <w:p w14:paraId="547E2CA1">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[0.96]</w:t>
            </w:r>
          </w:p>
        </w:tc>
        <w:tc>
          <w:tcPr>
            <w:tcW w:w="715" w:type="pct"/>
            <w:noWrap/>
            <w:vAlign w:val="center"/>
          </w:tcPr>
          <w:p w14:paraId="7096AA8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-2.75***</w:t>
            </w:r>
          </w:p>
          <w:p w14:paraId="0782F5CE">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[-6.01]</w:t>
            </w:r>
          </w:p>
        </w:tc>
        <w:tc>
          <w:tcPr>
            <w:tcW w:w="715" w:type="pct"/>
            <w:noWrap/>
            <w:vAlign w:val="center"/>
          </w:tcPr>
          <w:p w14:paraId="2D46AA1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0.89</w:t>
            </w:r>
          </w:p>
          <w:p w14:paraId="5443139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[1.50]</w:t>
            </w:r>
          </w:p>
        </w:tc>
        <w:tc>
          <w:tcPr>
            <w:tcW w:w="715" w:type="pct"/>
            <w:noWrap/>
            <w:vAlign w:val="center"/>
          </w:tcPr>
          <w:p w14:paraId="36E11117">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0.68</w:t>
            </w:r>
          </w:p>
          <w:p w14:paraId="2C5379D3">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[1.49]</w:t>
            </w:r>
          </w:p>
        </w:tc>
        <w:tc>
          <w:tcPr>
            <w:tcW w:w="715" w:type="pct"/>
            <w:vAlign w:val="center"/>
          </w:tcPr>
          <w:p w14:paraId="1DC21F5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0.59</w:t>
            </w:r>
          </w:p>
          <w:p w14:paraId="44CBDC6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[0.97]</w:t>
            </w:r>
          </w:p>
        </w:tc>
        <w:tc>
          <w:tcPr>
            <w:tcW w:w="708" w:type="pct"/>
            <w:vAlign w:val="center"/>
          </w:tcPr>
          <w:p w14:paraId="0786D58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4.20***</w:t>
            </w:r>
          </w:p>
          <w:p w14:paraId="5BD4155E">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[7.56]</w:t>
            </w:r>
          </w:p>
        </w:tc>
      </w:tr>
      <w:tr w14:paraId="24A6B9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1EAB8DC5">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9</w:t>
            </w:r>
          </w:p>
        </w:tc>
        <w:tc>
          <w:tcPr>
            <w:tcW w:w="715" w:type="pct"/>
            <w:noWrap/>
            <w:vAlign w:val="center"/>
          </w:tcPr>
          <w:p w14:paraId="38AD0C8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0.09</w:t>
            </w:r>
          </w:p>
          <w:p w14:paraId="3151ABDF">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[0.15]</w:t>
            </w:r>
          </w:p>
        </w:tc>
        <w:tc>
          <w:tcPr>
            <w:tcW w:w="715" w:type="pct"/>
            <w:noWrap/>
            <w:vAlign w:val="center"/>
          </w:tcPr>
          <w:p w14:paraId="1C6E25D8">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-3.02***</w:t>
            </w:r>
          </w:p>
          <w:p w14:paraId="253B490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[-6.42]</w:t>
            </w:r>
          </w:p>
        </w:tc>
        <w:tc>
          <w:tcPr>
            <w:tcW w:w="715" w:type="pct"/>
            <w:noWrap/>
            <w:vAlign w:val="center"/>
          </w:tcPr>
          <w:p w14:paraId="58FBEC8B">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1.03*</w:t>
            </w:r>
          </w:p>
          <w:p w14:paraId="755BD02D">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[1.67]</w:t>
            </w:r>
          </w:p>
        </w:tc>
        <w:tc>
          <w:tcPr>
            <w:tcW w:w="715" w:type="pct"/>
            <w:noWrap/>
            <w:vAlign w:val="center"/>
          </w:tcPr>
          <w:p w14:paraId="67BBDF16">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0.71</w:t>
            </w:r>
          </w:p>
          <w:p w14:paraId="5E4E565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[1.55]</w:t>
            </w:r>
          </w:p>
        </w:tc>
        <w:tc>
          <w:tcPr>
            <w:tcW w:w="715" w:type="pct"/>
            <w:vAlign w:val="center"/>
          </w:tcPr>
          <w:p w14:paraId="46EE251A">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0.77</w:t>
            </w:r>
          </w:p>
          <w:p w14:paraId="5A1F3714">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[1.19]</w:t>
            </w:r>
          </w:p>
        </w:tc>
        <w:tc>
          <w:tcPr>
            <w:tcW w:w="708" w:type="pct"/>
            <w:vAlign w:val="center"/>
          </w:tcPr>
          <w:p w14:paraId="7B8112B2">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4.52***</w:t>
            </w:r>
          </w:p>
          <w:p w14:paraId="7A90EB7B">
            <w:pPr>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sz w:val="21"/>
                <w:szCs w:val="21"/>
                <w14:ligatures w14:val="none"/>
              </w:rPr>
              <w:t>[7.83]</w:t>
            </w:r>
          </w:p>
        </w:tc>
      </w:tr>
      <w:tr w14:paraId="523331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4EBF161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1</w:t>
            </w:r>
            <w:r>
              <w:rPr>
                <w:rFonts w:ascii="Times New Roman" w:hAnsi="Times New Roman" w:eastAsia="宋体" w:cs="Times New Roman"/>
                <w:color w:val="000000"/>
                <w:kern w:val="0"/>
                <w:sz w:val="21"/>
                <w:szCs w:val="21"/>
                <w14:ligatures w14:val="none"/>
              </w:rPr>
              <w:t>0</w:t>
            </w:r>
          </w:p>
        </w:tc>
        <w:tc>
          <w:tcPr>
            <w:tcW w:w="715" w:type="pct"/>
            <w:noWrap/>
            <w:vAlign w:val="center"/>
          </w:tcPr>
          <w:p w14:paraId="38E3F20F">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w:t>
            </w:r>
            <w:r>
              <w:rPr>
                <w:rFonts w:hint="eastAsia" w:ascii="Times New Roman" w:hAnsi="Times New Roman" w:eastAsia="宋体" w:cs="Times New Roman"/>
                <w:color w:val="000000"/>
                <w:kern w:val="0"/>
                <w:sz w:val="21"/>
                <w:szCs w:val="21"/>
                <w14:ligatures w14:val="none"/>
              </w:rPr>
              <w:t>1</w:t>
            </w:r>
          </w:p>
          <w:p w14:paraId="02D77249">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02</w:t>
            </w:r>
            <w:r>
              <w:rPr>
                <w:rFonts w:ascii="Times New Roman" w:hAnsi="Times New Roman" w:eastAsia="宋体" w:cs="Times New Roman"/>
                <w:color w:val="000000"/>
                <w:kern w:val="0"/>
                <w:sz w:val="21"/>
                <w:szCs w:val="21"/>
                <w14:ligatures w14:val="none"/>
              </w:rPr>
              <w:t>]</w:t>
            </w:r>
          </w:p>
        </w:tc>
        <w:tc>
          <w:tcPr>
            <w:tcW w:w="715" w:type="pct"/>
            <w:noWrap/>
            <w:vAlign w:val="center"/>
          </w:tcPr>
          <w:p w14:paraId="78A34AA6">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-4.69***</w:t>
            </w:r>
          </w:p>
          <w:p w14:paraId="1E481052">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-9.42</w:t>
            </w:r>
            <w:r>
              <w:rPr>
                <w:rFonts w:ascii="Times New Roman" w:hAnsi="Times New Roman" w:eastAsia="宋体" w:cs="Times New Roman"/>
                <w:color w:val="000000"/>
                <w:kern w:val="0"/>
                <w:sz w:val="21"/>
                <w:szCs w:val="21"/>
                <w14:ligatures w14:val="none"/>
              </w:rPr>
              <w:t>]</w:t>
            </w:r>
          </w:p>
        </w:tc>
        <w:tc>
          <w:tcPr>
            <w:tcW w:w="715" w:type="pct"/>
            <w:noWrap/>
            <w:vAlign w:val="center"/>
          </w:tcPr>
          <w:p w14:paraId="09B8F1EE">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53</w:t>
            </w:r>
          </w:p>
          <w:p w14:paraId="1584B6B5">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82</w:t>
            </w:r>
            <w:r>
              <w:rPr>
                <w:rFonts w:ascii="Times New Roman" w:hAnsi="Times New Roman" w:eastAsia="宋体" w:cs="Times New Roman"/>
                <w:color w:val="000000"/>
                <w:kern w:val="0"/>
                <w:sz w:val="21"/>
                <w:szCs w:val="21"/>
                <w14:ligatures w14:val="none"/>
              </w:rPr>
              <w:t>]</w:t>
            </w:r>
          </w:p>
        </w:tc>
        <w:tc>
          <w:tcPr>
            <w:tcW w:w="715" w:type="pct"/>
            <w:noWrap/>
            <w:vAlign w:val="center"/>
          </w:tcPr>
          <w:p w14:paraId="1D82D601">
            <w:pPr>
              <w:widowControl/>
              <w:snapToGrid w:val="0"/>
              <w:spacing w:after="0" w:line="400" w:lineRule="atLeast"/>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67</w:t>
            </w:r>
          </w:p>
          <w:p w14:paraId="1F61E82A">
            <w:pPr>
              <w:snapToGrid w:val="0"/>
              <w:spacing w:after="0" w:line="400" w:lineRule="atLeast"/>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1.47</w:t>
            </w:r>
            <w:r>
              <w:rPr>
                <w:rFonts w:ascii="Times New Roman" w:hAnsi="Times New Roman" w:eastAsia="宋体" w:cs="Times New Roman"/>
                <w:color w:val="000000"/>
                <w:kern w:val="0"/>
                <w:sz w:val="21"/>
                <w:szCs w:val="21"/>
                <w14:ligatures w14:val="none"/>
              </w:rPr>
              <w:t>]</w:t>
            </w:r>
          </w:p>
        </w:tc>
        <w:tc>
          <w:tcPr>
            <w:tcW w:w="715" w:type="pct"/>
            <w:vAlign w:val="center"/>
          </w:tcPr>
          <w:p w14:paraId="31881EEC">
            <w:pPr>
              <w:widowControl/>
              <w:snapToGrid w:val="0"/>
              <w:spacing w:after="0" w:line="400" w:lineRule="atLeast"/>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92</w:t>
            </w:r>
          </w:p>
          <w:p w14:paraId="4B90766D">
            <w:pPr>
              <w:snapToGrid w:val="0"/>
              <w:spacing w:after="0" w:line="400" w:lineRule="atLeast"/>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1.45</w:t>
            </w:r>
            <w:r>
              <w:rPr>
                <w:rFonts w:ascii="Times New Roman" w:hAnsi="Times New Roman" w:eastAsia="宋体" w:cs="Times New Roman"/>
                <w:color w:val="000000"/>
                <w:kern w:val="0"/>
                <w:sz w:val="21"/>
                <w:szCs w:val="21"/>
                <w14:ligatures w14:val="none"/>
              </w:rPr>
              <w:t>]</w:t>
            </w:r>
          </w:p>
        </w:tc>
        <w:tc>
          <w:tcPr>
            <w:tcW w:w="708" w:type="pct"/>
            <w:vAlign w:val="center"/>
          </w:tcPr>
          <w:p w14:paraId="3453A75C">
            <w:pPr>
              <w:widowControl/>
              <w:snapToGrid w:val="0"/>
              <w:spacing w:after="0" w:line="400" w:lineRule="atLeast"/>
              <w:jc w:val="center"/>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kern w:val="0"/>
                <w:sz w:val="21"/>
                <w:szCs w:val="21"/>
                <w14:ligatures w14:val="none"/>
              </w:rPr>
              <w:t>6.23***</w:t>
            </w:r>
          </w:p>
          <w:p w14:paraId="001C2139">
            <w:pPr>
              <w:snapToGrid w:val="0"/>
              <w:spacing w:after="0" w:line="400" w:lineRule="atLeast"/>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10.07</w:t>
            </w:r>
            <w:r>
              <w:rPr>
                <w:rFonts w:ascii="Times New Roman" w:hAnsi="Times New Roman" w:eastAsia="宋体" w:cs="Times New Roman"/>
                <w:color w:val="000000"/>
                <w:kern w:val="0"/>
                <w:sz w:val="21"/>
                <w:szCs w:val="21"/>
                <w14:ligatures w14:val="none"/>
              </w:rPr>
              <w:t>]</w:t>
            </w:r>
          </w:p>
        </w:tc>
      </w:tr>
      <w:tr w14:paraId="5BA4D9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6" w:type="pct"/>
            <w:vAlign w:val="center"/>
          </w:tcPr>
          <w:p w14:paraId="5CF89C10">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对冲组合</w:t>
            </w:r>
          </w:p>
          <w:p w14:paraId="4E9F54AA">
            <w:pPr>
              <w:snapToGrid w:val="0"/>
              <w:spacing w:after="0" w:line="400" w:lineRule="atLeast"/>
              <w:jc w:val="center"/>
              <w:rPr>
                <w:rFonts w:ascii="Times New Roman" w:hAnsi="Times New Roman" w:eastAsia="宋体" w:cs="Times New Roman"/>
                <w:color w:val="000000"/>
                <w:kern w:val="0"/>
                <w:sz w:val="21"/>
                <w:szCs w:val="21"/>
                <w14:ligatures w14:val="none"/>
              </w:rPr>
            </w:pPr>
          </w:p>
        </w:tc>
        <w:tc>
          <w:tcPr>
            <w:tcW w:w="715" w:type="pct"/>
            <w:noWrap/>
            <w:vAlign w:val="center"/>
          </w:tcPr>
          <w:p w14:paraId="2266833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1.1</w:t>
            </w:r>
            <w:r>
              <w:rPr>
                <w:rFonts w:hint="eastAsia" w:ascii="Times New Roman" w:hAnsi="Times New Roman" w:eastAsia="宋体" w:cs="Times New Roman"/>
                <w:color w:val="000000"/>
                <w:kern w:val="0"/>
                <w:sz w:val="21"/>
                <w:szCs w:val="21"/>
                <w14:ligatures w14:val="none"/>
              </w:rPr>
              <w:t>3</w:t>
            </w:r>
            <w:r>
              <w:rPr>
                <w:rFonts w:ascii="Times New Roman" w:hAnsi="Times New Roman" w:eastAsia="宋体" w:cs="Times New Roman"/>
                <w:color w:val="000000"/>
                <w:kern w:val="0"/>
                <w:sz w:val="21"/>
                <w:szCs w:val="21"/>
                <w14:ligatures w14:val="none"/>
              </w:rPr>
              <w:t>***</w:t>
            </w:r>
          </w:p>
          <w:p w14:paraId="2EB00F14">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3.82</w:t>
            </w:r>
            <w:r>
              <w:rPr>
                <w:rFonts w:ascii="Times New Roman" w:hAnsi="Times New Roman" w:eastAsia="宋体" w:cs="Times New Roman"/>
                <w:color w:val="000000"/>
                <w:kern w:val="0"/>
                <w:sz w:val="21"/>
                <w:szCs w:val="21"/>
                <w14:ligatures w14:val="none"/>
              </w:rPr>
              <w:t>]</w:t>
            </w:r>
          </w:p>
        </w:tc>
        <w:tc>
          <w:tcPr>
            <w:tcW w:w="715" w:type="pct"/>
            <w:noWrap/>
            <w:vAlign w:val="center"/>
          </w:tcPr>
          <w:p w14:paraId="6EC27551">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2.87***</w:t>
            </w:r>
          </w:p>
          <w:p w14:paraId="333F309B">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14.12</w:t>
            </w:r>
            <w:r>
              <w:rPr>
                <w:rFonts w:ascii="Times New Roman" w:hAnsi="Times New Roman" w:eastAsia="宋体" w:cs="Times New Roman"/>
                <w:color w:val="000000"/>
                <w:kern w:val="0"/>
                <w:sz w:val="21"/>
                <w:szCs w:val="21"/>
                <w14:ligatures w14:val="none"/>
              </w:rPr>
              <w:t>]</w:t>
            </w:r>
          </w:p>
        </w:tc>
        <w:tc>
          <w:tcPr>
            <w:tcW w:w="715" w:type="pct"/>
            <w:noWrap/>
            <w:vAlign w:val="center"/>
          </w:tcPr>
          <w:p w14:paraId="762D82C2">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67</w:t>
            </w:r>
            <w:r>
              <w:rPr>
                <w:rFonts w:ascii="Times New Roman" w:hAnsi="Times New Roman" w:eastAsia="宋体" w:cs="Times New Roman"/>
                <w:color w:val="000000"/>
                <w:kern w:val="0"/>
                <w:sz w:val="21"/>
                <w:szCs w:val="21"/>
                <w14:ligatures w14:val="none"/>
              </w:rPr>
              <w:t>**</w:t>
            </w:r>
          </w:p>
          <w:p w14:paraId="05EA6F34">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[2.</w:t>
            </w:r>
            <w:r>
              <w:rPr>
                <w:rFonts w:hint="eastAsia" w:ascii="Times New Roman" w:hAnsi="Times New Roman" w:eastAsia="宋体" w:cs="Times New Roman"/>
                <w:color w:val="000000"/>
                <w:kern w:val="0"/>
                <w:sz w:val="21"/>
                <w:szCs w:val="21"/>
                <w14:ligatures w14:val="none"/>
              </w:rPr>
              <w:t>37</w:t>
            </w:r>
            <w:r>
              <w:rPr>
                <w:rFonts w:ascii="Times New Roman" w:hAnsi="Times New Roman" w:eastAsia="宋体" w:cs="Times New Roman"/>
                <w:color w:val="000000"/>
                <w:kern w:val="0"/>
                <w:sz w:val="21"/>
                <w:szCs w:val="21"/>
                <w14:ligatures w14:val="none"/>
              </w:rPr>
              <w:t>]</w:t>
            </w:r>
          </w:p>
        </w:tc>
        <w:tc>
          <w:tcPr>
            <w:tcW w:w="715" w:type="pct"/>
            <w:noWrap/>
            <w:vAlign w:val="center"/>
          </w:tcPr>
          <w:p w14:paraId="144C973C">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w:t>
            </w: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03</w:t>
            </w:r>
          </w:p>
          <w:p w14:paraId="0DB8D5B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w:t>
            </w:r>
            <w:r>
              <w:rPr>
                <w:rFonts w:ascii="Times New Roman" w:hAnsi="Times New Roman" w:eastAsia="宋体" w:cs="Times New Roman"/>
                <w:color w:val="000000"/>
                <w:kern w:val="0"/>
                <w:sz w:val="21"/>
                <w:szCs w:val="21"/>
                <w14:ligatures w14:val="none"/>
              </w:rPr>
              <w:t>0.6</w:t>
            </w:r>
            <w:r>
              <w:rPr>
                <w:rFonts w:hint="eastAsia" w:ascii="Times New Roman" w:hAnsi="Times New Roman" w:eastAsia="宋体" w:cs="Times New Roman"/>
                <w:color w:val="000000"/>
                <w:kern w:val="0"/>
                <w:sz w:val="21"/>
                <w:szCs w:val="21"/>
                <w14:ligatures w14:val="none"/>
              </w:rPr>
              <w:t>0</w:t>
            </w:r>
            <w:r>
              <w:rPr>
                <w:rFonts w:ascii="Times New Roman" w:hAnsi="Times New Roman" w:eastAsia="宋体" w:cs="Times New Roman"/>
                <w:color w:val="000000"/>
                <w:kern w:val="0"/>
                <w:sz w:val="21"/>
                <w:szCs w:val="21"/>
                <w14:ligatures w14:val="none"/>
              </w:rPr>
              <w:t>]</w:t>
            </w:r>
          </w:p>
        </w:tc>
        <w:tc>
          <w:tcPr>
            <w:tcW w:w="715" w:type="pct"/>
            <w:vAlign w:val="center"/>
          </w:tcPr>
          <w:p w14:paraId="1ED4FD59">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66**</w:t>
            </w:r>
          </w:p>
          <w:p w14:paraId="15995357">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2.24</w:t>
            </w:r>
            <w:r>
              <w:rPr>
                <w:rFonts w:ascii="Times New Roman" w:hAnsi="Times New Roman" w:eastAsia="宋体" w:cs="Times New Roman"/>
                <w:color w:val="000000"/>
                <w:kern w:val="0"/>
                <w:sz w:val="21"/>
                <w:szCs w:val="21"/>
                <w14:ligatures w14:val="none"/>
              </w:rPr>
              <w:t>]</w:t>
            </w:r>
          </w:p>
        </w:tc>
        <w:tc>
          <w:tcPr>
            <w:tcW w:w="708" w:type="pct"/>
            <w:vAlign w:val="center"/>
          </w:tcPr>
          <w:p w14:paraId="15C31171">
            <w:pPr>
              <w:widowControl/>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-3.05</w:t>
            </w:r>
            <w:r>
              <w:rPr>
                <w:rFonts w:ascii="Times New Roman" w:hAnsi="Times New Roman" w:eastAsia="宋体" w:cs="Times New Roman"/>
                <w:color w:val="000000"/>
                <w:kern w:val="0"/>
                <w:sz w:val="21"/>
                <w:szCs w:val="21"/>
                <w14:ligatures w14:val="none"/>
              </w:rPr>
              <w:t>***</w:t>
            </w:r>
          </w:p>
          <w:p w14:paraId="361EEE33">
            <w:pPr>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-14.13</w:t>
            </w:r>
            <w:r>
              <w:rPr>
                <w:rFonts w:ascii="Times New Roman" w:hAnsi="Times New Roman" w:eastAsia="宋体" w:cs="Times New Roman"/>
                <w:color w:val="000000"/>
                <w:kern w:val="0"/>
                <w:sz w:val="21"/>
                <w:szCs w:val="21"/>
                <w14:ligatures w14:val="none"/>
              </w:rPr>
              <w:t>]</w:t>
            </w:r>
          </w:p>
        </w:tc>
      </w:tr>
    </w:tbl>
    <w:p w14:paraId="45134233">
      <w:pPr>
        <w:spacing w:after="0" w:line="360" w:lineRule="auto"/>
        <w:ind w:firstLine="420" w:firstLineChars="200"/>
        <w:jc w:val="both"/>
        <w:rPr>
          <w:rFonts w:hint="eastAsia" w:ascii="宋体" w:hAnsi="宋体" w:eastAsia="宋体" w:cs="宋体"/>
          <w:sz w:val="21"/>
          <w14:ligatures w14:val="none"/>
        </w:rPr>
      </w:pPr>
    </w:p>
    <w:p w14:paraId="0EDF69D5">
      <w:pPr>
        <w:spacing w:after="0" w:line="360" w:lineRule="auto"/>
        <w:ind w:firstLine="420" w:firstLineChars="200"/>
        <w:jc w:val="both"/>
        <w:rPr>
          <w:rFonts w:hint="eastAsia" w:ascii="宋体" w:hAnsi="宋体" w:eastAsia="宋体" w:cs="宋体"/>
          <w:sz w:val="21"/>
          <w14:ligatures w14:val="none"/>
        </w:rPr>
      </w:pPr>
    </w:p>
    <w:p w14:paraId="54ACF658">
      <w:pPr>
        <w:keepNext/>
        <w:spacing w:before="120" w:after="120" w:line="240" w:lineRule="auto"/>
        <w:ind w:firstLine="420" w:firstLineChars="200"/>
        <w:jc w:val="both"/>
        <w:outlineLvl w:val="1"/>
        <w:rPr>
          <w:rFonts w:ascii="Times New Roman" w:hAnsi="Times New Roman" w:eastAsia="黑体" w:cs="Times New Roman"/>
          <w:bCs/>
          <w:iCs/>
          <w:color w:val="000000"/>
          <w:sz w:val="21"/>
          <w14:ligatures w14:val="none"/>
        </w:rPr>
      </w:pPr>
      <w:r>
        <w:rPr>
          <w:rFonts w:hint="eastAsia" w:ascii="Times New Roman" w:hAnsi="Times New Roman" w:eastAsia="黑体" w:cs="Times New Roman"/>
          <w:bCs/>
          <w:iCs/>
          <w:color w:val="000000"/>
          <w:sz w:val="21"/>
          <w14:ligatures w14:val="none"/>
        </w:rPr>
        <w:t>附录4：投资者预期协同的进一步FM回归分析</w:t>
      </w:r>
    </w:p>
    <w:p w14:paraId="0A737034">
      <w:pPr>
        <w:adjustRightInd w:val="0"/>
        <w:spacing w:after="0" w:line="240" w:lineRule="auto"/>
        <w:ind w:firstLine="420" w:firstLineChars="200"/>
        <w:jc w:val="both"/>
        <w:textAlignment w:val="baseline"/>
        <w:rPr>
          <w:rFonts w:ascii="Times New Roman" w:hAnsi="Times New Roman" w:eastAsia="宋体" w:cs="Times New Roman"/>
          <w:color w:val="000000"/>
          <w:sz w:val="21"/>
          <w14:ligatures w14:val="none"/>
        </w:rPr>
      </w:pPr>
      <w:r>
        <w:rPr>
          <w:rFonts w:hint="eastAsia" w:ascii="Times New Roman" w:hAnsi="Times New Roman" w:eastAsia="宋体" w:cs="Times New Roman"/>
          <w:color w:val="000000"/>
          <w:sz w:val="21"/>
          <w14:ligatures w14:val="none"/>
        </w:rPr>
        <w:t>本部分旨在分析IED对股票未来收益的预测能力是否因加入不同的控制变量而异，回归中加入的控制变量分别为市场Beta（</w:t>
      </w:r>
      <m:oMath>
        <m:r>
          <m:rPr/>
          <w:rPr>
            <w:rFonts w:ascii="Cambria Math" w:hAnsi="Cambria Math" w:eastAsia="宋体" w:cs="Times New Roman"/>
            <w:color w:val="000000"/>
            <w:sz w:val="21"/>
            <w14:ligatures w14:val="none"/>
          </w:rPr>
          <m:t>β</m:t>
        </m:r>
      </m:oMath>
      <w:r>
        <w:rPr>
          <w:rFonts w:hint="eastAsia" w:ascii="Times New Roman" w:hAnsi="Times New Roman" w:eastAsia="宋体" w:cs="Times New Roman"/>
          <w:color w:val="000000"/>
          <w:sz w:val="21"/>
          <w14:ligatures w14:val="none"/>
        </w:rPr>
        <w:t>）</w:t>
      </w:r>
      <w:r>
        <w:rPr>
          <w:rFonts w:ascii="Times New Roman" w:hAnsi="Times New Roman" w:eastAsia="宋体" w:cs="Times New Roman"/>
          <w:color w:val="000000"/>
          <w:sz w:val="21"/>
          <w14:ligatures w14:val="none"/>
        </w:rPr>
        <w:t>、</w:t>
      </w:r>
      <w:r>
        <w:rPr>
          <w:rFonts w:hint="eastAsia" w:ascii="Times New Roman" w:hAnsi="Times New Roman" w:eastAsia="宋体" w:cs="Times New Roman"/>
          <w:color w:val="000000"/>
          <w:sz w:val="21"/>
          <w14:ligatures w14:val="none"/>
        </w:rPr>
        <w:t>流通市值（</w:t>
      </w:r>
      <w:r>
        <w:rPr>
          <w:rFonts w:ascii="Times New Roman" w:hAnsi="Times New Roman" w:eastAsia="宋体" w:cs="Times New Roman"/>
          <w:color w:val="000000"/>
          <w:sz w:val="21"/>
          <w14:ligatures w14:val="none"/>
        </w:rPr>
        <w:t>Size</w:t>
      </w:r>
      <w:r>
        <w:rPr>
          <w:rFonts w:hint="eastAsia" w:ascii="Times New Roman" w:hAnsi="Times New Roman" w:eastAsia="宋体" w:cs="Times New Roman"/>
          <w:color w:val="000000"/>
          <w:sz w:val="21"/>
          <w14:ligatures w14:val="none"/>
        </w:rPr>
        <w:t>）</w:t>
      </w:r>
      <w:r>
        <w:rPr>
          <w:rFonts w:ascii="Times New Roman" w:hAnsi="Times New Roman" w:eastAsia="宋体" w:cs="Times New Roman"/>
          <w:color w:val="000000"/>
          <w:sz w:val="21"/>
          <w14:ligatures w14:val="none"/>
        </w:rPr>
        <w:t>、</w:t>
      </w:r>
      <w:r>
        <w:rPr>
          <w:rFonts w:hint="eastAsia" w:ascii="Times New Roman" w:hAnsi="Times New Roman" w:eastAsia="宋体" w:cs="Times New Roman"/>
          <w:color w:val="000000"/>
          <w:sz w:val="21"/>
          <w14:ligatures w14:val="none"/>
        </w:rPr>
        <w:t>账面市值比（</w:t>
      </w:r>
      <w:r>
        <w:rPr>
          <w:rFonts w:ascii="Times New Roman" w:hAnsi="Times New Roman" w:eastAsia="宋体" w:cs="Times New Roman"/>
          <w:color w:val="000000"/>
          <w:sz w:val="21"/>
          <w14:ligatures w14:val="none"/>
        </w:rPr>
        <w:t>BM</w:t>
      </w:r>
      <w:r>
        <w:rPr>
          <w:rFonts w:hint="eastAsia" w:ascii="Times New Roman" w:hAnsi="Times New Roman" w:eastAsia="宋体" w:cs="Times New Roman"/>
          <w:color w:val="000000"/>
          <w:sz w:val="21"/>
          <w14:ligatures w14:val="none"/>
        </w:rPr>
        <w:t>）、毛利率（G</w:t>
      </w:r>
      <w:r>
        <w:rPr>
          <w:rFonts w:ascii="Times New Roman" w:hAnsi="Times New Roman" w:eastAsia="宋体" w:cs="Times New Roman"/>
          <w:color w:val="000000"/>
          <w:sz w:val="21"/>
          <w14:ligatures w14:val="none"/>
        </w:rPr>
        <w:t>P</w:t>
      </w:r>
      <w:r>
        <w:rPr>
          <w:rFonts w:hint="eastAsia" w:ascii="Times New Roman" w:hAnsi="Times New Roman" w:eastAsia="宋体" w:cs="Times New Roman"/>
          <w:color w:val="000000"/>
          <w:sz w:val="21"/>
          <w14:ligatures w14:val="none"/>
        </w:rPr>
        <w:t>）、投资资产比（I</w:t>
      </w:r>
      <w:r>
        <w:rPr>
          <w:rFonts w:ascii="Times New Roman" w:hAnsi="Times New Roman" w:eastAsia="宋体" w:cs="Times New Roman"/>
          <w:color w:val="000000"/>
          <w:sz w:val="21"/>
          <w14:ligatures w14:val="none"/>
        </w:rPr>
        <w:t>A</w:t>
      </w:r>
      <w:r>
        <w:rPr>
          <w:rFonts w:hint="eastAsia" w:ascii="Times New Roman" w:hAnsi="Times New Roman" w:eastAsia="宋体" w:cs="Times New Roman"/>
          <w:color w:val="000000"/>
          <w:sz w:val="21"/>
          <w14:ligatures w14:val="none"/>
        </w:rPr>
        <w:t>）、12个月动量（MOM）、非流动性（ILLIQ）、最大日收益（MAXRET）、换手率（TURN）、反转（REV）、经营杠杆（OL）、市盈率（EP）、债务增长（LG）、行业动量（INDMOM）和上一期股价（PRC），结果如附表3所示。</w:t>
      </w:r>
    </w:p>
    <w:p w14:paraId="09A43364">
      <w:pPr>
        <w:keepNext/>
        <w:spacing w:after="0" w:line="240" w:lineRule="auto"/>
        <w:ind w:firstLine="643"/>
        <w:jc w:val="center"/>
        <w:rPr>
          <w:rFonts w:ascii="Times New Roman" w:hAnsi="Times New Roman" w:eastAsia="黑体" w:cs="Times New Roman"/>
          <w:color w:val="000000"/>
          <w:sz w:val="21"/>
          <w:szCs w:val="20"/>
          <w14:ligatures w14:val="none"/>
        </w:rPr>
      </w:pPr>
      <w:r>
        <w:rPr>
          <w:rFonts w:hint="eastAsia" w:ascii="Times New Roman" w:hAnsi="Times New Roman" w:eastAsia="黑体" w:cs="Times New Roman"/>
          <w:color w:val="000000"/>
          <w:sz w:val="21"/>
          <w:szCs w:val="20"/>
          <w14:ligatures w14:val="none"/>
        </w:rPr>
        <w:t>附表</w:t>
      </w:r>
      <w:r>
        <w:rPr>
          <w:rFonts w:ascii="Times New Roman" w:hAnsi="Times New Roman" w:eastAsia="黑体" w:cs="Times New Roman"/>
          <w:color w:val="000000"/>
          <w:sz w:val="21"/>
          <w:szCs w:val="20"/>
          <w14:ligatures w14:val="none"/>
        </w:rPr>
        <w:t>3</w:t>
      </w:r>
      <w:r>
        <w:rPr>
          <w:rFonts w:hint="eastAsia" w:ascii="Times New Roman" w:hAnsi="Times New Roman" w:eastAsia="黑体" w:cs="Times New Roman"/>
          <w:color w:val="000000"/>
          <w:sz w:val="21"/>
          <w:szCs w:val="20"/>
          <w14:ligatures w14:val="none"/>
        </w:rPr>
        <w:t xml:space="preserve">  投资者预期协同的</w:t>
      </w:r>
      <w:r>
        <w:rPr>
          <w:rFonts w:ascii="Times New Roman" w:hAnsi="Times New Roman" w:eastAsia="黑体" w:cs="Times New Roman"/>
          <w:color w:val="000000"/>
          <w:sz w:val="21"/>
          <w:szCs w:val="20"/>
          <w14:ligatures w14:val="none"/>
        </w:rPr>
        <w:t>FM回归</w:t>
      </w:r>
      <w:r>
        <w:rPr>
          <w:rFonts w:hint="eastAsia" w:ascii="Times New Roman" w:hAnsi="Times New Roman" w:eastAsia="黑体" w:cs="Times New Roman"/>
          <w:color w:val="000000"/>
          <w:sz w:val="21"/>
          <w:szCs w:val="20"/>
          <w14:ligatures w14:val="none"/>
        </w:rPr>
        <w:t>分析：控制个体定价因子</w:t>
      </w:r>
    </w:p>
    <w:tbl>
      <w:tblPr>
        <w:tblStyle w:val="26"/>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1132"/>
        <w:gridCol w:w="1287"/>
        <w:gridCol w:w="1287"/>
        <w:gridCol w:w="1648"/>
        <w:gridCol w:w="1355"/>
      </w:tblGrid>
      <w:tr w14:paraId="30D13EF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64" w:type="pct"/>
            <w:vAlign w:val="center"/>
          </w:tcPr>
          <w:p w14:paraId="7B543527">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664" w:type="pct"/>
            <w:vAlign w:val="center"/>
          </w:tcPr>
          <w:p w14:paraId="6888115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(1)</w:t>
            </w:r>
          </w:p>
        </w:tc>
        <w:tc>
          <w:tcPr>
            <w:tcW w:w="755" w:type="pct"/>
            <w:vAlign w:val="center"/>
          </w:tcPr>
          <w:p w14:paraId="470E9105">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(2)</w:t>
            </w:r>
          </w:p>
        </w:tc>
        <w:tc>
          <w:tcPr>
            <w:tcW w:w="755" w:type="pct"/>
            <w:vAlign w:val="center"/>
          </w:tcPr>
          <w:p w14:paraId="14DE592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(3)</w:t>
            </w:r>
          </w:p>
        </w:tc>
        <w:tc>
          <w:tcPr>
            <w:tcW w:w="967" w:type="pct"/>
            <w:vAlign w:val="center"/>
          </w:tcPr>
          <w:p w14:paraId="310F6CC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w:t>
            </w:r>
            <w:r>
              <w:rPr>
                <w:rFonts w:ascii="Times New Roman" w:hAnsi="Times New Roman" w:eastAsia="宋体" w:cs="Times New Roman"/>
                <w:color w:val="000000"/>
                <w:sz w:val="21"/>
                <w:szCs w:val="21"/>
                <w14:ligatures w14:val="none"/>
              </w:rPr>
              <w:t>4)</w:t>
            </w:r>
          </w:p>
        </w:tc>
        <w:tc>
          <w:tcPr>
            <w:tcW w:w="795" w:type="pct"/>
            <w:vAlign w:val="center"/>
          </w:tcPr>
          <w:p w14:paraId="37CC39C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w:t>
            </w:r>
            <w:r>
              <w:rPr>
                <w:rFonts w:ascii="Times New Roman" w:hAnsi="Times New Roman" w:eastAsia="宋体" w:cs="Times New Roman"/>
                <w:color w:val="000000"/>
                <w:sz w:val="21"/>
                <w:szCs w:val="21"/>
                <w14:ligatures w14:val="none"/>
              </w:rPr>
              <w:t>5)</w:t>
            </w:r>
          </w:p>
        </w:tc>
      </w:tr>
      <w:tr w14:paraId="472A9E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666961F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IED</w:t>
            </w:r>
          </w:p>
        </w:tc>
        <w:tc>
          <w:tcPr>
            <w:tcW w:w="664" w:type="pct"/>
            <w:vAlign w:val="center"/>
          </w:tcPr>
          <w:p w14:paraId="60FEC99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-0.15**</w:t>
            </w:r>
          </w:p>
          <w:p w14:paraId="73E14C6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[-2.51]</w:t>
            </w:r>
          </w:p>
        </w:tc>
        <w:tc>
          <w:tcPr>
            <w:tcW w:w="755" w:type="pct"/>
            <w:vAlign w:val="center"/>
          </w:tcPr>
          <w:p w14:paraId="2B531FF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-0.20***</w:t>
            </w:r>
          </w:p>
          <w:p w14:paraId="253DD4C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[-4.30]</w:t>
            </w:r>
          </w:p>
        </w:tc>
        <w:tc>
          <w:tcPr>
            <w:tcW w:w="755" w:type="pct"/>
            <w:vAlign w:val="center"/>
          </w:tcPr>
          <w:p w14:paraId="1DC1785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-0.19***</w:t>
            </w:r>
          </w:p>
          <w:p w14:paraId="5019A93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[-4.17]</w:t>
            </w:r>
          </w:p>
        </w:tc>
        <w:tc>
          <w:tcPr>
            <w:tcW w:w="967" w:type="pct"/>
            <w:vAlign w:val="center"/>
          </w:tcPr>
          <w:p w14:paraId="65DF4AE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-0.10***</w:t>
            </w:r>
          </w:p>
          <w:p w14:paraId="037CAC2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[-2.76]</w:t>
            </w:r>
          </w:p>
        </w:tc>
        <w:tc>
          <w:tcPr>
            <w:tcW w:w="795" w:type="pct"/>
            <w:vAlign w:val="center"/>
          </w:tcPr>
          <w:p w14:paraId="1F7AFDB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-0.13***</w:t>
            </w:r>
          </w:p>
          <w:p w14:paraId="60E4DE2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[-3.01]</w:t>
            </w:r>
          </w:p>
        </w:tc>
      </w:tr>
      <w:tr w14:paraId="1B06CE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2DAB88D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m:oMathPara>
              <m:oMath>
                <m:r>
                  <m:rPr/>
                  <w:rPr>
                    <w:rFonts w:ascii="Cambria Math" w:hAnsi="Cambria Math" w:eastAsia="宋体" w:cs="Times New Roman"/>
                    <w:color w:val="000000"/>
                    <w:sz w:val="21"/>
                    <w:szCs w:val="21"/>
                    <w14:ligatures w14:val="none"/>
                  </w:rPr>
                  <m:t>β</m:t>
                </m:r>
              </m:oMath>
            </m:oMathPara>
          </w:p>
        </w:tc>
        <w:tc>
          <w:tcPr>
            <w:tcW w:w="664" w:type="pct"/>
            <w:vAlign w:val="center"/>
          </w:tcPr>
          <w:p w14:paraId="28AE6F1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69BBF60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0.31***</w:t>
            </w:r>
          </w:p>
          <w:p w14:paraId="46E9636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[4.48]</w:t>
            </w:r>
          </w:p>
        </w:tc>
        <w:tc>
          <w:tcPr>
            <w:tcW w:w="755" w:type="pct"/>
            <w:vAlign w:val="center"/>
          </w:tcPr>
          <w:p w14:paraId="5AC6288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0.35***</w:t>
            </w:r>
          </w:p>
          <w:p w14:paraId="0298602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[5.06]</w:t>
            </w:r>
          </w:p>
        </w:tc>
        <w:tc>
          <w:tcPr>
            <w:tcW w:w="967" w:type="pct"/>
            <w:vAlign w:val="center"/>
          </w:tcPr>
          <w:p w14:paraId="0D785A3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0.40***</w:t>
            </w:r>
          </w:p>
          <w:p w14:paraId="2AACC4C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[6.67]</w:t>
            </w:r>
          </w:p>
        </w:tc>
        <w:tc>
          <w:tcPr>
            <w:tcW w:w="795" w:type="pct"/>
            <w:vAlign w:val="center"/>
          </w:tcPr>
          <w:p w14:paraId="4FC08F8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0.38***</w:t>
            </w:r>
          </w:p>
          <w:p w14:paraId="4105EAA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[6.52]</w:t>
            </w:r>
          </w:p>
        </w:tc>
      </w:tr>
      <w:tr w14:paraId="08731D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5AA13F1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Size</w:t>
            </w:r>
          </w:p>
        </w:tc>
        <w:tc>
          <w:tcPr>
            <w:tcW w:w="664" w:type="pct"/>
            <w:vAlign w:val="center"/>
          </w:tcPr>
          <w:p w14:paraId="76FDD07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5B10BA2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-0.32***</w:t>
            </w:r>
          </w:p>
          <w:p w14:paraId="0234064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[-2.66]</w:t>
            </w:r>
          </w:p>
        </w:tc>
        <w:tc>
          <w:tcPr>
            <w:tcW w:w="755" w:type="pct"/>
            <w:vAlign w:val="center"/>
          </w:tcPr>
          <w:p w14:paraId="625BD2F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-0.36***</w:t>
            </w:r>
          </w:p>
          <w:p w14:paraId="20E2AF7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[-3.08]</w:t>
            </w:r>
          </w:p>
        </w:tc>
        <w:tc>
          <w:tcPr>
            <w:tcW w:w="967" w:type="pct"/>
            <w:vAlign w:val="center"/>
          </w:tcPr>
          <w:p w14:paraId="24D7B75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-0.07</w:t>
            </w:r>
          </w:p>
          <w:p w14:paraId="3372F70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[-0.55]</w:t>
            </w:r>
          </w:p>
        </w:tc>
        <w:tc>
          <w:tcPr>
            <w:tcW w:w="795" w:type="pct"/>
            <w:vAlign w:val="center"/>
          </w:tcPr>
          <w:p w14:paraId="5C4C4FF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-0.03</w:t>
            </w:r>
          </w:p>
          <w:p w14:paraId="5C7B7CE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[-0.26]</w:t>
            </w:r>
          </w:p>
        </w:tc>
      </w:tr>
      <w:tr w14:paraId="24B46C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51E535D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BM</w:t>
            </w:r>
          </w:p>
        </w:tc>
        <w:tc>
          <w:tcPr>
            <w:tcW w:w="664" w:type="pct"/>
            <w:vAlign w:val="center"/>
          </w:tcPr>
          <w:p w14:paraId="615099E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0B9711C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0.06</w:t>
            </w:r>
          </w:p>
          <w:p w14:paraId="6C2E2B35">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[1.08]</w:t>
            </w:r>
          </w:p>
        </w:tc>
        <w:tc>
          <w:tcPr>
            <w:tcW w:w="755" w:type="pct"/>
            <w:vAlign w:val="center"/>
          </w:tcPr>
          <w:p w14:paraId="2561486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0.09*</w:t>
            </w:r>
          </w:p>
          <w:p w14:paraId="423C71B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[1.79]</w:t>
            </w:r>
          </w:p>
        </w:tc>
        <w:tc>
          <w:tcPr>
            <w:tcW w:w="967" w:type="pct"/>
            <w:vAlign w:val="center"/>
          </w:tcPr>
          <w:p w14:paraId="509858D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0.05</w:t>
            </w:r>
          </w:p>
          <w:p w14:paraId="23E41F47">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[1.08]</w:t>
            </w:r>
          </w:p>
        </w:tc>
        <w:tc>
          <w:tcPr>
            <w:tcW w:w="795" w:type="pct"/>
            <w:vAlign w:val="center"/>
          </w:tcPr>
          <w:p w14:paraId="0BC6119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0.03</w:t>
            </w:r>
          </w:p>
          <w:p w14:paraId="0190A27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[0.62]</w:t>
            </w:r>
          </w:p>
        </w:tc>
      </w:tr>
      <w:tr w14:paraId="24D2FB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34C4095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GP</w:t>
            </w:r>
          </w:p>
        </w:tc>
        <w:tc>
          <w:tcPr>
            <w:tcW w:w="664" w:type="pct"/>
            <w:vAlign w:val="center"/>
          </w:tcPr>
          <w:p w14:paraId="5FA7859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38BC6E5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2399C26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0.15**</w:t>
            </w:r>
          </w:p>
          <w:p w14:paraId="2FE19E7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[2.50]</w:t>
            </w:r>
          </w:p>
        </w:tc>
        <w:tc>
          <w:tcPr>
            <w:tcW w:w="967" w:type="pct"/>
            <w:vAlign w:val="center"/>
          </w:tcPr>
          <w:p w14:paraId="6DBB6DC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0.12**</w:t>
            </w:r>
          </w:p>
          <w:p w14:paraId="7D8981D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[2.05]</w:t>
            </w:r>
          </w:p>
        </w:tc>
        <w:tc>
          <w:tcPr>
            <w:tcW w:w="795" w:type="pct"/>
            <w:vAlign w:val="center"/>
          </w:tcPr>
          <w:p w14:paraId="7234983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0.15***</w:t>
            </w:r>
          </w:p>
          <w:p w14:paraId="1F47E96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[2.96]</w:t>
            </w:r>
          </w:p>
        </w:tc>
      </w:tr>
      <w:tr w14:paraId="6645B2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6183A5B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IA</w:t>
            </w:r>
          </w:p>
        </w:tc>
        <w:tc>
          <w:tcPr>
            <w:tcW w:w="664" w:type="pct"/>
            <w:vAlign w:val="center"/>
          </w:tcPr>
          <w:p w14:paraId="1279E69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698F87F7">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2A3B152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-0.01</w:t>
            </w:r>
          </w:p>
          <w:p w14:paraId="42600485">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[-0.27]</w:t>
            </w:r>
          </w:p>
        </w:tc>
        <w:tc>
          <w:tcPr>
            <w:tcW w:w="967" w:type="pct"/>
            <w:vAlign w:val="center"/>
          </w:tcPr>
          <w:p w14:paraId="3BE28BF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-0.02</w:t>
            </w:r>
          </w:p>
          <w:p w14:paraId="789A2A7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[-0.54]</w:t>
            </w:r>
          </w:p>
        </w:tc>
        <w:tc>
          <w:tcPr>
            <w:tcW w:w="795" w:type="pct"/>
            <w:vAlign w:val="center"/>
          </w:tcPr>
          <w:p w14:paraId="38C9648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0.01</w:t>
            </w:r>
          </w:p>
          <w:p w14:paraId="4D5C3AB9">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[0.20]</w:t>
            </w:r>
          </w:p>
        </w:tc>
      </w:tr>
      <w:tr w14:paraId="6CDFA8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74B0812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MOM</w:t>
            </w:r>
          </w:p>
        </w:tc>
        <w:tc>
          <w:tcPr>
            <w:tcW w:w="664" w:type="pct"/>
            <w:vAlign w:val="center"/>
          </w:tcPr>
          <w:p w14:paraId="32583F9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7E8D409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0BF33FB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6EDFB70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0.12</w:t>
            </w:r>
          </w:p>
          <w:p w14:paraId="0DE104B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[1.61]</w:t>
            </w:r>
          </w:p>
        </w:tc>
        <w:tc>
          <w:tcPr>
            <w:tcW w:w="795" w:type="pct"/>
            <w:vAlign w:val="center"/>
          </w:tcPr>
          <w:p w14:paraId="50F98F6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0.14**</w:t>
            </w:r>
          </w:p>
          <w:p w14:paraId="0C7E85C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[2.39]</w:t>
            </w:r>
          </w:p>
        </w:tc>
      </w:tr>
      <w:tr w14:paraId="5CA2FF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640BA40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ILLIQ</w:t>
            </w:r>
          </w:p>
        </w:tc>
        <w:tc>
          <w:tcPr>
            <w:tcW w:w="664" w:type="pct"/>
            <w:vAlign w:val="center"/>
          </w:tcPr>
          <w:p w14:paraId="2DA1C2D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31BD9C4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52225E7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373CF6B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0.45***</w:t>
            </w:r>
          </w:p>
          <w:p w14:paraId="0B8FA87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[8.43]</w:t>
            </w:r>
          </w:p>
        </w:tc>
        <w:tc>
          <w:tcPr>
            <w:tcW w:w="795" w:type="pct"/>
            <w:vAlign w:val="center"/>
          </w:tcPr>
          <w:p w14:paraId="78C856D9">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0.46***</w:t>
            </w:r>
          </w:p>
          <w:p w14:paraId="213DD86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[9.07]</w:t>
            </w:r>
          </w:p>
        </w:tc>
      </w:tr>
      <w:tr w14:paraId="750B5D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0EA04AC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MAXRET</w:t>
            </w:r>
          </w:p>
        </w:tc>
        <w:tc>
          <w:tcPr>
            <w:tcW w:w="664" w:type="pct"/>
            <w:vAlign w:val="center"/>
          </w:tcPr>
          <w:p w14:paraId="3661D5C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6252846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12ADAF0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5A51381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-0.40***</w:t>
            </w:r>
          </w:p>
          <w:p w14:paraId="2C21141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[-11.25]</w:t>
            </w:r>
          </w:p>
        </w:tc>
        <w:tc>
          <w:tcPr>
            <w:tcW w:w="795" w:type="pct"/>
            <w:vAlign w:val="center"/>
          </w:tcPr>
          <w:p w14:paraId="1A7F0DB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-0.39***</w:t>
            </w:r>
          </w:p>
          <w:p w14:paraId="0C0D4B3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[-10.93]</w:t>
            </w:r>
          </w:p>
        </w:tc>
      </w:tr>
      <w:tr w14:paraId="213C2F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1CEF201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TURN</w:t>
            </w:r>
          </w:p>
        </w:tc>
        <w:tc>
          <w:tcPr>
            <w:tcW w:w="664" w:type="pct"/>
            <w:vAlign w:val="center"/>
          </w:tcPr>
          <w:p w14:paraId="1CAE38F8">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62CC412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50ED7FA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227310B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-0.06**</w:t>
            </w:r>
          </w:p>
          <w:p w14:paraId="4247838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[-2.25]</w:t>
            </w:r>
          </w:p>
        </w:tc>
        <w:tc>
          <w:tcPr>
            <w:tcW w:w="795" w:type="pct"/>
            <w:vAlign w:val="center"/>
          </w:tcPr>
          <w:p w14:paraId="5688D31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-0.07***</w:t>
            </w:r>
          </w:p>
          <w:p w14:paraId="4C8EE6E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[-2.72]</w:t>
            </w:r>
          </w:p>
        </w:tc>
      </w:tr>
      <w:tr w14:paraId="756E9C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0C3EFBC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REV</w:t>
            </w:r>
          </w:p>
        </w:tc>
        <w:tc>
          <w:tcPr>
            <w:tcW w:w="664" w:type="pct"/>
            <w:vAlign w:val="center"/>
          </w:tcPr>
          <w:p w14:paraId="674ED9A9">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570121B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6176D32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5C2A9079">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-0.30***</w:t>
            </w:r>
          </w:p>
          <w:p w14:paraId="268F541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[-4.02]</w:t>
            </w:r>
          </w:p>
        </w:tc>
        <w:tc>
          <w:tcPr>
            <w:tcW w:w="795" w:type="pct"/>
            <w:vAlign w:val="center"/>
          </w:tcPr>
          <w:p w14:paraId="7D24BEB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-0.31***</w:t>
            </w:r>
          </w:p>
          <w:p w14:paraId="6398BBE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[-4.26]</w:t>
            </w:r>
          </w:p>
        </w:tc>
      </w:tr>
      <w:tr w14:paraId="7AFD36B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6108408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OL</w:t>
            </w:r>
          </w:p>
        </w:tc>
        <w:tc>
          <w:tcPr>
            <w:tcW w:w="664" w:type="pct"/>
            <w:vAlign w:val="center"/>
          </w:tcPr>
          <w:p w14:paraId="14A199A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168F4347">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1114BE75">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63DB42C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95" w:type="pct"/>
            <w:vAlign w:val="center"/>
          </w:tcPr>
          <w:p w14:paraId="497E78C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0.00</w:t>
            </w:r>
          </w:p>
          <w:p w14:paraId="6D9EAA6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[0.16]</w:t>
            </w:r>
          </w:p>
        </w:tc>
      </w:tr>
      <w:tr w14:paraId="771CB0E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42C5DDB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EP</w:t>
            </w:r>
          </w:p>
        </w:tc>
        <w:tc>
          <w:tcPr>
            <w:tcW w:w="664" w:type="pct"/>
            <w:vAlign w:val="center"/>
          </w:tcPr>
          <w:p w14:paraId="3BD8BED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051EA29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034F415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128A3D9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95" w:type="pct"/>
            <w:vAlign w:val="center"/>
          </w:tcPr>
          <w:p w14:paraId="54BB2E57">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-0.00</w:t>
            </w:r>
          </w:p>
          <w:p w14:paraId="5C6A5A7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[-0.12]</w:t>
            </w:r>
          </w:p>
        </w:tc>
      </w:tr>
      <w:tr w14:paraId="0CFBAA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4CA0623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LG</w:t>
            </w:r>
          </w:p>
        </w:tc>
        <w:tc>
          <w:tcPr>
            <w:tcW w:w="664" w:type="pct"/>
            <w:vAlign w:val="center"/>
          </w:tcPr>
          <w:p w14:paraId="3FE445B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3352B19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06735489">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117EB01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95" w:type="pct"/>
            <w:vAlign w:val="center"/>
          </w:tcPr>
          <w:p w14:paraId="634BBA8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0.01</w:t>
            </w:r>
          </w:p>
          <w:p w14:paraId="4436FFA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[0.26]</w:t>
            </w:r>
          </w:p>
        </w:tc>
      </w:tr>
      <w:tr w14:paraId="62547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04589DA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INDMOM</w:t>
            </w:r>
          </w:p>
        </w:tc>
        <w:tc>
          <w:tcPr>
            <w:tcW w:w="664" w:type="pct"/>
            <w:vAlign w:val="center"/>
          </w:tcPr>
          <w:p w14:paraId="56A461B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7B465C3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554D5C1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13D1ABC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95" w:type="pct"/>
            <w:vAlign w:val="center"/>
          </w:tcPr>
          <w:p w14:paraId="22BF494A">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0.14***</w:t>
            </w:r>
          </w:p>
          <w:p w14:paraId="6DB8B71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[3.01]</w:t>
            </w:r>
          </w:p>
        </w:tc>
      </w:tr>
      <w:tr w14:paraId="3D28FC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6930964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PRC</w:t>
            </w:r>
          </w:p>
        </w:tc>
        <w:tc>
          <w:tcPr>
            <w:tcW w:w="664" w:type="pct"/>
            <w:vAlign w:val="center"/>
          </w:tcPr>
          <w:p w14:paraId="08019FE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4160E5D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55" w:type="pct"/>
            <w:vAlign w:val="center"/>
          </w:tcPr>
          <w:p w14:paraId="3D5D6EE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967" w:type="pct"/>
            <w:vAlign w:val="center"/>
          </w:tcPr>
          <w:p w14:paraId="44743D94">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p>
        </w:tc>
        <w:tc>
          <w:tcPr>
            <w:tcW w:w="795" w:type="pct"/>
            <w:vAlign w:val="center"/>
          </w:tcPr>
          <w:p w14:paraId="51025F0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-0.16*</w:t>
            </w:r>
          </w:p>
          <w:p w14:paraId="3A6B304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[-1.68]</w:t>
            </w:r>
          </w:p>
        </w:tc>
      </w:tr>
      <w:tr w14:paraId="54FC1C7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064" w:type="pct"/>
            <w:vAlign w:val="center"/>
          </w:tcPr>
          <w:p w14:paraId="3AF8919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Cons</w:t>
            </w:r>
          </w:p>
        </w:tc>
        <w:tc>
          <w:tcPr>
            <w:tcW w:w="664" w:type="pct"/>
            <w:vAlign w:val="center"/>
          </w:tcPr>
          <w:p w14:paraId="3F46CE83">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1.20*</w:t>
            </w:r>
          </w:p>
          <w:p w14:paraId="6CF6DAB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[1.94]</w:t>
            </w:r>
          </w:p>
        </w:tc>
        <w:tc>
          <w:tcPr>
            <w:tcW w:w="755" w:type="pct"/>
            <w:vAlign w:val="center"/>
          </w:tcPr>
          <w:p w14:paraId="6E25B27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1.09*</w:t>
            </w:r>
          </w:p>
          <w:p w14:paraId="5530D46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[1.68]</w:t>
            </w:r>
          </w:p>
        </w:tc>
        <w:tc>
          <w:tcPr>
            <w:tcW w:w="755" w:type="pct"/>
            <w:vAlign w:val="center"/>
          </w:tcPr>
          <w:p w14:paraId="4ADE01AD">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1.10*</w:t>
            </w:r>
          </w:p>
          <w:p w14:paraId="4D504E8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[1.69]</w:t>
            </w:r>
          </w:p>
        </w:tc>
        <w:tc>
          <w:tcPr>
            <w:tcW w:w="967" w:type="pct"/>
            <w:vAlign w:val="center"/>
          </w:tcPr>
          <w:p w14:paraId="70494EA9">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1.10*</w:t>
            </w:r>
          </w:p>
          <w:p w14:paraId="1CE0665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[1.69]</w:t>
            </w:r>
          </w:p>
        </w:tc>
        <w:tc>
          <w:tcPr>
            <w:tcW w:w="795" w:type="pct"/>
            <w:vAlign w:val="center"/>
          </w:tcPr>
          <w:p w14:paraId="69D114B5">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1.10*</w:t>
            </w:r>
          </w:p>
          <w:p w14:paraId="67C3937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[1.69]</w:t>
            </w:r>
          </w:p>
        </w:tc>
      </w:tr>
      <w:tr w14:paraId="70BC89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64" w:type="pct"/>
            <w:vAlign w:val="center"/>
          </w:tcPr>
          <w:p w14:paraId="455A84FE">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m:oMathPara>
              <m:oMath>
                <m:r>
                  <m:rPr/>
                  <w:rPr>
                    <w:rFonts w:ascii="Cambria Math" w:hAnsi="Cambria Math" w:eastAsia="宋体" w:cs="Times New Roman"/>
                    <w:color w:val="000000"/>
                    <w:sz w:val="21"/>
                    <w:szCs w:val="21"/>
                    <w14:ligatures w14:val="none"/>
                  </w:rPr>
                  <m:t>N</m:t>
                </m:r>
              </m:oMath>
            </m:oMathPara>
          </w:p>
        </w:tc>
        <w:tc>
          <w:tcPr>
            <w:tcW w:w="664" w:type="pct"/>
            <w:vAlign w:val="center"/>
          </w:tcPr>
          <w:p w14:paraId="3CACEB8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1839</w:t>
            </w:r>
          </w:p>
        </w:tc>
        <w:tc>
          <w:tcPr>
            <w:tcW w:w="755" w:type="pct"/>
            <w:vAlign w:val="center"/>
          </w:tcPr>
          <w:p w14:paraId="50D4590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1721</w:t>
            </w:r>
          </w:p>
        </w:tc>
        <w:tc>
          <w:tcPr>
            <w:tcW w:w="755" w:type="pct"/>
            <w:vAlign w:val="center"/>
          </w:tcPr>
          <w:p w14:paraId="7D696512">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1620</w:t>
            </w:r>
          </w:p>
        </w:tc>
        <w:tc>
          <w:tcPr>
            <w:tcW w:w="967" w:type="pct"/>
            <w:vAlign w:val="center"/>
          </w:tcPr>
          <w:p w14:paraId="4F574E76">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1614</w:t>
            </w:r>
          </w:p>
        </w:tc>
        <w:tc>
          <w:tcPr>
            <w:tcW w:w="795" w:type="pct"/>
            <w:vAlign w:val="center"/>
          </w:tcPr>
          <w:p w14:paraId="6369E67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1614</w:t>
            </w:r>
          </w:p>
        </w:tc>
      </w:tr>
      <w:tr w14:paraId="4D992A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64" w:type="pct"/>
            <w:vAlign w:val="center"/>
          </w:tcPr>
          <w:p w14:paraId="0C060E9F">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m:oMathPara>
              <m:oMath>
                <m:sSup>
                  <m:sSupPr>
                    <m:ctrlPr>
                      <w:rPr>
                        <w:rFonts w:ascii="Cambria Math" w:hAnsi="Cambria Math" w:eastAsia="宋体" w:cs="Times New Roman"/>
                        <w:i/>
                        <w:color w:val="000000"/>
                        <w:sz w:val="21"/>
                        <w:szCs w:val="21"/>
                        <w14:ligatures w14:val="none"/>
                      </w:rPr>
                    </m:ctrlPr>
                  </m:sSupPr>
                  <m:e>
                    <m:r>
                      <m:rPr/>
                      <w:rPr>
                        <w:rFonts w:ascii="Cambria Math" w:hAnsi="Cambria Math" w:eastAsia="宋体" w:cs="Times New Roman"/>
                        <w:color w:val="000000"/>
                        <w:sz w:val="21"/>
                        <w:szCs w:val="21"/>
                        <w14:ligatures w14:val="none"/>
                      </w:rPr>
                      <m:t>Adj.  R</m:t>
                    </m:r>
                    <m:ctrlPr>
                      <w:rPr>
                        <w:rFonts w:ascii="Cambria Math" w:hAnsi="Cambria Math" w:eastAsia="宋体" w:cs="Times New Roman"/>
                        <w:i/>
                        <w:color w:val="000000"/>
                        <w:sz w:val="21"/>
                        <w:szCs w:val="21"/>
                        <w14:ligatures w14:val="none"/>
                      </w:rPr>
                    </m:ctrlPr>
                  </m:e>
                  <m:sup>
                    <m:r>
                      <m:rPr/>
                      <w:rPr>
                        <w:rFonts w:ascii="Cambria Math" w:hAnsi="Cambria Math" w:eastAsia="宋体" w:cs="Times New Roman"/>
                        <w:color w:val="000000"/>
                        <w:sz w:val="21"/>
                        <w:szCs w:val="21"/>
                        <w14:ligatures w14:val="none"/>
                      </w:rPr>
                      <m:t>2</m:t>
                    </m:r>
                    <m:ctrlPr>
                      <w:rPr>
                        <w:rFonts w:ascii="Cambria Math" w:hAnsi="Cambria Math" w:eastAsia="宋体" w:cs="Times New Roman"/>
                        <w:i/>
                        <w:color w:val="000000"/>
                        <w:sz w:val="21"/>
                        <w:szCs w:val="21"/>
                        <w14:ligatures w14:val="none"/>
                      </w:rPr>
                    </m:ctrlPr>
                  </m:sup>
                </m:sSup>
              </m:oMath>
            </m:oMathPara>
          </w:p>
        </w:tc>
        <w:tc>
          <w:tcPr>
            <w:tcW w:w="664" w:type="pct"/>
            <w:vAlign w:val="center"/>
          </w:tcPr>
          <w:p w14:paraId="5F6B924C">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0.95%</w:t>
            </w:r>
          </w:p>
        </w:tc>
        <w:tc>
          <w:tcPr>
            <w:tcW w:w="755" w:type="pct"/>
            <w:vAlign w:val="center"/>
          </w:tcPr>
          <w:p w14:paraId="3CD851B7">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6.09%</w:t>
            </w:r>
          </w:p>
        </w:tc>
        <w:tc>
          <w:tcPr>
            <w:tcW w:w="755" w:type="pct"/>
            <w:vAlign w:val="center"/>
          </w:tcPr>
          <w:p w14:paraId="51C3A6BB">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7.05%</w:t>
            </w:r>
          </w:p>
        </w:tc>
        <w:tc>
          <w:tcPr>
            <w:tcW w:w="967" w:type="pct"/>
            <w:vAlign w:val="center"/>
          </w:tcPr>
          <w:p w14:paraId="59E03830">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10.43%</w:t>
            </w:r>
          </w:p>
        </w:tc>
        <w:tc>
          <w:tcPr>
            <w:tcW w:w="795" w:type="pct"/>
            <w:vAlign w:val="center"/>
          </w:tcPr>
          <w:p w14:paraId="09D864A1">
            <w:pPr>
              <w:adjustRightInd w:val="0"/>
              <w:snapToGrid w:val="0"/>
              <w:spacing w:after="0" w:line="400" w:lineRule="exact"/>
              <w:jc w:val="center"/>
              <w:textAlignment w:val="baseline"/>
              <w:rPr>
                <w:rFonts w:ascii="Times New Roman" w:hAnsi="Times New Roman" w:eastAsia="宋体" w:cs="Times New Roman"/>
                <w:color w:val="000000"/>
                <w:sz w:val="21"/>
                <w:szCs w:val="21"/>
                <w14:ligatures w14:val="none"/>
              </w:rPr>
            </w:pPr>
            <w:r>
              <w:rPr>
                <w:rFonts w:hint="eastAsia" w:ascii="Times New Roman" w:hAnsi="Times New Roman" w:eastAsia="宋体" w:cs="Times New Roman"/>
                <w:color w:val="000000"/>
                <w:sz w:val="21"/>
                <w:szCs w:val="21"/>
                <w14:ligatures w14:val="none"/>
              </w:rPr>
              <w:t>12.05%</w:t>
            </w:r>
          </w:p>
        </w:tc>
      </w:tr>
    </w:tbl>
    <w:p w14:paraId="07F25CA8">
      <w:pPr>
        <w:widowControl/>
        <w:adjustRightInd w:val="0"/>
        <w:spacing w:after="0" w:line="280" w:lineRule="exact"/>
        <w:ind w:firstLine="360" w:firstLineChars="200"/>
        <w:textAlignment w:val="baseline"/>
        <w:rPr>
          <w:rFonts w:ascii="Times New Roman" w:hAnsi="Times New Roman" w:eastAsia="宋体" w:cs="Times New Roman"/>
          <w:iCs/>
          <w:color w:val="000000"/>
          <w:sz w:val="18"/>
          <w:szCs w:val="18"/>
          <w14:ligatures w14:val="none"/>
        </w:rPr>
      </w:pPr>
      <w:r>
        <w:rPr>
          <w:rFonts w:hint="eastAsia" w:ascii="Times New Roman" w:hAnsi="Times New Roman" w:eastAsia="宋体" w:cs="Times New Roman"/>
          <w:iCs/>
          <w:color w:val="000000"/>
          <w:sz w:val="18"/>
          <w:szCs w:val="18"/>
          <w14:ligatures w14:val="none"/>
        </w:rPr>
        <w:t>注：各回归的自变量均在横截面上进行了标准化和</w:t>
      </w:r>
      <w:r>
        <w:rPr>
          <w:rFonts w:ascii="Times New Roman" w:hAnsi="Times New Roman" w:eastAsia="宋体" w:cs="Times New Roman"/>
          <w:iCs/>
          <w:color w:val="000000"/>
          <w:sz w:val="18"/>
          <w:szCs w:val="18"/>
          <w14:ligatures w14:val="none"/>
        </w:rPr>
        <w:t>1%</w:t>
      </w:r>
      <w:r>
        <w:rPr>
          <w:rFonts w:hint="eastAsia" w:ascii="Times New Roman" w:hAnsi="Times New Roman" w:eastAsia="宋体" w:cs="Times New Roman"/>
          <w:iCs/>
          <w:color w:val="000000"/>
          <w:sz w:val="18"/>
          <w:szCs w:val="18"/>
          <w14:ligatures w14:val="none"/>
        </w:rPr>
        <w:t>水平的缩尾处理。</w:t>
      </w:r>
    </w:p>
    <w:p w14:paraId="77D947A2">
      <w:pPr>
        <w:widowControl/>
        <w:spacing w:after="0" w:line="240" w:lineRule="auto"/>
        <w:rPr>
          <w:rFonts w:ascii="Times New Roman" w:hAnsi="Times New Roman" w:eastAsia="黑体" w:cs="Times New Roman"/>
          <w:color w:val="000000"/>
          <w:sz w:val="21"/>
          <w:szCs w:val="21"/>
          <w14:ligatures w14:val="none"/>
        </w:rPr>
        <w:sectPr>
          <w:footnotePr>
            <w:numFmt w:val="decimalEnclosedCircleChinese"/>
            <w:numRestart w:val="eachSect"/>
          </w:footnotePr>
          <w:endnotePr>
            <w:numFmt w:val="decimalEnclosedCircleChinese"/>
          </w:endnotePr>
          <w:pgSz w:w="11906" w:h="16838"/>
          <w:pgMar w:top="1440" w:right="1800" w:bottom="1440" w:left="1800" w:header="624" w:footer="624" w:gutter="0"/>
          <w:pgNumType w:start="1"/>
          <w:cols w:space="720" w:num="1"/>
          <w:docGrid w:type="lines" w:linePitch="404" w:charSpace="3926"/>
        </w:sectPr>
      </w:pPr>
    </w:p>
    <w:p w14:paraId="659E114D">
      <w:pPr>
        <w:keepNext/>
        <w:spacing w:before="120" w:after="120" w:line="240" w:lineRule="auto"/>
        <w:ind w:firstLine="420" w:firstLineChars="200"/>
        <w:jc w:val="both"/>
        <w:outlineLvl w:val="1"/>
        <w:rPr>
          <w:rFonts w:ascii="Times New Roman" w:hAnsi="Times New Roman" w:eastAsia="黑体" w:cs="Times New Roman"/>
          <w:bCs/>
          <w:iCs/>
          <w:color w:val="000000"/>
          <w:sz w:val="21"/>
          <w14:ligatures w14:val="none"/>
        </w:rPr>
      </w:pPr>
      <w:r>
        <w:rPr>
          <w:rFonts w:hint="eastAsia" w:ascii="Times New Roman" w:hAnsi="Times New Roman" w:eastAsia="黑体" w:cs="Times New Roman"/>
          <w:bCs/>
          <w:iCs/>
          <w:color w:val="000000"/>
          <w:sz w:val="21"/>
          <w14:ligatures w14:val="none"/>
        </w:rPr>
        <w:t>附录5：投资者预期协同的机制检验</w:t>
      </w:r>
    </w:p>
    <w:p w14:paraId="7C0AB61F">
      <w:pPr>
        <w:spacing w:after="0" w:line="240" w:lineRule="auto"/>
        <w:jc w:val="center"/>
        <w:rPr>
          <w:rFonts w:ascii="Times New Roman" w:hAnsi="Times New Roman" w:eastAsia="黑体" w:cs="Times New Roman"/>
          <w:color w:val="000000"/>
          <w:sz w:val="21"/>
          <w:szCs w:val="20"/>
          <w14:ligatures w14:val="none"/>
        </w:rPr>
      </w:pPr>
      <w:r>
        <w:rPr>
          <w:rFonts w:hint="eastAsia" w:ascii="Times New Roman" w:hAnsi="Times New Roman" w:eastAsia="黑体" w:cs="Times New Roman"/>
          <w:color w:val="000000"/>
          <w:sz w:val="21"/>
          <w:szCs w:val="20"/>
          <w14:ligatures w14:val="none"/>
        </w:rPr>
        <w:t>附表4  基于错误定价的机制检验（风险调整后）</w:t>
      </w:r>
    </w:p>
    <w:tbl>
      <w:tblPr>
        <w:tblStyle w:val="26"/>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1225"/>
        <w:gridCol w:w="1186"/>
        <w:gridCol w:w="1311"/>
        <w:gridCol w:w="1311"/>
        <w:gridCol w:w="1140"/>
        <w:gridCol w:w="1124"/>
      </w:tblGrid>
      <w:tr w14:paraId="47E65E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19" w:type="pct"/>
            <w:vMerge w:val="restart"/>
            <w:noWrap/>
            <w:vAlign w:val="center"/>
          </w:tcPr>
          <w:p w14:paraId="41F9CCD5">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投资组合</w:t>
            </w:r>
          </w:p>
        </w:tc>
        <w:tc>
          <w:tcPr>
            <w:tcW w:w="1415" w:type="pct"/>
            <w:gridSpan w:val="2"/>
            <w:noWrap/>
            <w:vAlign w:val="center"/>
          </w:tcPr>
          <w:p w14:paraId="096894A5">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MS Sans Serif" w:cs="Times New Roman"/>
                <w:color w:val="000000"/>
                <w:kern w:val="0"/>
                <w:sz w:val="21"/>
                <w:szCs w:val="21"/>
                <w:lang w:bidi="ar"/>
                <w14:ligatures w14:val="none"/>
              </w:rPr>
              <w:t>Panel A</w:t>
            </w:r>
            <w:r>
              <w:rPr>
                <w:rFonts w:ascii="Times New Roman" w:hAnsi="Times New Roman" w:eastAsia="宋体" w:cs="Times New Roman"/>
                <w:color w:val="000000"/>
                <w:kern w:val="0"/>
                <w:sz w:val="21"/>
                <w:szCs w:val="21"/>
                <w:lang w:bidi="ar"/>
                <w14:ligatures w14:val="none"/>
              </w:rPr>
              <w:t>：融券可行性</w:t>
            </w:r>
          </w:p>
        </w:tc>
        <w:tc>
          <w:tcPr>
            <w:tcW w:w="1537" w:type="pct"/>
            <w:gridSpan w:val="2"/>
            <w:noWrap/>
            <w:vAlign w:val="center"/>
          </w:tcPr>
          <w:p w14:paraId="09CAECFA">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MS Sans Serif" w:cs="Times New Roman"/>
                <w:color w:val="000000"/>
                <w:kern w:val="0"/>
                <w:sz w:val="21"/>
                <w:szCs w:val="21"/>
                <w:lang w:bidi="ar"/>
                <w14:ligatures w14:val="none"/>
              </w:rPr>
              <w:t>Panel B</w:t>
            </w:r>
            <w:r>
              <w:rPr>
                <w:rFonts w:ascii="Times New Roman" w:hAnsi="Times New Roman" w:eastAsia="宋体" w:cs="Times New Roman"/>
                <w:color w:val="000000"/>
                <w:kern w:val="0"/>
                <w:sz w:val="21"/>
                <w:szCs w:val="21"/>
                <w:lang w:bidi="ar"/>
                <w14:ligatures w14:val="none"/>
              </w:rPr>
              <w:t>：机构持股比例</w:t>
            </w:r>
          </w:p>
        </w:tc>
        <w:tc>
          <w:tcPr>
            <w:tcW w:w="1328" w:type="pct"/>
            <w:gridSpan w:val="2"/>
            <w:vAlign w:val="center"/>
          </w:tcPr>
          <w:p w14:paraId="05FCA22D">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MS Sans Serif" w:cs="Times New Roman"/>
                <w:color w:val="000000"/>
                <w:kern w:val="0"/>
                <w:sz w:val="21"/>
                <w:szCs w:val="21"/>
                <w:lang w:bidi="ar"/>
                <w14:ligatures w14:val="none"/>
              </w:rPr>
              <w:t xml:space="preserve">Panel </w:t>
            </w:r>
            <w:r>
              <w:rPr>
                <w:rFonts w:hint="eastAsia" w:ascii="Times New Roman" w:hAnsi="Times New Roman" w:eastAsia="等线" w:cs="Times New Roman"/>
                <w:color w:val="000000"/>
                <w:kern w:val="0"/>
                <w:sz w:val="21"/>
                <w:szCs w:val="21"/>
                <w:lang w:bidi="ar"/>
                <w14:ligatures w14:val="none"/>
              </w:rPr>
              <w:t>C</w:t>
            </w:r>
            <w:r>
              <w:rPr>
                <w:rFonts w:ascii="Times New Roman" w:hAnsi="Times New Roman" w:eastAsia="宋体" w:cs="Times New Roman"/>
                <w:color w:val="000000"/>
                <w:kern w:val="0"/>
                <w:sz w:val="21"/>
                <w:szCs w:val="21"/>
                <w:lang w:bidi="ar"/>
                <w14:ligatures w14:val="none"/>
              </w:rPr>
              <w:t>：非流动性</w:t>
            </w:r>
          </w:p>
        </w:tc>
      </w:tr>
      <w:tr w14:paraId="2A1CF0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719" w:type="pct"/>
            <w:vMerge w:val="continue"/>
            <w:vAlign w:val="center"/>
          </w:tcPr>
          <w:p w14:paraId="6BC64EFE">
            <w:pPr>
              <w:widowControl/>
              <w:adjustRightInd w:val="0"/>
              <w:snapToGrid w:val="0"/>
              <w:spacing w:after="0" w:line="400" w:lineRule="atLeast"/>
              <w:rPr>
                <w:rFonts w:ascii="Times New Roman" w:hAnsi="Times New Roman" w:eastAsia="宋体" w:cs="Times New Roman"/>
                <w:color w:val="000000"/>
                <w:kern w:val="0"/>
                <w:sz w:val="21"/>
                <w:szCs w:val="21"/>
                <w14:ligatures w14:val="none"/>
              </w:rPr>
            </w:pPr>
          </w:p>
        </w:tc>
        <w:tc>
          <w:tcPr>
            <w:tcW w:w="719" w:type="pct"/>
            <w:noWrap/>
            <w:vAlign w:val="center"/>
          </w:tcPr>
          <w:p w14:paraId="4458E17D">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不可融券</w:t>
            </w:r>
          </w:p>
        </w:tc>
        <w:tc>
          <w:tcPr>
            <w:tcW w:w="696" w:type="pct"/>
            <w:noWrap/>
            <w:vAlign w:val="center"/>
          </w:tcPr>
          <w:p w14:paraId="20CF4D15">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可融券</w:t>
            </w:r>
          </w:p>
        </w:tc>
        <w:tc>
          <w:tcPr>
            <w:tcW w:w="769" w:type="pct"/>
            <w:noWrap/>
            <w:vAlign w:val="center"/>
          </w:tcPr>
          <w:p w14:paraId="0D1AD6AC">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低</w:t>
            </w:r>
          </w:p>
        </w:tc>
        <w:tc>
          <w:tcPr>
            <w:tcW w:w="769" w:type="pct"/>
            <w:noWrap/>
            <w:vAlign w:val="center"/>
          </w:tcPr>
          <w:p w14:paraId="59AA38DC">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高</w:t>
            </w:r>
          </w:p>
        </w:tc>
        <w:tc>
          <w:tcPr>
            <w:tcW w:w="669" w:type="pct"/>
            <w:vAlign w:val="center"/>
          </w:tcPr>
          <w:p w14:paraId="21A211B6">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低</w:t>
            </w:r>
          </w:p>
        </w:tc>
        <w:tc>
          <w:tcPr>
            <w:tcW w:w="659" w:type="pct"/>
            <w:vAlign w:val="center"/>
          </w:tcPr>
          <w:p w14:paraId="618E45E9">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高</w:t>
            </w:r>
          </w:p>
        </w:tc>
      </w:tr>
      <w:tr w14:paraId="2F92A34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9" w:type="pct"/>
            <w:vAlign w:val="center"/>
          </w:tcPr>
          <w:p w14:paraId="334FF884">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低IED</w:t>
            </w:r>
          </w:p>
        </w:tc>
        <w:tc>
          <w:tcPr>
            <w:tcW w:w="719" w:type="pct"/>
            <w:noWrap/>
            <w:vAlign w:val="center"/>
          </w:tcPr>
          <w:p w14:paraId="2F9C3B41">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0.04</w:t>
            </w:r>
          </w:p>
          <w:p w14:paraId="2888A109">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0.20</w:t>
            </w:r>
            <w:r>
              <w:rPr>
                <w:rFonts w:ascii="Times New Roman" w:hAnsi="Times New Roman" w:eastAsia="宋体" w:cs="Times New Roman"/>
                <w:color w:val="000000"/>
                <w:kern w:val="0"/>
                <w:sz w:val="21"/>
                <w:szCs w:val="21"/>
                <w14:ligatures w14:val="none"/>
              </w:rPr>
              <w:t>]</w:t>
            </w:r>
          </w:p>
        </w:tc>
        <w:tc>
          <w:tcPr>
            <w:tcW w:w="696" w:type="pct"/>
            <w:noWrap/>
            <w:vAlign w:val="center"/>
          </w:tcPr>
          <w:p w14:paraId="5CFD04C0">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-0.09</w:t>
            </w:r>
          </w:p>
          <w:p w14:paraId="1C968E9E">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-0.55</w:t>
            </w:r>
            <w:r>
              <w:rPr>
                <w:rFonts w:ascii="Times New Roman" w:hAnsi="Times New Roman" w:eastAsia="宋体" w:cs="Times New Roman"/>
                <w:color w:val="000000"/>
                <w:kern w:val="0"/>
                <w:sz w:val="21"/>
                <w:szCs w:val="21"/>
                <w14:ligatures w14:val="none"/>
              </w:rPr>
              <w:t>]</w:t>
            </w:r>
          </w:p>
        </w:tc>
        <w:tc>
          <w:tcPr>
            <w:tcW w:w="769" w:type="pct"/>
            <w:noWrap/>
            <w:vAlign w:val="center"/>
          </w:tcPr>
          <w:p w14:paraId="15EA10B6">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-0.01</w:t>
            </w:r>
          </w:p>
          <w:p w14:paraId="6C1A99BB">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-0.04</w:t>
            </w:r>
            <w:r>
              <w:rPr>
                <w:rFonts w:ascii="Times New Roman" w:hAnsi="Times New Roman" w:eastAsia="宋体" w:cs="Times New Roman"/>
                <w:color w:val="000000"/>
                <w:kern w:val="0"/>
                <w:sz w:val="21"/>
                <w:szCs w:val="21"/>
                <w14:ligatures w14:val="none"/>
              </w:rPr>
              <w:t>]</w:t>
            </w:r>
          </w:p>
        </w:tc>
        <w:tc>
          <w:tcPr>
            <w:tcW w:w="769" w:type="pct"/>
            <w:noWrap/>
            <w:vAlign w:val="center"/>
          </w:tcPr>
          <w:p w14:paraId="3308C332">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-0.17</w:t>
            </w:r>
          </w:p>
          <w:p w14:paraId="53888182">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w:t>
            </w:r>
            <w:r>
              <w:rPr>
                <w:rFonts w:ascii="Times New Roman" w:hAnsi="Times New Roman" w:eastAsia="宋体" w:cs="Times New Roman"/>
                <w:color w:val="000000"/>
                <w:kern w:val="0"/>
                <w:sz w:val="21"/>
                <w:szCs w:val="21"/>
                <w14:ligatures w14:val="none"/>
              </w:rPr>
              <w:t>1</w:t>
            </w:r>
            <w:r>
              <w:rPr>
                <w:rFonts w:hint="eastAsia" w:ascii="Times New Roman" w:hAnsi="Times New Roman" w:eastAsia="宋体" w:cs="Times New Roman"/>
                <w:color w:val="000000"/>
                <w:kern w:val="0"/>
                <w:sz w:val="21"/>
                <w:szCs w:val="21"/>
                <w14:ligatures w14:val="none"/>
              </w:rPr>
              <w:t>.12</w:t>
            </w:r>
            <w:r>
              <w:rPr>
                <w:rFonts w:ascii="Times New Roman" w:hAnsi="Times New Roman" w:eastAsia="宋体" w:cs="Times New Roman"/>
                <w:color w:val="000000"/>
                <w:kern w:val="0"/>
                <w:sz w:val="21"/>
                <w:szCs w:val="21"/>
                <w14:ligatures w14:val="none"/>
              </w:rPr>
              <w:t>]</w:t>
            </w:r>
          </w:p>
        </w:tc>
        <w:tc>
          <w:tcPr>
            <w:tcW w:w="669" w:type="pct"/>
            <w:vAlign w:val="center"/>
          </w:tcPr>
          <w:p w14:paraId="6E19F610">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-0.11</w:t>
            </w:r>
          </w:p>
          <w:p w14:paraId="62AD9B9E">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-0.60</w:t>
            </w:r>
            <w:r>
              <w:rPr>
                <w:rFonts w:ascii="Times New Roman" w:hAnsi="Times New Roman" w:eastAsia="宋体" w:cs="Times New Roman"/>
                <w:color w:val="000000"/>
                <w:kern w:val="0"/>
                <w:sz w:val="21"/>
                <w:szCs w:val="21"/>
                <w14:ligatures w14:val="none"/>
              </w:rPr>
              <w:t>]</w:t>
            </w:r>
          </w:p>
        </w:tc>
        <w:tc>
          <w:tcPr>
            <w:tcW w:w="659" w:type="pct"/>
            <w:vAlign w:val="center"/>
          </w:tcPr>
          <w:p w14:paraId="7CB6D2FB">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0.31</w:t>
            </w:r>
            <w:r>
              <w:rPr>
                <w:rFonts w:ascii="Times New Roman" w:hAnsi="Times New Roman" w:eastAsia="宋体" w:cs="Times New Roman"/>
                <w:color w:val="000000"/>
                <w:kern w:val="0"/>
                <w:sz w:val="21"/>
                <w:szCs w:val="21"/>
                <w14:ligatures w14:val="none"/>
              </w:rPr>
              <w:t>**</w:t>
            </w:r>
          </w:p>
          <w:p w14:paraId="3937DFD4">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[2.</w:t>
            </w:r>
            <w:r>
              <w:rPr>
                <w:rFonts w:hint="eastAsia" w:ascii="Times New Roman" w:hAnsi="Times New Roman" w:eastAsia="宋体" w:cs="Times New Roman"/>
                <w:color w:val="000000"/>
                <w:kern w:val="0"/>
                <w:sz w:val="21"/>
                <w:szCs w:val="21"/>
                <w14:ligatures w14:val="none"/>
              </w:rPr>
              <w:t>05</w:t>
            </w:r>
            <w:r>
              <w:rPr>
                <w:rFonts w:ascii="Times New Roman" w:hAnsi="Times New Roman" w:eastAsia="宋体" w:cs="Times New Roman"/>
                <w:color w:val="000000"/>
                <w:kern w:val="0"/>
                <w:sz w:val="21"/>
                <w:szCs w:val="21"/>
                <w14:ligatures w14:val="none"/>
              </w:rPr>
              <w:t>]</w:t>
            </w:r>
          </w:p>
        </w:tc>
      </w:tr>
      <w:tr w14:paraId="364460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9" w:type="pct"/>
            <w:vAlign w:val="center"/>
          </w:tcPr>
          <w:p w14:paraId="49741579">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高IED</w:t>
            </w:r>
          </w:p>
        </w:tc>
        <w:tc>
          <w:tcPr>
            <w:tcW w:w="719" w:type="pct"/>
            <w:noWrap/>
            <w:vAlign w:val="center"/>
          </w:tcPr>
          <w:p w14:paraId="1DC1EDAB">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-1.03***</w:t>
            </w:r>
          </w:p>
          <w:p w14:paraId="179963B3">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-4.34</w:t>
            </w:r>
            <w:r>
              <w:rPr>
                <w:rFonts w:ascii="Times New Roman" w:hAnsi="Times New Roman" w:eastAsia="宋体" w:cs="Times New Roman"/>
                <w:color w:val="000000"/>
                <w:kern w:val="0"/>
                <w:sz w:val="21"/>
                <w:szCs w:val="21"/>
                <w14:ligatures w14:val="none"/>
              </w:rPr>
              <w:t>]</w:t>
            </w:r>
          </w:p>
        </w:tc>
        <w:tc>
          <w:tcPr>
            <w:tcW w:w="696" w:type="pct"/>
            <w:noWrap/>
            <w:vAlign w:val="center"/>
          </w:tcPr>
          <w:p w14:paraId="2CFB5DBA">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-0.01</w:t>
            </w:r>
          </w:p>
          <w:p w14:paraId="729291E1">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-0.08</w:t>
            </w:r>
            <w:r>
              <w:rPr>
                <w:rFonts w:ascii="Times New Roman" w:hAnsi="Times New Roman" w:eastAsia="宋体" w:cs="Times New Roman"/>
                <w:color w:val="000000"/>
                <w:kern w:val="0"/>
                <w:sz w:val="21"/>
                <w:szCs w:val="21"/>
                <w14:ligatures w14:val="none"/>
              </w:rPr>
              <w:t>]</w:t>
            </w:r>
          </w:p>
        </w:tc>
        <w:tc>
          <w:tcPr>
            <w:tcW w:w="769" w:type="pct"/>
            <w:noWrap/>
            <w:vAlign w:val="center"/>
          </w:tcPr>
          <w:p w14:paraId="639FBF80">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-0.76**</w:t>
            </w:r>
          </w:p>
          <w:p w14:paraId="4490D692">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-2.40</w:t>
            </w:r>
            <w:r>
              <w:rPr>
                <w:rFonts w:ascii="Times New Roman" w:hAnsi="Times New Roman" w:eastAsia="宋体" w:cs="Times New Roman"/>
                <w:color w:val="000000"/>
                <w:kern w:val="0"/>
                <w:sz w:val="21"/>
                <w:szCs w:val="21"/>
                <w14:ligatures w14:val="none"/>
              </w:rPr>
              <w:t>]</w:t>
            </w:r>
          </w:p>
        </w:tc>
        <w:tc>
          <w:tcPr>
            <w:tcW w:w="769" w:type="pct"/>
            <w:noWrap/>
            <w:vAlign w:val="center"/>
          </w:tcPr>
          <w:p w14:paraId="53752868">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-0.08</w:t>
            </w:r>
          </w:p>
          <w:p w14:paraId="03846E18">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-0.44</w:t>
            </w:r>
            <w:r>
              <w:rPr>
                <w:rFonts w:ascii="Times New Roman" w:hAnsi="Times New Roman" w:eastAsia="宋体" w:cs="Times New Roman"/>
                <w:color w:val="000000"/>
                <w:kern w:val="0"/>
                <w:sz w:val="21"/>
                <w:szCs w:val="21"/>
                <w14:ligatures w14:val="none"/>
              </w:rPr>
              <w:t>]</w:t>
            </w:r>
          </w:p>
        </w:tc>
        <w:tc>
          <w:tcPr>
            <w:tcW w:w="669" w:type="pct"/>
            <w:vAlign w:val="center"/>
          </w:tcPr>
          <w:p w14:paraId="4549DC48">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-0.30*</w:t>
            </w:r>
          </w:p>
          <w:p w14:paraId="73590247">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-1.78</w:t>
            </w:r>
            <w:r>
              <w:rPr>
                <w:rFonts w:ascii="Times New Roman" w:hAnsi="Times New Roman" w:eastAsia="宋体" w:cs="Times New Roman"/>
                <w:color w:val="000000"/>
                <w:kern w:val="0"/>
                <w:sz w:val="21"/>
                <w:szCs w:val="21"/>
                <w14:ligatures w14:val="none"/>
              </w:rPr>
              <w:t>]</w:t>
            </w:r>
          </w:p>
        </w:tc>
        <w:tc>
          <w:tcPr>
            <w:tcW w:w="659" w:type="pct"/>
            <w:vAlign w:val="center"/>
          </w:tcPr>
          <w:p w14:paraId="4403A91F">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-0.35*</w:t>
            </w:r>
          </w:p>
          <w:p w14:paraId="38B942CC">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-1.71</w:t>
            </w:r>
            <w:r>
              <w:rPr>
                <w:rFonts w:ascii="Times New Roman" w:hAnsi="Times New Roman" w:eastAsia="宋体" w:cs="Times New Roman"/>
                <w:color w:val="000000"/>
                <w:kern w:val="0"/>
                <w:sz w:val="21"/>
                <w:szCs w:val="21"/>
                <w14:ligatures w14:val="none"/>
              </w:rPr>
              <w:t>]</w:t>
            </w:r>
          </w:p>
        </w:tc>
      </w:tr>
      <w:tr w14:paraId="3C8A90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9" w:type="pct"/>
            <w:vAlign w:val="center"/>
          </w:tcPr>
          <w:p w14:paraId="2656AE24">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对冲组合</w:t>
            </w:r>
          </w:p>
          <w:p w14:paraId="08DC3F8D">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　</w:t>
            </w:r>
          </w:p>
        </w:tc>
        <w:tc>
          <w:tcPr>
            <w:tcW w:w="719" w:type="pct"/>
            <w:noWrap/>
            <w:vAlign w:val="center"/>
          </w:tcPr>
          <w:p w14:paraId="7A1A617E">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1.06***</w:t>
            </w:r>
          </w:p>
          <w:p w14:paraId="0F67FC87">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4.14</w:t>
            </w:r>
            <w:r>
              <w:rPr>
                <w:rFonts w:ascii="Times New Roman" w:hAnsi="Times New Roman" w:eastAsia="宋体" w:cs="Times New Roman"/>
                <w:color w:val="000000"/>
                <w:kern w:val="0"/>
                <w:sz w:val="21"/>
                <w:szCs w:val="21"/>
                <w14:ligatures w14:val="none"/>
              </w:rPr>
              <w:t>]</w:t>
            </w:r>
          </w:p>
        </w:tc>
        <w:tc>
          <w:tcPr>
            <w:tcW w:w="696" w:type="pct"/>
            <w:noWrap/>
            <w:vAlign w:val="center"/>
          </w:tcPr>
          <w:p w14:paraId="6F69BA59">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-0.07</w:t>
            </w:r>
          </w:p>
          <w:p w14:paraId="234F71AE">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-0.27</w:t>
            </w:r>
            <w:r>
              <w:rPr>
                <w:rFonts w:ascii="Times New Roman" w:hAnsi="Times New Roman" w:eastAsia="宋体" w:cs="Times New Roman"/>
                <w:color w:val="000000"/>
                <w:kern w:val="0"/>
                <w:sz w:val="21"/>
                <w:szCs w:val="21"/>
                <w14:ligatures w14:val="none"/>
              </w:rPr>
              <w:t>]</w:t>
            </w:r>
          </w:p>
        </w:tc>
        <w:tc>
          <w:tcPr>
            <w:tcW w:w="769" w:type="pct"/>
            <w:noWrap/>
            <w:vAlign w:val="center"/>
          </w:tcPr>
          <w:p w14:paraId="3057E57A">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75</w:t>
            </w:r>
            <w:r>
              <w:rPr>
                <w:rFonts w:ascii="Times New Roman" w:hAnsi="Times New Roman" w:eastAsia="宋体" w:cs="Times New Roman"/>
                <w:color w:val="000000"/>
                <w:kern w:val="0"/>
                <w:sz w:val="21"/>
                <w:szCs w:val="21"/>
                <w14:ligatures w14:val="none"/>
              </w:rPr>
              <w:t>**</w:t>
            </w:r>
          </w:p>
          <w:p w14:paraId="6A762133">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[2.</w:t>
            </w:r>
            <w:r>
              <w:rPr>
                <w:rFonts w:hint="eastAsia" w:ascii="Times New Roman" w:hAnsi="Times New Roman" w:eastAsia="宋体" w:cs="Times New Roman"/>
                <w:color w:val="000000"/>
                <w:kern w:val="0"/>
                <w:sz w:val="21"/>
                <w:szCs w:val="21"/>
                <w14:ligatures w14:val="none"/>
              </w:rPr>
              <w:t>20</w:t>
            </w:r>
            <w:r>
              <w:rPr>
                <w:rFonts w:ascii="Times New Roman" w:hAnsi="Times New Roman" w:eastAsia="宋体" w:cs="Times New Roman"/>
                <w:color w:val="000000"/>
                <w:kern w:val="0"/>
                <w:sz w:val="21"/>
                <w:szCs w:val="21"/>
                <w14:ligatures w14:val="none"/>
              </w:rPr>
              <w:t>]</w:t>
            </w:r>
          </w:p>
        </w:tc>
        <w:tc>
          <w:tcPr>
            <w:tcW w:w="769" w:type="pct"/>
            <w:noWrap/>
            <w:vAlign w:val="center"/>
          </w:tcPr>
          <w:p w14:paraId="6CBB9B75">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-0.09</w:t>
            </w:r>
          </w:p>
          <w:p w14:paraId="50E49045">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-0.37</w:t>
            </w:r>
            <w:r>
              <w:rPr>
                <w:rFonts w:ascii="Times New Roman" w:hAnsi="Times New Roman" w:eastAsia="宋体" w:cs="Times New Roman"/>
                <w:color w:val="000000"/>
                <w:kern w:val="0"/>
                <w:sz w:val="21"/>
                <w:szCs w:val="21"/>
                <w14:ligatures w14:val="none"/>
              </w:rPr>
              <w:t>]</w:t>
            </w:r>
          </w:p>
        </w:tc>
        <w:tc>
          <w:tcPr>
            <w:tcW w:w="669" w:type="pct"/>
            <w:vAlign w:val="center"/>
          </w:tcPr>
          <w:p w14:paraId="6167CBBE">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r>
              <w:rPr>
                <w:rFonts w:hint="eastAsia" w:ascii="Times New Roman" w:hAnsi="Times New Roman" w:eastAsia="宋体" w:cs="Times New Roman"/>
                <w:color w:val="000000"/>
                <w:kern w:val="0"/>
                <w:sz w:val="21"/>
                <w:szCs w:val="21"/>
                <w14:ligatures w14:val="none"/>
              </w:rPr>
              <w:t>19</w:t>
            </w:r>
          </w:p>
          <w:p w14:paraId="182D372D">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0.69</w:t>
            </w:r>
            <w:r>
              <w:rPr>
                <w:rFonts w:ascii="Times New Roman" w:hAnsi="Times New Roman" w:eastAsia="宋体" w:cs="Times New Roman"/>
                <w:color w:val="000000"/>
                <w:kern w:val="0"/>
                <w:sz w:val="21"/>
                <w:szCs w:val="21"/>
                <w14:ligatures w14:val="none"/>
              </w:rPr>
              <w:t>]</w:t>
            </w:r>
          </w:p>
        </w:tc>
        <w:tc>
          <w:tcPr>
            <w:tcW w:w="659" w:type="pct"/>
            <w:vAlign w:val="center"/>
          </w:tcPr>
          <w:p w14:paraId="208CF4D1">
            <w:pPr>
              <w:widowControl/>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0.6</w:t>
            </w:r>
            <w:r>
              <w:rPr>
                <w:rFonts w:hint="eastAsia" w:ascii="Times New Roman" w:hAnsi="Times New Roman" w:eastAsia="宋体" w:cs="Times New Roman"/>
                <w:color w:val="000000"/>
                <w:kern w:val="0"/>
                <w:sz w:val="21"/>
                <w:szCs w:val="21"/>
                <w14:ligatures w14:val="none"/>
              </w:rPr>
              <w:t>6</w:t>
            </w:r>
            <w:r>
              <w:rPr>
                <w:rFonts w:ascii="Times New Roman" w:hAnsi="Times New Roman" w:eastAsia="宋体" w:cs="Times New Roman"/>
                <w:color w:val="000000"/>
                <w:kern w:val="0"/>
                <w:sz w:val="21"/>
                <w:szCs w:val="21"/>
                <w14:ligatures w14:val="none"/>
              </w:rPr>
              <w:t>***</w:t>
            </w:r>
          </w:p>
          <w:p w14:paraId="19AA7D03">
            <w:pPr>
              <w:adjustRightInd w:val="0"/>
              <w:snapToGrid w:val="0"/>
              <w:spacing w:after="0" w:line="400" w:lineRule="atLeast"/>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w:t>
            </w:r>
            <w:r>
              <w:rPr>
                <w:rFonts w:hint="eastAsia" w:ascii="Times New Roman" w:hAnsi="Times New Roman" w:eastAsia="宋体" w:cs="Times New Roman"/>
                <w:color w:val="000000"/>
                <w:kern w:val="0"/>
                <w:sz w:val="21"/>
                <w:szCs w:val="21"/>
                <w14:ligatures w14:val="none"/>
              </w:rPr>
              <w:t>2.65</w:t>
            </w:r>
            <w:r>
              <w:rPr>
                <w:rFonts w:ascii="Times New Roman" w:hAnsi="Times New Roman" w:eastAsia="宋体" w:cs="Times New Roman"/>
                <w:color w:val="000000"/>
                <w:kern w:val="0"/>
                <w:sz w:val="21"/>
                <w:szCs w:val="21"/>
                <w14:ligatures w14:val="none"/>
              </w:rPr>
              <w:t>]</w:t>
            </w:r>
          </w:p>
        </w:tc>
      </w:tr>
    </w:tbl>
    <w:p w14:paraId="5944D18E">
      <w:pPr>
        <w:widowControl/>
        <w:adjustRightInd w:val="0"/>
        <w:spacing w:after="0" w:line="280" w:lineRule="exact"/>
        <w:ind w:firstLine="360" w:firstLineChars="200"/>
        <w:textAlignment w:val="baseline"/>
        <w:rPr>
          <w:rFonts w:ascii="Times New Roman" w:hAnsi="Times New Roman" w:eastAsia="宋体" w:cs="Times New Roman"/>
          <w:iCs/>
          <w:color w:val="000000"/>
          <w:sz w:val="18"/>
          <w:szCs w:val="18"/>
          <w14:ligatures w14:val="none"/>
        </w:rPr>
      </w:pPr>
      <w:r>
        <w:rPr>
          <w:rFonts w:hint="eastAsia" w:ascii="Times New Roman" w:hAnsi="Times New Roman" w:eastAsia="宋体" w:cs="Times New Roman"/>
          <w:iCs/>
          <w:color w:val="000000"/>
          <w:sz w:val="18"/>
          <w:szCs w:val="18"/>
          <w14:ligatures w14:val="none"/>
        </w:rPr>
        <w:t>注：各组合的收益率均经过Fama-French五因子模型进行风险调整。</w:t>
      </w:r>
    </w:p>
    <w:p w14:paraId="76BAB720">
      <w:pPr>
        <w:rPr>
          <w:rFonts w:hint="eastAsia"/>
        </w:rPr>
      </w:pPr>
    </w:p>
    <w:sectPr>
      <w:footerReference r:id="rId5" w:type="default"/>
      <w:footnotePr>
        <w:numFmt w:val="decimalEnclosedCircleChinese"/>
        <w:numRestart w:val="eachSect"/>
      </w:footnotePr>
      <w:pgSz w:w="11906" w:h="16838"/>
      <w:pgMar w:top="1440" w:right="1800" w:bottom="1440" w:left="1800" w:header="624" w:footer="624" w:gutter="0"/>
      <w:cols w:space="720" w:num="1"/>
      <w:docGrid w:type="lines" w:linePitch="404" w:charSpace="39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pPr>
        <w:spacing w:line="240" w:lineRule="auto"/>
      </w:pPr>
      <w:r>
        <w:separator/>
      </w:r>
    </w:p>
  </w:endnote>
  <w:endnote w:type="continuationSeparator" w:id="3">
    <w:p>
      <w:pPr>
        <w:spacing w:line="240" w:lineRule="auto"/>
      </w:pPr>
      <w:r>
        <w:continuationSeparator/>
      </w:r>
    </w:p>
  </w:endnote>
  <w:endnote w:id="0">
    <w:p w14:paraId="69F038AE">
      <w:pPr>
        <w:pStyle w:val="15"/>
        <w:ind w:firstLine="420"/>
      </w:pPr>
      <w:r>
        <w:rPr>
          <w:rStyle w:val="29"/>
        </w:rPr>
        <w:endnoteRef/>
      </w:r>
      <w:r>
        <w:t xml:space="preserve"> </w:t>
      </w:r>
      <w:r>
        <w:rPr>
          <w:rFonts w:hint="eastAsia"/>
        </w:rPr>
        <w:t>中外文人名（机构名）对照：法马(Fama)；弗伦奇(French)；罗森堡(Rosenberg)；拉科尼肖克(Lakonishok)；班达里(Bhandari)；利曾伯格(Litzenberger)；拉马斯瓦米(Ramaswamy)；巴苏(Basu)；理査森(Richardson)；布杜克(Boudoukh)；洛克伍德(Lockwood)；蓬布特(Prombutr)；阿巴伯内尔(Abarbanell)；布希(Bushee)；巴比(Barbee)；托马斯(Thomas)；张(Zhang)；斯隆(Sloan)；哈夫扎拉(Hafzalla)；麦康奈尔(Mcconnell)；莫斯卡雷拉(Muscarella)；良德列斯(Lyandres)；库珀(Cooper)；贝洛(Belo)；林(Lin)；赫舒拉发(Hirshleifer)；图泽尔(Tuzel)；蒂特曼(Titman)；索利曼(Soliman)；阿斯内斯(Asness)；钱德拉谢卡尔(Chandrashekar)；拉奥(Rao)；帕拉佐(Palazzo)；豪根(Haugen)；贝克(Baker)；格林布拉特(Greenblatt)；诺维-马克斯(Novy-Marx)；姜(Jiang)；巴拉克里希南(Balakrishnan)；侯(Hou)；格林(Green)；迪切夫(Dichev)；欧(Ou)；彭曼(Penman)；格特尔曼(Gettleman)；马克斯(Marks)；莫斯科维茨(Moskowitz)；格林布拉特(Grinblatt)；杰格迪什(Jegadeesh)；迪姆松(Dimson)；洪(Ang)；麦克白(MacBeth)；弗拉齐尼(Frazzini)；佩徳森(Pedersen)；洪(Hong)；斯雷尔(Sraer)；阿米胡德(Amihud)；巴利(Bali)；布卢姆(Blume)；胡西奇(Husic)；班茨(Banz)；乔迪亚(Chordia)；达塔尔(Datar)；刘(Liu)；陈(Chan)；李(Li)；里亚希-贝尔考伊(Riahi-Belkaoui)；陈(Chen)；潘扎利斯(Pantzalis)；帕克(Park)；卢(Lou)；哈恩(Hahn)；李(Le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OHHKO L+ Gulliver">
    <w:altName w:val="宋体"/>
    <w:panose1 w:val="00000000000000000000"/>
    <w:charset w:val="86"/>
    <w:family w:val="roma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MS Sans Serif">
    <w:altName w:val="Microsoft Sans Serif"/>
    <w:panose1 w:val="00000000000000000000"/>
    <w:charset w:val="00"/>
    <w:family w:val="auto"/>
    <w:pitch w:val="default"/>
    <w:sig w:usb0="00000000" w:usb1="00000000" w:usb2="00000000" w:usb3="00000000" w:csb0="00000000" w:csb1="00000000"/>
  </w:font>
  <w:font w:name="Microsoft Sans Serif">
    <w:panose1 w:val="020B0604020202020204"/>
    <w:charset w:val="00"/>
    <w:family w:val="auto"/>
    <w:pitch w:val="default"/>
    <w:sig w:usb0="E5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463621"/>
    </w:sdtPr>
    <w:sdtContent>
      <w:p w14:paraId="6A6F74FF">
        <w:pPr>
          <w:pStyle w:val="55"/>
          <w:ind w:firstLine="360"/>
          <w:jc w:val="center"/>
        </w:pPr>
        <w:r>
          <w:fldChar w:fldCharType="begin"/>
        </w:r>
        <w:r>
          <w:instrText xml:space="preserve">PAGE   \* MERGEFORMAT</w:instrText>
        </w:r>
        <w:r>
          <w:fldChar w:fldCharType="separate"/>
        </w:r>
        <w:r>
          <w:rPr>
            <w:lang w:val="zh-CN"/>
          </w:rPr>
          <w:t>2</w:t>
        </w:r>
        <w:r>
          <w:fldChar w:fldCharType="end"/>
        </w:r>
      </w:p>
    </w:sdtContent>
  </w:sdt>
  <w:p w14:paraId="50E84389">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6835AA"/>
    <w:multiLevelType w:val="multilevel"/>
    <w:tmpl w:val="5D6835A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pStyle w:val="84"/>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5D315C9"/>
    <w:multiLevelType w:val="multilevel"/>
    <w:tmpl w:val="65D315C9"/>
    <w:lvl w:ilvl="0" w:tentative="0">
      <w:start w:val="1"/>
      <w:numFmt w:val="decimal"/>
      <w:pStyle w:val="90"/>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Sect"/>
    <w:footnote w:id="0"/>
    <w:footnote w:id="1"/>
  </w:footnotePr>
  <w:endnotePr>
    <w:numFmt w:val="decimalEnclosedCircleChinese"/>
    <w:endnote w:id="2"/>
    <w:endnote w:id="3"/>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08D"/>
    <w:rsid w:val="000136B2"/>
    <w:rsid w:val="00037C1B"/>
    <w:rsid w:val="00053F80"/>
    <w:rsid w:val="00056B9C"/>
    <w:rsid w:val="0008494C"/>
    <w:rsid w:val="000920A9"/>
    <w:rsid w:val="0011104B"/>
    <w:rsid w:val="00126292"/>
    <w:rsid w:val="00152373"/>
    <w:rsid w:val="00165493"/>
    <w:rsid w:val="0018091F"/>
    <w:rsid w:val="001E3679"/>
    <w:rsid w:val="002029A3"/>
    <w:rsid w:val="002337C6"/>
    <w:rsid w:val="002351F4"/>
    <w:rsid w:val="00287D18"/>
    <w:rsid w:val="002A04C2"/>
    <w:rsid w:val="002A1EF1"/>
    <w:rsid w:val="002A4F76"/>
    <w:rsid w:val="002C6458"/>
    <w:rsid w:val="002E373F"/>
    <w:rsid w:val="00321C40"/>
    <w:rsid w:val="00334521"/>
    <w:rsid w:val="003D2ECA"/>
    <w:rsid w:val="00426BE1"/>
    <w:rsid w:val="00456E71"/>
    <w:rsid w:val="0047751E"/>
    <w:rsid w:val="004A2BBA"/>
    <w:rsid w:val="004B5612"/>
    <w:rsid w:val="004C4582"/>
    <w:rsid w:val="004D0303"/>
    <w:rsid w:val="00521243"/>
    <w:rsid w:val="00576991"/>
    <w:rsid w:val="00576FAB"/>
    <w:rsid w:val="00587D1F"/>
    <w:rsid w:val="005B4C19"/>
    <w:rsid w:val="005D03E8"/>
    <w:rsid w:val="00632E79"/>
    <w:rsid w:val="0064371D"/>
    <w:rsid w:val="0068620F"/>
    <w:rsid w:val="006B2C8C"/>
    <w:rsid w:val="006C217E"/>
    <w:rsid w:val="007A014B"/>
    <w:rsid w:val="008010A7"/>
    <w:rsid w:val="00827A04"/>
    <w:rsid w:val="008310AA"/>
    <w:rsid w:val="00833240"/>
    <w:rsid w:val="008356AA"/>
    <w:rsid w:val="00864846"/>
    <w:rsid w:val="00884FE0"/>
    <w:rsid w:val="008D629C"/>
    <w:rsid w:val="008E5FAF"/>
    <w:rsid w:val="008F582D"/>
    <w:rsid w:val="00935F3D"/>
    <w:rsid w:val="0097028F"/>
    <w:rsid w:val="00975D6B"/>
    <w:rsid w:val="009E32C1"/>
    <w:rsid w:val="009F5AE9"/>
    <w:rsid w:val="00A1343B"/>
    <w:rsid w:val="00A34404"/>
    <w:rsid w:val="00A51210"/>
    <w:rsid w:val="00A5747D"/>
    <w:rsid w:val="00A70088"/>
    <w:rsid w:val="00A73D2E"/>
    <w:rsid w:val="00A937B3"/>
    <w:rsid w:val="00A93C2D"/>
    <w:rsid w:val="00AA30BA"/>
    <w:rsid w:val="00AD008D"/>
    <w:rsid w:val="00AF3666"/>
    <w:rsid w:val="00B03D4F"/>
    <w:rsid w:val="00B12D80"/>
    <w:rsid w:val="00B21C88"/>
    <w:rsid w:val="00B23211"/>
    <w:rsid w:val="00B25066"/>
    <w:rsid w:val="00B8609E"/>
    <w:rsid w:val="00B91595"/>
    <w:rsid w:val="00BB2E5C"/>
    <w:rsid w:val="00BC5C80"/>
    <w:rsid w:val="00BD4A9E"/>
    <w:rsid w:val="00BF126E"/>
    <w:rsid w:val="00C513E6"/>
    <w:rsid w:val="00C91E3A"/>
    <w:rsid w:val="00CA4CAA"/>
    <w:rsid w:val="00CD058C"/>
    <w:rsid w:val="00CF3488"/>
    <w:rsid w:val="00D37EF9"/>
    <w:rsid w:val="00D479B1"/>
    <w:rsid w:val="00D522BB"/>
    <w:rsid w:val="00DC006F"/>
    <w:rsid w:val="00DC0909"/>
    <w:rsid w:val="00DC09C2"/>
    <w:rsid w:val="00DD2ADD"/>
    <w:rsid w:val="00DE388C"/>
    <w:rsid w:val="00E01F84"/>
    <w:rsid w:val="00E53E3F"/>
    <w:rsid w:val="00E64066"/>
    <w:rsid w:val="00E6425E"/>
    <w:rsid w:val="00ED6873"/>
    <w:rsid w:val="00EF627B"/>
    <w:rsid w:val="00EF6C9F"/>
    <w:rsid w:val="00F00169"/>
    <w:rsid w:val="00F04EC8"/>
    <w:rsid w:val="00F2790E"/>
    <w:rsid w:val="00F44A22"/>
    <w:rsid w:val="00F81098"/>
    <w:rsid w:val="00F8654D"/>
    <w:rsid w:val="00FA0028"/>
    <w:rsid w:val="00FF13FB"/>
    <w:rsid w:val="3C096E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99" w:semiHidden="0" w:name="footnote text"/>
    <w:lsdException w:unhideWhenUsed="0"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3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6"/>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7"/>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8"/>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4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4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11">
    <w:name w:val="caption"/>
    <w:basedOn w:val="1"/>
    <w:next w:val="1"/>
    <w:link w:val="68"/>
    <w:semiHidden/>
    <w:unhideWhenUsed/>
    <w:qFormat/>
    <w:uiPriority w:val="35"/>
    <w:rPr>
      <w:rFonts w:ascii="Times New Roman" w:hAnsi="Times New Roman" w:eastAsia="黑体" w:cs="Times New Roman"/>
      <w:szCs w:val="20"/>
      <w14:ligatures w14:val="none"/>
    </w:rPr>
  </w:style>
  <w:style w:type="paragraph" w:styleId="12">
    <w:name w:val="annotation text"/>
    <w:basedOn w:val="1"/>
    <w:link w:val="58"/>
    <w:uiPriority w:val="99"/>
    <w:pPr>
      <w:adjustRightInd w:val="0"/>
      <w:spacing w:after="0" w:line="240" w:lineRule="auto"/>
      <w:ind w:firstLine="200" w:firstLineChars="200"/>
      <w:textAlignment w:val="baseline"/>
    </w:pPr>
    <w:rPr>
      <w:rFonts w:ascii="Times New Roman" w:hAnsi="Times New Roman" w:eastAsia="宋体" w:cs="Times New Roman"/>
      <w:sz w:val="21"/>
      <w14:ligatures w14:val="none"/>
    </w:rPr>
  </w:style>
  <w:style w:type="paragraph" w:styleId="13">
    <w:name w:val="toc 3"/>
    <w:basedOn w:val="1"/>
    <w:next w:val="1"/>
    <w:uiPriority w:val="39"/>
    <w:pPr>
      <w:adjustRightInd w:val="0"/>
      <w:spacing w:after="0" w:line="240" w:lineRule="auto"/>
      <w:ind w:left="840" w:leftChars="400" w:firstLine="200" w:firstLineChars="200"/>
      <w:jc w:val="both"/>
      <w:textAlignment w:val="baseline"/>
    </w:pPr>
    <w:rPr>
      <w:rFonts w:ascii="Times New Roman" w:hAnsi="Times New Roman" w:eastAsia="宋体" w:cs="Times New Roman"/>
      <w:sz w:val="21"/>
      <w14:ligatures w14:val="none"/>
    </w:rPr>
  </w:style>
  <w:style w:type="paragraph" w:styleId="14">
    <w:name w:val="Date"/>
    <w:basedOn w:val="1"/>
    <w:next w:val="1"/>
    <w:link w:val="59"/>
    <w:uiPriority w:val="0"/>
    <w:pPr>
      <w:adjustRightInd w:val="0"/>
      <w:spacing w:after="0" w:line="240" w:lineRule="auto"/>
      <w:ind w:left="100" w:leftChars="2500" w:firstLine="200" w:firstLineChars="200"/>
      <w:jc w:val="both"/>
      <w:textAlignment w:val="baseline"/>
    </w:pPr>
    <w:rPr>
      <w:rFonts w:ascii="Times New Roman" w:hAnsi="Times New Roman" w:eastAsia="宋体" w:cs="Times New Roman"/>
      <w:sz w:val="21"/>
      <w14:ligatures w14:val="none"/>
    </w:rPr>
  </w:style>
  <w:style w:type="paragraph" w:styleId="15">
    <w:name w:val="endnote text"/>
    <w:basedOn w:val="1"/>
    <w:link w:val="99"/>
    <w:semiHidden/>
    <w:unhideWhenUsed/>
    <w:uiPriority w:val="99"/>
    <w:pPr>
      <w:adjustRightInd w:val="0"/>
      <w:snapToGrid w:val="0"/>
      <w:spacing w:after="0" w:line="240" w:lineRule="auto"/>
      <w:ind w:firstLine="200" w:firstLineChars="200"/>
      <w:textAlignment w:val="baseline"/>
    </w:pPr>
    <w:rPr>
      <w:rFonts w:ascii="Times New Roman" w:hAnsi="Times New Roman" w:eastAsia="宋体" w:cs="Times New Roman"/>
      <w:sz w:val="21"/>
      <w14:ligatures w14:val="none"/>
    </w:rPr>
  </w:style>
  <w:style w:type="paragraph" w:styleId="16">
    <w:name w:val="Balloon Text"/>
    <w:basedOn w:val="1"/>
    <w:link w:val="60"/>
    <w:uiPriority w:val="0"/>
    <w:pPr>
      <w:adjustRightInd w:val="0"/>
      <w:spacing w:after="0" w:line="240" w:lineRule="auto"/>
      <w:ind w:firstLine="200" w:firstLineChars="200"/>
      <w:jc w:val="both"/>
      <w:textAlignment w:val="baseline"/>
    </w:pPr>
    <w:rPr>
      <w:rFonts w:ascii="Times New Roman" w:hAnsi="Times New Roman" w:eastAsia="宋体" w:cs="Times New Roman"/>
      <w:sz w:val="18"/>
      <w:szCs w:val="18"/>
      <w14:ligatures w14:val="none"/>
    </w:rPr>
  </w:style>
  <w:style w:type="paragraph" w:styleId="17">
    <w:name w:val="footer"/>
    <w:basedOn w:val="1"/>
    <w:link w:val="101"/>
    <w:unhideWhenUsed/>
    <w:uiPriority w:val="99"/>
    <w:pPr>
      <w:tabs>
        <w:tab w:val="center" w:pos="4153"/>
        <w:tab w:val="right" w:pos="8306"/>
      </w:tabs>
      <w:snapToGrid w:val="0"/>
      <w:spacing w:line="240" w:lineRule="auto"/>
    </w:pPr>
    <w:rPr>
      <w:sz w:val="18"/>
      <w:szCs w:val="18"/>
    </w:rPr>
  </w:style>
  <w:style w:type="paragraph" w:styleId="18">
    <w:name w:val="header"/>
    <w:basedOn w:val="1"/>
    <w:link w:val="100"/>
    <w:unhideWhenUsed/>
    <w:uiPriority w:val="99"/>
    <w:pPr>
      <w:tabs>
        <w:tab w:val="center" w:pos="4153"/>
        <w:tab w:val="right" w:pos="8306"/>
      </w:tabs>
      <w:snapToGrid w:val="0"/>
      <w:spacing w:line="240" w:lineRule="auto"/>
      <w:jc w:val="center"/>
    </w:pPr>
    <w:rPr>
      <w:sz w:val="18"/>
      <w:szCs w:val="18"/>
    </w:rPr>
  </w:style>
  <w:style w:type="paragraph" w:styleId="19">
    <w:name w:val="toc 1"/>
    <w:basedOn w:val="1"/>
    <w:next w:val="1"/>
    <w:qFormat/>
    <w:uiPriority w:val="39"/>
    <w:pPr>
      <w:adjustRightInd w:val="0"/>
      <w:spacing w:after="0" w:line="240" w:lineRule="auto"/>
      <w:ind w:firstLine="200" w:firstLineChars="200"/>
      <w:jc w:val="both"/>
      <w:textAlignment w:val="baseline"/>
    </w:pPr>
    <w:rPr>
      <w:rFonts w:ascii="Times New Roman" w:hAnsi="Times New Roman" w:eastAsia="宋体" w:cs="Times New Roman"/>
      <w:sz w:val="21"/>
      <w14:ligatures w14:val="none"/>
    </w:rPr>
  </w:style>
  <w:style w:type="paragraph" w:styleId="20">
    <w:name w:val="Subtitle"/>
    <w:basedOn w:val="1"/>
    <w:next w:val="1"/>
    <w:link w:val="4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footnote text"/>
    <w:basedOn w:val="1"/>
    <w:link w:val="61"/>
    <w:uiPriority w:val="99"/>
    <w:pPr>
      <w:snapToGrid w:val="0"/>
      <w:spacing w:after="0" w:line="240" w:lineRule="auto"/>
      <w:ind w:firstLine="200" w:firstLineChars="200"/>
    </w:pPr>
    <w:rPr>
      <w:rFonts w:ascii="Times New Roman" w:hAnsi="Times New Roman" w:eastAsia="宋体" w:cs="Times New Roman"/>
      <w:sz w:val="18"/>
      <w:szCs w:val="20"/>
      <w14:ligatures w14:val="none"/>
    </w:rPr>
  </w:style>
  <w:style w:type="paragraph" w:styleId="22">
    <w:name w:val="toc 2"/>
    <w:basedOn w:val="1"/>
    <w:next w:val="1"/>
    <w:uiPriority w:val="39"/>
    <w:pPr>
      <w:tabs>
        <w:tab w:val="right" w:leader="dot" w:pos="9062"/>
      </w:tabs>
      <w:adjustRightInd w:val="0"/>
      <w:spacing w:after="0" w:line="240" w:lineRule="auto"/>
      <w:ind w:firstLine="200" w:firstLineChars="200"/>
      <w:jc w:val="both"/>
      <w:textAlignment w:val="baseline"/>
    </w:pPr>
    <w:rPr>
      <w:rFonts w:ascii="Times New Roman" w:hAnsi="Times New Roman" w:eastAsia="宋体" w:cs="Times New Roman"/>
      <w:sz w:val="21"/>
      <w14:ligatures w14:val="none"/>
    </w:rPr>
  </w:style>
  <w:style w:type="paragraph" w:styleId="23">
    <w:name w:val="Normal (Web)"/>
    <w:basedOn w:val="1"/>
    <w:uiPriority w:val="0"/>
    <w:pPr>
      <w:widowControl/>
      <w:spacing w:before="100" w:beforeAutospacing="1" w:after="100" w:afterAutospacing="1" w:line="240" w:lineRule="auto"/>
      <w:ind w:firstLine="200" w:firstLineChars="200"/>
    </w:pPr>
    <w:rPr>
      <w:rFonts w:ascii="Times New Roman" w:hAnsi="Times New Roman" w:eastAsia="宋体" w:cs="Times New Roman"/>
      <w:kern w:val="0"/>
      <w:sz w:val="21"/>
      <w:szCs w:val="20"/>
      <w14:ligatures w14:val="none"/>
    </w:rPr>
  </w:style>
  <w:style w:type="paragraph" w:styleId="24">
    <w:name w:val="Title"/>
    <w:basedOn w:val="1"/>
    <w:next w:val="1"/>
    <w:link w:val="44"/>
    <w:qFormat/>
    <w:uiPriority w:val="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5">
    <w:name w:val="annotation subject"/>
    <w:basedOn w:val="12"/>
    <w:next w:val="12"/>
    <w:link w:val="62"/>
    <w:semiHidden/>
    <w:unhideWhenUsed/>
    <w:uiPriority w:val="99"/>
    <w:rPr>
      <w:b/>
      <w:bCs/>
    </w:rPr>
  </w:style>
  <w:style w:type="table" w:styleId="27">
    <w:name w:val="Table Grid"/>
    <w:basedOn w:val="26"/>
    <w:uiPriority w:val="0"/>
    <w:pPr>
      <w:widowControl w:val="0"/>
      <w:adjustRightInd w:val="0"/>
      <w:spacing w:after="0" w:line="360" w:lineRule="atLeast"/>
      <w:jc w:val="both"/>
      <w:textAlignment w:val="baseline"/>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basedOn w:val="28"/>
    <w:semiHidden/>
    <w:unhideWhenUsed/>
    <w:uiPriority w:val="99"/>
    <w:rPr>
      <w:vertAlign w:val="superscript"/>
    </w:rPr>
  </w:style>
  <w:style w:type="character" w:styleId="30">
    <w:name w:val="page number"/>
    <w:uiPriority w:val="0"/>
  </w:style>
  <w:style w:type="character" w:styleId="31">
    <w:name w:val="FollowedHyperlink"/>
    <w:qFormat/>
    <w:uiPriority w:val="0"/>
    <w:rPr>
      <w:color w:val="800080"/>
      <w:u w:val="single"/>
    </w:rPr>
  </w:style>
  <w:style w:type="character" w:styleId="32">
    <w:name w:val="Hyperlink"/>
    <w:unhideWhenUsed/>
    <w:uiPriority w:val="99"/>
    <w:rPr>
      <w:color w:val="0563C1"/>
      <w:u w:val="single"/>
    </w:rPr>
  </w:style>
  <w:style w:type="character" w:styleId="33">
    <w:name w:val="annotation reference"/>
    <w:basedOn w:val="28"/>
    <w:semiHidden/>
    <w:unhideWhenUsed/>
    <w:uiPriority w:val="99"/>
    <w:rPr>
      <w:sz w:val="21"/>
      <w:szCs w:val="21"/>
    </w:rPr>
  </w:style>
  <w:style w:type="character" w:styleId="34">
    <w:name w:val="footnote reference"/>
    <w:semiHidden/>
    <w:uiPriority w:val="99"/>
    <w:rPr>
      <w:vertAlign w:val="superscript"/>
    </w:rPr>
  </w:style>
  <w:style w:type="character" w:customStyle="1" w:styleId="35">
    <w:name w:val="标题 1 字符"/>
    <w:basedOn w:val="28"/>
    <w:link w:val="2"/>
    <w:uiPriority w:val="0"/>
    <w:rPr>
      <w:rFonts w:asciiTheme="majorHAnsi" w:hAnsiTheme="majorHAnsi" w:eastAsiaTheme="majorEastAsia" w:cstheme="majorBidi"/>
      <w:color w:val="104862" w:themeColor="accent1" w:themeShade="BF"/>
      <w:sz w:val="48"/>
      <w:szCs w:val="48"/>
    </w:rPr>
  </w:style>
  <w:style w:type="character" w:customStyle="1" w:styleId="36">
    <w:name w:val="标题 2 字符"/>
    <w:basedOn w:val="28"/>
    <w:link w:val="3"/>
    <w:uiPriority w:val="0"/>
    <w:rPr>
      <w:rFonts w:asciiTheme="majorHAnsi" w:hAnsiTheme="majorHAnsi" w:eastAsiaTheme="majorEastAsia" w:cstheme="majorBidi"/>
      <w:color w:val="104862" w:themeColor="accent1" w:themeShade="BF"/>
      <w:sz w:val="40"/>
      <w:szCs w:val="40"/>
    </w:rPr>
  </w:style>
  <w:style w:type="character" w:customStyle="1" w:styleId="37">
    <w:name w:val="标题 3 字符"/>
    <w:basedOn w:val="28"/>
    <w:link w:val="4"/>
    <w:uiPriority w:val="0"/>
    <w:rPr>
      <w:rFonts w:asciiTheme="majorHAnsi" w:hAnsiTheme="majorHAnsi" w:eastAsiaTheme="majorEastAsia" w:cstheme="majorBidi"/>
      <w:color w:val="104862" w:themeColor="accent1" w:themeShade="BF"/>
      <w:sz w:val="32"/>
      <w:szCs w:val="32"/>
    </w:rPr>
  </w:style>
  <w:style w:type="character" w:customStyle="1" w:styleId="38">
    <w:name w:val="标题 4 字符"/>
    <w:basedOn w:val="28"/>
    <w:link w:val="5"/>
    <w:uiPriority w:val="0"/>
    <w:rPr>
      <w:rFonts w:cstheme="majorBidi"/>
      <w:color w:val="104862" w:themeColor="accent1" w:themeShade="BF"/>
      <w:sz w:val="28"/>
      <w:szCs w:val="28"/>
    </w:rPr>
  </w:style>
  <w:style w:type="character" w:customStyle="1" w:styleId="39">
    <w:name w:val="标题 5 字符"/>
    <w:basedOn w:val="28"/>
    <w:link w:val="6"/>
    <w:semiHidden/>
    <w:uiPriority w:val="9"/>
    <w:rPr>
      <w:rFonts w:cstheme="majorBidi"/>
      <w:color w:val="104862" w:themeColor="accent1" w:themeShade="BF"/>
      <w:sz w:val="24"/>
    </w:rPr>
  </w:style>
  <w:style w:type="character" w:customStyle="1" w:styleId="40">
    <w:name w:val="标题 6 字符"/>
    <w:basedOn w:val="28"/>
    <w:link w:val="7"/>
    <w:semiHidden/>
    <w:uiPriority w:val="9"/>
    <w:rPr>
      <w:rFonts w:cstheme="majorBidi"/>
      <w:b/>
      <w:bCs/>
      <w:color w:val="104862" w:themeColor="accent1" w:themeShade="BF"/>
    </w:rPr>
  </w:style>
  <w:style w:type="character" w:customStyle="1" w:styleId="41">
    <w:name w:val="标题 7 字符"/>
    <w:basedOn w:val="2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2">
    <w:name w:val="标题 8 字符"/>
    <w:basedOn w:val="2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3">
    <w:name w:val="标题 9 字符"/>
    <w:basedOn w:val="2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标题 字符"/>
    <w:basedOn w:val="28"/>
    <w:link w:val="24"/>
    <w:qFormat/>
    <w:uiPriority w:val="0"/>
    <w:rPr>
      <w:rFonts w:asciiTheme="majorHAnsi" w:hAnsiTheme="majorHAnsi" w:eastAsiaTheme="majorEastAsia" w:cstheme="majorBidi"/>
      <w:spacing w:val="-10"/>
      <w:kern w:val="28"/>
      <w:sz w:val="56"/>
      <w:szCs w:val="56"/>
    </w:rPr>
  </w:style>
  <w:style w:type="character" w:customStyle="1" w:styleId="45">
    <w:name w:val="副标题 字符"/>
    <w:basedOn w:val="28"/>
    <w:link w:val="20"/>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6">
    <w:name w:val="Quote"/>
    <w:basedOn w:val="1"/>
    <w:next w:val="1"/>
    <w:link w:val="4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7">
    <w:name w:val="引用 字符"/>
    <w:basedOn w:val="28"/>
    <w:link w:val="46"/>
    <w:uiPriority w:val="29"/>
    <w:rPr>
      <w:i/>
      <w:iCs/>
      <w:color w:val="404040" w:themeColor="text1" w:themeTint="BF"/>
      <w14:textFill>
        <w14:solidFill>
          <w14:schemeClr w14:val="tx1">
            <w14:lumMod w14:val="75000"/>
            <w14:lumOff w14:val="25000"/>
          </w14:schemeClr>
        </w14:solidFill>
      </w14:textFill>
    </w:rPr>
  </w:style>
  <w:style w:type="paragraph" w:styleId="48">
    <w:name w:val="List Paragraph"/>
    <w:basedOn w:val="1"/>
    <w:link w:val="91"/>
    <w:qFormat/>
    <w:uiPriority w:val="34"/>
    <w:pPr>
      <w:ind w:left="720"/>
      <w:contextualSpacing/>
    </w:pPr>
  </w:style>
  <w:style w:type="character" w:customStyle="1" w:styleId="49">
    <w:name w:val="Intense Emphasis"/>
    <w:basedOn w:val="28"/>
    <w:qFormat/>
    <w:uiPriority w:val="21"/>
    <w:rPr>
      <w:i/>
      <w:iCs/>
      <w:color w:val="104862" w:themeColor="accent1" w:themeShade="BF"/>
    </w:rPr>
  </w:style>
  <w:style w:type="paragraph" w:styleId="50">
    <w:name w:val="Intense Quote"/>
    <w:basedOn w:val="1"/>
    <w:next w:val="1"/>
    <w:link w:val="5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1">
    <w:name w:val="明显引用 字符"/>
    <w:basedOn w:val="28"/>
    <w:link w:val="50"/>
    <w:uiPriority w:val="30"/>
    <w:rPr>
      <w:i/>
      <w:iCs/>
      <w:color w:val="104862" w:themeColor="accent1" w:themeShade="BF"/>
    </w:rPr>
  </w:style>
  <w:style w:type="character" w:customStyle="1" w:styleId="52">
    <w:name w:val="Intense Reference"/>
    <w:basedOn w:val="28"/>
    <w:qFormat/>
    <w:uiPriority w:val="32"/>
    <w:rPr>
      <w:b/>
      <w:bCs/>
      <w:smallCaps/>
      <w:color w:val="104862" w:themeColor="accent1" w:themeShade="BF"/>
      <w:spacing w:val="5"/>
    </w:rPr>
  </w:style>
  <w:style w:type="paragraph" w:customStyle="1" w:styleId="53">
    <w:name w:val="页眉1"/>
    <w:basedOn w:val="1"/>
    <w:next w:val="18"/>
    <w:link w:val="54"/>
    <w:unhideWhenUsed/>
    <w:uiPriority w:val="99"/>
    <w:pPr>
      <w:tabs>
        <w:tab w:val="center" w:pos="4153"/>
        <w:tab w:val="right" w:pos="8306"/>
      </w:tabs>
      <w:snapToGrid w:val="0"/>
      <w:spacing w:after="0" w:line="240" w:lineRule="auto"/>
      <w:jc w:val="center"/>
    </w:pPr>
    <w:rPr>
      <w:rFonts w:ascii="Times New Roman" w:hAnsi="Times New Roman" w:eastAsia="宋体"/>
      <w:sz w:val="18"/>
      <w:szCs w:val="18"/>
      <w14:ligatures w14:val="none"/>
    </w:rPr>
  </w:style>
  <w:style w:type="character" w:customStyle="1" w:styleId="54">
    <w:name w:val="页眉 字符"/>
    <w:basedOn w:val="28"/>
    <w:link w:val="53"/>
    <w:qFormat/>
    <w:uiPriority w:val="99"/>
    <w:rPr>
      <w:rFonts w:ascii="Times New Roman" w:hAnsi="Times New Roman" w:eastAsia="宋体"/>
      <w:sz w:val="18"/>
      <w:szCs w:val="18"/>
      <w14:ligatures w14:val="none"/>
    </w:rPr>
  </w:style>
  <w:style w:type="paragraph" w:customStyle="1" w:styleId="55">
    <w:name w:val="页脚1"/>
    <w:basedOn w:val="1"/>
    <w:next w:val="17"/>
    <w:link w:val="56"/>
    <w:unhideWhenUsed/>
    <w:uiPriority w:val="99"/>
    <w:pPr>
      <w:tabs>
        <w:tab w:val="center" w:pos="4153"/>
        <w:tab w:val="right" w:pos="8306"/>
      </w:tabs>
      <w:snapToGrid w:val="0"/>
      <w:spacing w:after="0" w:line="240" w:lineRule="auto"/>
    </w:pPr>
    <w:rPr>
      <w:rFonts w:ascii="Times New Roman" w:hAnsi="Times New Roman" w:eastAsia="宋体"/>
      <w:sz w:val="18"/>
      <w:szCs w:val="18"/>
      <w14:ligatures w14:val="none"/>
    </w:rPr>
  </w:style>
  <w:style w:type="character" w:customStyle="1" w:styleId="56">
    <w:name w:val="页脚 字符"/>
    <w:basedOn w:val="28"/>
    <w:link w:val="55"/>
    <w:qFormat/>
    <w:uiPriority w:val="99"/>
    <w:rPr>
      <w:rFonts w:ascii="Times New Roman" w:hAnsi="Times New Roman" w:eastAsia="宋体"/>
      <w:sz w:val="18"/>
      <w:szCs w:val="18"/>
      <w14:ligatures w14:val="none"/>
    </w:rPr>
  </w:style>
  <w:style w:type="paragraph" w:customStyle="1" w:styleId="57">
    <w:name w:val="题注1"/>
    <w:basedOn w:val="1"/>
    <w:next w:val="1"/>
    <w:unhideWhenUsed/>
    <w:qFormat/>
    <w:uiPriority w:val="35"/>
    <w:pPr>
      <w:spacing w:after="0" w:line="240" w:lineRule="auto"/>
      <w:jc w:val="center"/>
    </w:pPr>
    <w:rPr>
      <w:rFonts w:ascii="Times New Roman" w:hAnsi="Times New Roman" w:eastAsia="黑体" w:cs="Times New Roman"/>
      <w:sz w:val="21"/>
      <w:szCs w:val="20"/>
      <w14:ligatures w14:val="none"/>
    </w:rPr>
  </w:style>
  <w:style w:type="character" w:customStyle="1" w:styleId="58">
    <w:name w:val="批注文字 字符"/>
    <w:basedOn w:val="28"/>
    <w:link w:val="12"/>
    <w:uiPriority w:val="99"/>
    <w:rPr>
      <w:rFonts w:ascii="Times New Roman" w:hAnsi="Times New Roman" w:eastAsia="宋体" w:cs="Times New Roman"/>
      <w:sz w:val="21"/>
      <w14:ligatures w14:val="none"/>
    </w:rPr>
  </w:style>
  <w:style w:type="character" w:customStyle="1" w:styleId="59">
    <w:name w:val="日期 字符"/>
    <w:basedOn w:val="28"/>
    <w:link w:val="14"/>
    <w:uiPriority w:val="0"/>
    <w:rPr>
      <w:rFonts w:ascii="Times New Roman" w:hAnsi="Times New Roman" w:eastAsia="宋体" w:cs="Times New Roman"/>
      <w:sz w:val="21"/>
      <w14:ligatures w14:val="none"/>
    </w:rPr>
  </w:style>
  <w:style w:type="character" w:customStyle="1" w:styleId="60">
    <w:name w:val="批注框文本 字符"/>
    <w:basedOn w:val="28"/>
    <w:link w:val="16"/>
    <w:qFormat/>
    <w:uiPriority w:val="0"/>
    <w:rPr>
      <w:rFonts w:ascii="Times New Roman" w:hAnsi="Times New Roman" w:eastAsia="宋体" w:cs="Times New Roman"/>
      <w:sz w:val="18"/>
      <w:szCs w:val="18"/>
      <w14:ligatures w14:val="none"/>
    </w:rPr>
  </w:style>
  <w:style w:type="character" w:customStyle="1" w:styleId="61">
    <w:name w:val="脚注文本 字符"/>
    <w:basedOn w:val="28"/>
    <w:link w:val="21"/>
    <w:qFormat/>
    <w:uiPriority w:val="99"/>
    <w:rPr>
      <w:rFonts w:ascii="Times New Roman" w:hAnsi="Times New Roman" w:eastAsia="宋体" w:cs="Times New Roman"/>
      <w:sz w:val="18"/>
      <w:szCs w:val="20"/>
      <w14:ligatures w14:val="none"/>
    </w:rPr>
  </w:style>
  <w:style w:type="character" w:customStyle="1" w:styleId="62">
    <w:name w:val="批注主题 字符"/>
    <w:basedOn w:val="58"/>
    <w:link w:val="25"/>
    <w:semiHidden/>
    <w:uiPriority w:val="99"/>
    <w:rPr>
      <w:rFonts w:ascii="Times New Roman" w:hAnsi="Times New Roman" w:eastAsia="宋体" w:cs="Times New Roman"/>
      <w:b/>
      <w:bCs/>
      <w:sz w:val="21"/>
      <w14:ligatures w14:val="none"/>
    </w:rPr>
  </w:style>
  <w:style w:type="paragraph" w:customStyle="1" w:styleId="63">
    <w:name w:val="书目1"/>
    <w:basedOn w:val="1"/>
    <w:next w:val="1"/>
    <w:unhideWhenUsed/>
    <w:qFormat/>
    <w:uiPriority w:val="37"/>
    <w:pPr>
      <w:tabs>
        <w:tab w:val="left" w:pos="384"/>
      </w:tabs>
      <w:spacing w:after="0" w:line="288" w:lineRule="auto"/>
      <w:ind w:left="384" w:hanging="384" w:firstLineChars="200"/>
      <w:jc w:val="both"/>
    </w:pPr>
    <w:rPr>
      <w:rFonts w:ascii="Times New Roman" w:hAnsi="Times New Roman" w:eastAsia="宋体" w:cs="Times New Roman"/>
      <w:sz w:val="21"/>
      <w14:ligatures w14:val="none"/>
    </w:rPr>
  </w:style>
  <w:style w:type="paragraph" w:customStyle="1" w:styleId="64">
    <w:name w:val="TOC 标题1"/>
    <w:basedOn w:val="2"/>
    <w:next w:val="1"/>
    <w:unhideWhenUsed/>
    <w:qFormat/>
    <w:uiPriority w:val="39"/>
    <w:pPr>
      <w:widowControl/>
      <w:spacing w:before="240" w:after="0" w:line="259" w:lineRule="auto"/>
      <w:ind w:firstLine="200" w:firstLineChars="200"/>
      <w:outlineLvl w:val="9"/>
    </w:pPr>
    <w:rPr>
      <w:rFonts w:ascii="等线 Light" w:hAnsi="等线 Light" w:eastAsia="等线 Light" w:cs="Times New Roman"/>
      <w:color w:val="2F5496"/>
      <w:kern w:val="0"/>
      <w:sz w:val="28"/>
      <w:szCs w:val="32"/>
      <w14:ligatures w14:val="none"/>
    </w:rPr>
  </w:style>
  <w:style w:type="character" w:styleId="65">
    <w:name w:val="Placeholder Text"/>
    <w:basedOn w:val="28"/>
    <w:semiHidden/>
    <w:qFormat/>
    <w:uiPriority w:val="99"/>
    <w:rPr>
      <w:color w:val="808080"/>
    </w:rPr>
  </w:style>
  <w:style w:type="paragraph" w:customStyle="1" w:styleId="66">
    <w:name w:val="TOC 标题2"/>
    <w:basedOn w:val="2"/>
    <w:next w:val="1"/>
    <w:unhideWhenUsed/>
    <w:qFormat/>
    <w:uiPriority w:val="39"/>
    <w:pPr>
      <w:widowControl/>
      <w:spacing w:before="240" w:after="0" w:line="259" w:lineRule="auto"/>
      <w:ind w:firstLine="200" w:firstLineChars="200"/>
      <w:outlineLvl w:val="9"/>
    </w:pPr>
    <w:rPr>
      <w:kern w:val="0"/>
      <w:sz w:val="28"/>
      <w:szCs w:val="32"/>
      <w14:ligatures w14:val="none"/>
    </w:rPr>
  </w:style>
  <w:style w:type="paragraph" w:customStyle="1" w:styleId="67">
    <w:name w:val="书目2"/>
    <w:basedOn w:val="1"/>
    <w:next w:val="1"/>
    <w:unhideWhenUsed/>
    <w:qFormat/>
    <w:uiPriority w:val="37"/>
    <w:pPr>
      <w:adjustRightInd w:val="0"/>
      <w:spacing w:after="0" w:line="240" w:lineRule="auto"/>
      <w:ind w:firstLine="200" w:firstLineChars="200"/>
      <w:jc w:val="both"/>
      <w:textAlignment w:val="baseline"/>
    </w:pPr>
    <w:rPr>
      <w:rFonts w:ascii="Times New Roman" w:hAnsi="Times New Roman" w:eastAsia="宋体" w:cs="Times New Roman"/>
      <w:sz w:val="21"/>
      <w14:ligatures w14:val="none"/>
    </w:rPr>
  </w:style>
  <w:style w:type="character" w:customStyle="1" w:styleId="68">
    <w:name w:val="题注 字符"/>
    <w:basedOn w:val="28"/>
    <w:link w:val="11"/>
    <w:qFormat/>
    <w:uiPriority w:val="35"/>
    <w:rPr>
      <w:rFonts w:ascii="Times New Roman" w:hAnsi="Times New Roman" w:eastAsia="黑体" w:cs="Times New Roman"/>
      <w:szCs w:val="20"/>
      <w14:ligatures w14:val="none"/>
    </w:rPr>
  </w:style>
  <w:style w:type="paragraph" w:customStyle="1" w:styleId="69">
    <w:name w:val="修订1"/>
    <w:hidden/>
    <w:semiHidden/>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paragraph" w:customStyle="1" w:styleId="70">
    <w:name w:val="修订2"/>
    <w:hidden/>
    <w:semiHidden/>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character" w:customStyle="1" w:styleId="71">
    <w:name w:val="Unresolved Mention"/>
    <w:basedOn w:val="28"/>
    <w:semiHidden/>
    <w:unhideWhenUsed/>
    <w:uiPriority w:val="99"/>
    <w:rPr>
      <w:color w:val="605E5C"/>
      <w:shd w:val="clear" w:color="auto" w:fill="E1DFDD"/>
    </w:rPr>
  </w:style>
  <w:style w:type="paragraph" w:customStyle="1" w:styleId="72">
    <w:name w:val="Revision"/>
    <w:hidden/>
    <w:semiHidden/>
    <w:uiPriority w:val="99"/>
    <w:pPr>
      <w:spacing w:after="0" w:line="240" w:lineRule="auto"/>
    </w:pPr>
    <w:rPr>
      <w:rFonts w:ascii="Times New Roman" w:hAnsi="Times New Roman" w:eastAsia="宋体" w:cs="Times New Roman"/>
      <w:kern w:val="2"/>
      <w:sz w:val="21"/>
      <w:szCs w:val="24"/>
      <w:lang w:val="en-US" w:eastAsia="zh-CN" w:bidi="ar-SA"/>
      <w14:ligatures w14:val="none"/>
    </w:rPr>
  </w:style>
  <w:style w:type="character" w:customStyle="1" w:styleId="73">
    <w:name w:val="font21"/>
    <w:basedOn w:val="28"/>
    <w:uiPriority w:val="0"/>
    <w:rPr>
      <w:rFonts w:hint="default" w:ascii="Times New Roman" w:hAnsi="Times New Roman" w:cs="Times New Roman"/>
      <w:color w:val="000000"/>
      <w:sz w:val="21"/>
      <w:szCs w:val="21"/>
      <w:u w:val="none"/>
    </w:rPr>
  </w:style>
  <w:style w:type="character" w:customStyle="1" w:styleId="74">
    <w:name w:val="font31"/>
    <w:basedOn w:val="28"/>
    <w:uiPriority w:val="0"/>
    <w:rPr>
      <w:rFonts w:hint="default" w:ascii="Times New Roman" w:hAnsi="Times New Roman" w:cs="Times New Roman"/>
      <w:color w:val="000000"/>
      <w:sz w:val="21"/>
      <w:szCs w:val="21"/>
      <w:u w:val="none"/>
      <w:vertAlign w:val="superscript"/>
    </w:rPr>
  </w:style>
  <w:style w:type="character" w:customStyle="1" w:styleId="75">
    <w:name w:val="font11"/>
    <w:basedOn w:val="28"/>
    <w:uiPriority w:val="0"/>
    <w:rPr>
      <w:rFonts w:hint="default" w:ascii="Times New Roman" w:hAnsi="Times New Roman" w:cs="Times New Roman"/>
      <w:color w:val="000000"/>
      <w:sz w:val="21"/>
      <w:szCs w:val="21"/>
      <w:u w:val="none"/>
    </w:rPr>
  </w:style>
  <w:style w:type="character" w:customStyle="1" w:styleId="76">
    <w:name w:val="font01"/>
    <w:basedOn w:val="28"/>
    <w:uiPriority w:val="0"/>
    <w:rPr>
      <w:rFonts w:hint="eastAsia" w:ascii="宋体" w:hAnsi="宋体" w:eastAsia="宋体"/>
      <w:color w:val="000000"/>
      <w:sz w:val="21"/>
      <w:szCs w:val="21"/>
      <w:u w:val="none"/>
    </w:rPr>
  </w:style>
  <w:style w:type="character" w:customStyle="1" w:styleId="77">
    <w:name w:val="transsent"/>
    <w:basedOn w:val="28"/>
    <w:uiPriority w:val="0"/>
  </w:style>
  <w:style w:type="paragraph" w:customStyle="1" w:styleId="78">
    <w:name w:val="公式居中"/>
    <w:basedOn w:val="11"/>
    <w:link w:val="79"/>
    <w:qFormat/>
    <w:uiPriority w:val="0"/>
    <w:pPr>
      <w:tabs>
        <w:tab w:val="center" w:pos="4111"/>
        <w:tab w:val="right" w:pos="8222"/>
      </w:tabs>
      <w:spacing w:after="0" w:line="240" w:lineRule="auto"/>
      <w:jc w:val="both"/>
    </w:pPr>
    <w:rPr>
      <w:rFonts w:eastAsia="OHHKO L+ Gulliver"/>
      <w:sz w:val="21"/>
      <w:szCs w:val="21"/>
    </w:rPr>
  </w:style>
  <w:style w:type="character" w:customStyle="1" w:styleId="79">
    <w:name w:val="公式居中 字符"/>
    <w:basedOn w:val="68"/>
    <w:link w:val="78"/>
    <w:uiPriority w:val="0"/>
    <w:rPr>
      <w:rFonts w:ascii="Times New Roman" w:hAnsi="Times New Roman" w:eastAsia="OHHKO L+ Gulliver" w:cs="Times New Roman"/>
      <w:sz w:val="21"/>
      <w:szCs w:val="21"/>
      <w14:ligatures w14:val="none"/>
    </w:rPr>
  </w:style>
  <w:style w:type="paragraph" w:customStyle="1" w:styleId="80">
    <w:name w:val="EndNote Bibliography Title"/>
    <w:basedOn w:val="1"/>
    <w:link w:val="81"/>
    <w:uiPriority w:val="0"/>
    <w:pPr>
      <w:adjustRightInd w:val="0"/>
      <w:spacing w:after="0" w:line="240" w:lineRule="auto"/>
      <w:ind w:firstLine="200" w:firstLineChars="200"/>
      <w:jc w:val="center"/>
      <w:textAlignment w:val="baseline"/>
    </w:pPr>
    <w:rPr>
      <w:rFonts w:ascii="Times New Roman" w:hAnsi="Times New Roman" w:eastAsia="宋体" w:cs="Times New Roman"/>
      <w:sz w:val="20"/>
      <w14:ligatures w14:val="none"/>
    </w:rPr>
  </w:style>
  <w:style w:type="character" w:customStyle="1" w:styleId="81">
    <w:name w:val="EndNote Bibliography Title 字符"/>
    <w:basedOn w:val="28"/>
    <w:link w:val="80"/>
    <w:uiPriority w:val="0"/>
    <w:rPr>
      <w:rFonts w:ascii="Times New Roman" w:hAnsi="Times New Roman" w:eastAsia="宋体" w:cs="Times New Roman"/>
      <w:sz w:val="20"/>
      <w14:ligatures w14:val="none"/>
    </w:rPr>
  </w:style>
  <w:style w:type="paragraph" w:customStyle="1" w:styleId="82">
    <w:name w:val="EndNote Bibliography"/>
    <w:basedOn w:val="1"/>
    <w:link w:val="83"/>
    <w:uiPriority w:val="0"/>
    <w:pPr>
      <w:adjustRightInd w:val="0"/>
      <w:spacing w:after="0" w:line="240" w:lineRule="auto"/>
      <w:ind w:firstLine="200" w:firstLineChars="200"/>
      <w:textAlignment w:val="baseline"/>
    </w:pPr>
    <w:rPr>
      <w:rFonts w:ascii="Times New Roman" w:hAnsi="Times New Roman" w:eastAsia="宋体" w:cs="Times New Roman"/>
      <w:sz w:val="20"/>
      <w14:ligatures w14:val="none"/>
    </w:rPr>
  </w:style>
  <w:style w:type="character" w:customStyle="1" w:styleId="83">
    <w:name w:val="EndNote Bibliography 字符"/>
    <w:basedOn w:val="28"/>
    <w:link w:val="82"/>
    <w:uiPriority w:val="0"/>
    <w:rPr>
      <w:rFonts w:ascii="Times New Roman" w:hAnsi="Times New Roman" w:eastAsia="宋体" w:cs="Times New Roman"/>
      <w:sz w:val="20"/>
      <w14:ligatures w14:val="none"/>
    </w:rPr>
  </w:style>
  <w:style w:type="paragraph" w:customStyle="1" w:styleId="84">
    <w:name w:val="参考文献"/>
    <w:basedOn w:val="82"/>
    <w:link w:val="85"/>
    <w:uiPriority w:val="0"/>
    <w:pPr>
      <w:numPr>
        <w:ilvl w:val="3"/>
        <w:numId w:val="1"/>
      </w:numPr>
      <w:spacing w:line="420" w:lineRule="exact"/>
      <w:ind w:left="0" w:firstLine="0" w:firstLineChars="0"/>
      <w:jc w:val="both"/>
    </w:pPr>
    <w:rPr>
      <w:iCs/>
      <w:szCs w:val="18"/>
    </w:rPr>
  </w:style>
  <w:style w:type="character" w:customStyle="1" w:styleId="85">
    <w:name w:val="参考文献 字符"/>
    <w:basedOn w:val="83"/>
    <w:link w:val="84"/>
    <w:uiPriority w:val="0"/>
    <w:rPr>
      <w:rFonts w:ascii="Times New Roman" w:hAnsi="Times New Roman" w:eastAsia="宋体" w:cs="Times New Roman"/>
      <w:iCs/>
      <w:sz w:val="20"/>
      <w:szCs w:val="18"/>
      <w14:ligatures w14:val="none"/>
    </w:rPr>
  </w:style>
  <w:style w:type="paragraph" w:customStyle="1" w:styleId="86">
    <w:name w:val="表注"/>
    <w:basedOn w:val="1"/>
    <w:link w:val="87"/>
    <w:qFormat/>
    <w:uiPriority w:val="0"/>
    <w:pPr>
      <w:widowControl/>
      <w:adjustRightInd w:val="0"/>
      <w:spacing w:after="0" w:line="280" w:lineRule="exact"/>
      <w:ind w:firstLine="200" w:firstLineChars="200"/>
      <w:textAlignment w:val="baseline"/>
    </w:pPr>
    <w:rPr>
      <w:rFonts w:ascii="Times New Roman" w:hAnsi="Times New Roman" w:eastAsia="宋体" w:cs="Times New Roman"/>
      <w:iCs/>
      <w:sz w:val="18"/>
      <w:szCs w:val="18"/>
      <w14:ligatures w14:val="none"/>
    </w:rPr>
  </w:style>
  <w:style w:type="character" w:customStyle="1" w:styleId="87">
    <w:name w:val="表注 字符"/>
    <w:basedOn w:val="28"/>
    <w:link w:val="86"/>
    <w:uiPriority w:val="0"/>
    <w:rPr>
      <w:rFonts w:ascii="Times New Roman" w:hAnsi="Times New Roman" w:eastAsia="宋体" w:cs="Times New Roman"/>
      <w:iCs/>
      <w:sz w:val="18"/>
      <w:szCs w:val="18"/>
      <w14:ligatures w14:val="none"/>
    </w:rPr>
  </w:style>
  <w:style w:type="paragraph" w:customStyle="1" w:styleId="88">
    <w:name w:val="脚注"/>
    <w:basedOn w:val="21"/>
    <w:link w:val="89"/>
    <w:qFormat/>
    <w:uiPriority w:val="0"/>
  </w:style>
  <w:style w:type="character" w:customStyle="1" w:styleId="89">
    <w:name w:val="脚注 字符"/>
    <w:basedOn w:val="61"/>
    <w:link w:val="88"/>
    <w:uiPriority w:val="0"/>
    <w:rPr>
      <w:rFonts w:ascii="Times New Roman" w:hAnsi="Times New Roman" w:eastAsia="宋体" w:cs="Times New Roman"/>
      <w:sz w:val="18"/>
      <w:szCs w:val="20"/>
      <w14:ligatures w14:val="none"/>
    </w:rPr>
  </w:style>
  <w:style w:type="paragraph" w:customStyle="1" w:styleId="90">
    <w:name w:val="文献"/>
    <w:basedOn w:val="48"/>
    <w:link w:val="92"/>
    <w:qFormat/>
    <w:uiPriority w:val="0"/>
    <w:pPr>
      <w:numPr>
        <w:ilvl w:val="0"/>
        <w:numId w:val="2"/>
      </w:numPr>
      <w:adjustRightInd w:val="0"/>
      <w:spacing w:after="0" w:line="400" w:lineRule="exact"/>
      <w:ind w:left="442" w:hanging="442"/>
      <w:contextualSpacing w:val="0"/>
      <w:jc w:val="both"/>
      <w:textAlignment w:val="baseline"/>
    </w:pPr>
    <w:rPr>
      <w:sz w:val="21"/>
    </w:rPr>
  </w:style>
  <w:style w:type="character" w:customStyle="1" w:styleId="91">
    <w:name w:val="列表段落 字符"/>
    <w:basedOn w:val="28"/>
    <w:link w:val="48"/>
    <w:uiPriority w:val="34"/>
  </w:style>
  <w:style w:type="character" w:customStyle="1" w:styleId="92">
    <w:name w:val="文献 字符"/>
    <w:basedOn w:val="91"/>
    <w:link w:val="90"/>
    <w:uiPriority w:val="0"/>
    <w:rPr>
      <w:sz w:val="21"/>
    </w:rPr>
  </w:style>
  <w:style w:type="paragraph" w:customStyle="1" w:styleId="93">
    <w:name w:val="公式"/>
    <w:basedOn w:val="78"/>
    <w:link w:val="94"/>
    <w:qFormat/>
    <w:uiPriority w:val="0"/>
    <w:pPr>
      <w:keepNext/>
      <w:tabs>
        <w:tab w:val="center" w:pos="4706"/>
        <w:tab w:val="right" w:pos="9412"/>
        <w:tab w:val="clear" w:pos="4111"/>
        <w:tab w:val="clear" w:pos="8222"/>
      </w:tabs>
      <w:jc w:val="center"/>
    </w:pPr>
    <w:rPr>
      <w:sz w:val="24"/>
    </w:rPr>
  </w:style>
  <w:style w:type="character" w:customStyle="1" w:styleId="94">
    <w:name w:val="公式 字符"/>
    <w:basedOn w:val="79"/>
    <w:link w:val="93"/>
    <w:uiPriority w:val="0"/>
    <w:rPr>
      <w:rFonts w:ascii="Times New Roman" w:hAnsi="Times New Roman" w:eastAsia="OHHKO L+ Gulliver" w:cs="Times New Roman"/>
      <w:sz w:val="24"/>
      <w:szCs w:val="21"/>
      <w14:ligatures w14:val="none"/>
    </w:rPr>
  </w:style>
  <w:style w:type="character" w:customStyle="1" w:styleId="95">
    <w:name w:val="katex-mathml"/>
    <w:basedOn w:val="28"/>
    <w:uiPriority w:val="0"/>
  </w:style>
  <w:style w:type="character" w:customStyle="1" w:styleId="96">
    <w:name w:val="mord"/>
    <w:basedOn w:val="28"/>
    <w:uiPriority w:val="0"/>
  </w:style>
  <w:style w:type="character" w:customStyle="1" w:styleId="97">
    <w:name w:val="mbin"/>
    <w:basedOn w:val="28"/>
    <w:uiPriority w:val="0"/>
  </w:style>
  <w:style w:type="paragraph" w:customStyle="1" w:styleId="98">
    <w:name w:val="Bibliography"/>
    <w:basedOn w:val="1"/>
    <w:next w:val="1"/>
    <w:unhideWhenUsed/>
    <w:uiPriority w:val="37"/>
    <w:pPr>
      <w:adjustRightInd w:val="0"/>
      <w:spacing w:after="0" w:line="240" w:lineRule="auto"/>
      <w:ind w:firstLine="200" w:firstLineChars="200"/>
      <w:jc w:val="both"/>
      <w:textAlignment w:val="baseline"/>
    </w:pPr>
    <w:rPr>
      <w:rFonts w:ascii="Times New Roman" w:hAnsi="Times New Roman" w:eastAsia="宋体" w:cs="Times New Roman"/>
      <w:sz w:val="21"/>
      <w14:ligatures w14:val="none"/>
    </w:rPr>
  </w:style>
  <w:style w:type="character" w:customStyle="1" w:styleId="99">
    <w:name w:val="尾注文本 字符"/>
    <w:basedOn w:val="28"/>
    <w:link w:val="15"/>
    <w:semiHidden/>
    <w:uiPriority w:val="99"/>
    <w:rPr>
      <w:rFonts w:ascii="Times New Roman" w:hAnsi="Times New Roman" w:eastAsia="宋体" w:cs="Times New Roman"/>
      <w:sz w:val="21"/>
      <w14:ligatures w14:val="none"/>
    </w:rPr>
  </w:style>
  <w:style w:type="character" w:customStyle="1" w:styleId="100">
    <w:name w:val="页眉 字符1"/>
    <w:basedOn w:val="28"/>
    <w:link w:val="18"/>
    <w:uiPriority w:val="99"/>
    <w:rPr>
      <w:sz w:val="18"/>
      <w:szCs w:val="18"/>
    </w:rPr>
  </w:style>
  <w:style w:type="character" w:customStyle="1" w:styleId="101">
    <w:name w:val="页脚 字符1"/>
    <w:basedOn w:val="28"/>
    <w:link w:val="17"/>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C7505-F361-4B9D-97B8-27DBB5D28E92}">
  <ds:schemaRefs/>
</ds:datastoreItem>
</file>

<file path=docProps/app.xml><?xml version="1.0" encoding="utf-8"?>
<Properties xmlns="http://schemas.openxmlformats.org/officeDocument/2006/extended-properties" xmlns:vt="http://schemas.openxmlformats.org/officeDocument/2006/docPropsVTypes">
  <Template>Normal</Template>
  <Pages>13</Pages>
  <Words>2324</Words>
  <Characters>4353</Characters>
  <Lines>62</Lines>
  <Paragraphs>17</Paragraphs>
  <TotalTime>1803</TotalTime>
  <ScaleCrop>false</ScaleCrop>
  <LinksUpToDate>false</LinksUpToDate>
  <CharactersWithSpaces>4527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2025-10-31T03:18:00Z</dcterms:created>
  <dc:creator>Haiwei Chen</dc:creator>
  <cp:lastModifiedBy>齐悦然</cp:lastModifiedBy>
  <dcterms:modified xsi:type="dcterms:W3CDTF">2025-12-09T11:17:27Z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0D7D08AB1F774D7AA68BF80515B68E83_13</vt:lpwstr>
  </property>
</Properties>
</file>