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AIDER LoRA 与 CLIP Adapter 工作记录</w:t>
      </w:r>
    </w:p>
    <w:p>
      <w:pPr>
        <w:pStyle w:val="Subtitle"/>
      </w:pPr>
      <w:r>
        <w:t>研究进展与实验结果    2026年10月28日</w:t>
      </w:r>
    </w:p>
    <w:p>
      <w:r>
        <w:t>目前完成了两项相互关联的工作：AIDER-LoRA 使用共享 Transformer 与任务专属低秩更新完成多维视频评价；CLIP 意图 Adapter 使用评估准则文本学习更符合评价意图的表示。前者已获得视频评分结果，后者已在文本意图关系和类别检索上获得改善。两者组合后的下游增益尚需单独验证。</w:t>
      </w:r>
    </w:p>
    <w:p>
      <w:pPr>
        <w:pStyle w:val="Heading1"/>
      </w:pPr>
      <w:r>
        <w:t>一 AIDER LoRA 当前效果</w:t>
      </w:r>
    </w:p>
    <w:p>
      <w:r>
        <w:t>本次结果对应两阶段 5+5 训练的 best 检查点。四个任务分别在 115 个视频上评价，共 460 条视频与任务评分记录。表中指标保留四位小数，原始数值用于宏平均核对。[S1]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448"/>
        <w:gridCol w:w="792"/>
        <w:gridCol w:w="1714"/>
        <w:gridCol w:w="1714"/>
        <w:gridCol w:w="1714"/>
        <w:gridCol w:w="1699"/>
      </w:tblGrid>
      <w:tr>
        <w:trPr>
          <w:tblHeader/>
          <w:cantSplit/>
        </w:trPr>
        <w:tc>
          <w:tcPr>
            <w:tcW w:type="dxa" w:w="2448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792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样本</w:t>
            </w:r>
          </w:p>
        </w:tc>
        <w:tc>
          <w:tcPr>
            <w:tcW w:type="dxa" w:w="1714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PLCC ↑</w:t>
            </w:r>
          </w:p>
        </w:tc>
        <w:tc>
          <w:tcPr>
            <w:tcW w:type="dxa" w:w="1714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SROCC ↑</w:t>
            </w:r>
          </w:p>
        </w:tc>
        <w:tc>
          <w:tcPr>
            <w:tcW w:type="dxa" w:w="1714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KROCC ↑</w:t>
            </w:r>
          </w:p>
        </w:tc>
        <w:tc>
          <w:tcPr>
            <w:tcW w:type="dxa" w:w="1699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RMSE ↓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static 静态质量</w:t>
            </w:r>
          </w:p>
        </w:tc>
        <w:tc>
          <w:tcPr>
            <w:tcW w:type="dxa" w:w="79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115</w:t>
            </w:r>
          </w:p>
        </w:tc>
        <w:tc>
          <w:tcPr>
            <w:tcW w:type="dxa" w:w="1714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0.9220</w:t>
            </w:r>
          </w:p>
        </w:tc>
        <w:tc>
          <w:tcPr>
            <w:tcW w:type="dxa" w:w="1714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0.9183</w:t>
            </w:r>
          </w:p>
        </w:tc>
        <w:tc>
          <w:tcPr>
            <w:tcW w:type="dxa" w:w="1714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0.7512</w:t>
            </w:r>
          </w:p>
        </w:tc>
        <w:tc>
          <w:tcPr>
            <w:tcW w:type="dxa" w:w="1699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0.0487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temporal 时序质量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115</w:t>
            </w:r>
          </w:p>
        </w:tc>
        <w:tc>
          <w:tcPr>
            <w:tcW w:type="dxa" w:w="1714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0.9470</w:t>
            </w:r>
          </w:p>
        </w:tc>
        <w:tc>
          <w:tcPr>
            <w:tcW w:type="dxa" w:w="1714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0.9392</w:t>
            </w:r>
          </w:p>
        </w:tc>
        <w:tc>
          <w:tcPr>
            <w:tcW w:type="dxa" w:w="1714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0.7770</w:t>
            </w:r>
          </w:p>
        </w:tc>
        <w:tc>
          <w:tcPr>
            <w:tcW w:type="dxa" w:w="1699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0.0483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dynamic 动态程度</w:t>
            </w:r>
          </w:p>
        </w:tc>
        <w:tc>
          <w:tcPr>
            <w:tcW w:type="dxa" w:w="79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115</w:t>
            </w:r>
          </w:p>
        </w:tc>
        <w:tc>
          <w:tcPr>
            <w:tcW w:type="dxa" w:w="1714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0.6635</w:t>
            </w:r>
          </w:p>
        </w:tc>
        <w:tc>
          <w:tcPr>
            <w:tcW w:type="dxa" w:w="1714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0.6892</w:t>
            </w:r>
          </w:p>
        </w:tc>
        <w:tc>
          <w:tcPr>
            <w:tcW w:type="dxa" w:w="1714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0.5046</w:t>
            </w:r>
          </w:p>
        </w:tc>
        <w:tc>
          <w:tcPr>
            <w:tcW w:type="dxa" w:w="1699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0.0699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text_video 文本一致性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115</w:t>
            </w:r>
          </w:p>
        </w:tc>
        <w:tc>
          <w:tcPr>
            <w:tcW w:type="dxa" w:w="1714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0.7699</w:t>
            </w:r>
          </w:p>
        </w:tc>
        <w:tc>
          <w:tcPr>
            <w:tcW w:type="dxa" w:w="1714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0.7454</w:t>
            </w:r>
          </w:p>
        </w:tc>
        <w:tc>
          <w:tcPr>
            <w:tcW w:type="dxa" w:w="1714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0.5696</w:t>
            </w:r>
          </w:p>
        </w:tc>
        <w:tc>
          <w:tcPr>
            <w:tcW w:type="dxa" w:w="1699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0.0704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/>
                <w:color w:val="000000"/>
                <w:sz w:val="20"/>
              </w:rPr>
              <w:t>宏平均</w:t>
            </w:r>
          </w:p>
        </w:tc>
        <w:tc>
          <w:tcPr>
            <w:tcW w:type="dxa" w:w="79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000000"/>
                <w:sz w:val="20"/>
              </w:rPr>
              <w:t>-</w:t>
            </w:r>
          </w:p>
        </w:tc>
        <w:tc>
          <w:tcPr>
            <w:tcW w:type="dxa" w:w="1714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000000"/>
                <w:sz w:val="20"/>
              </w:rPr>
              <w:t>0.8256</w:t>
            </w:r>
          </w:p>
        </w:tc>
        <w:tc>
          <w:tcPr>
            <w:tcW w:type="dxa" w:w="1714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000000"/>
                <w:sz w:val="20"/>
              </w:rPr>
              <w:t>0.8230</w:t>
            </w:r>
          </w:p>
        </w:tc>
        <w:tc>
          <w:tcPr>
            <w:tcW w:type="dxa" w:w="1714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000000"/>
                <w:sz w:val="20"/>
              </w:rPr>
              <w:t>0.6506</w:t>
            </w:r>
          </w:p>
        </w:tc>
        <w:tc>
          <w:tcPr>
            <w:tcW w:type="dxa" w:w="1699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000000"/>
                <w:sz w:val="20"/>
              </w:rPr>
              <w:t>0.0593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b/>
        </w:rPr>
        <w:t>宏平均 PLCC 为 0.8256，SROCC 为 0.8230。</w:t>
      </w:r>
      <w:r>
        <w:t>static 与 temporal 的排序相关性较高，SROCC 分别为 0.9183 与 0.9392；dynamic 与 text_video 仍有改善空间，分别为 0.6892 与 0.7454。</w:t>
      </w:r>
    </w:p>
    <w:p>
      <w:pPr>
        <w:pStyle w:val="SourceNote"/>
      </w:pPr>
      <w:r>
        <w:t>PLCC 衡量线性相关性；SROCC 衡量秩相关性，也常记为 SRCC；KROCC 衡量排序一致性；RMSE 衡量当前标签尺度下的预测误差。宏指标为四个任务指标的算术平均，其中宏 RMSE 不是合并所有误差后重新计算的 RMSE。</w:t>
      </w:r>
    </w:p>
    <w:p>
      <w:pPr>
        <w:pStyle w:val="Heading2"/>
      </w:pPr>
      <w:r>
        <w:t>目前的性能观察</w:t>
      </w:r>
    </w:p>
    <w:p>
      <w:r>
        <w:t>研究者观察到 LoRA 组相较 MoE 的综合能力提升，Text-Video 的改善尤其明显，并已接近 AIGV-Assessor，部分维度超过。当前绝对分数见上表；模型间的提升幅度和持平结论，需要结合相同划分、相同选模规则下的逐维对照结果解释。</w:t>
      </w:r>
    </w:p>
    <w:p>
      <w:pPr>
        <w:pStyle w:val="Heading2"/>
      </w:pPr>
      <w:r>
        <w:t>CLIP 意图 Adapter 的结果概览</w:t>
      </w:r>
    </w:p>
    <w:p>
      <w:r>
        <w:t>在 criterion7-intent-projection-v1 的文本评估中，一级类别宏召回率为 82.16% ± 0.98%，二级维度宏召回率为 72.57% ± 3.05%，均高于原始 CLIP。细分意图排序存在取舍，完整对照见第四节。这些数值属于文本表示评估，不是视频质量预测指标。[S5]</w:t>
      </w:r>
    </w:p>
    <w:p>
      <w:r>
        <w:br w:type="page"/>
      </w:r>
    </w:p>
    <w:p>
      <w:pPr>
        <w:pStyle w:val="Heading1"/>
      </w:pPr>
      <w:r>
        <w:t>二 AIDER LoRA 做了什么</w:t>
      </w:r>
    </w:p>
    <w:p>
      <w:r>
        <w:t>保留原 AIDER 的三路视频证据、伪影先验和跨分支 FiLM，将融合层中的完整 FFN 专家池替换为普通共享 Transformer，并在 Attention 与 FFN 的线性投影中加入任务专属 LoRA。[S2]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1469"/>
        <w:gridCol w:w="4306"/>
        <w:gridCol w:w="4306"/>
      </w:tblGrid>
      <w:tr>
        <w:trPr>
          <w:tblHeader/>
          <w:cantSplit/>
        </w:trPr>
        <w:tc>
          <w:tcPr>
            <w:tcW w:type="dxa" w:w="1469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4306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原 AIDER MoE 参考实现</w:t>
            </w:r>
          </w:p>
        </w:tc>
        <w:tc>
          <w:tcPr>
            <w:tcW w:type="dxa" w:w="4306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AIDER LoRA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视频证据</w:t>
            </w:r>
          </w:p>
        </w:tc>
        <w:tc>
          <w:tcPr>
            <w:tcW w:type="dxa" w:w="4306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VITAL 技术特征与伪影先验；SlowFast 运动特征；BLIP 文本视频特征</w:t>
            </w:r>
          </w:p>
        </w:tc>
        <w:tc>
          <w:tcPr>
            <w:tcW w:type="dxa" w:w="4306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保留三路、伪影先验与 Artifact Query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特征调制</w:t>
            </w:r>
          </w:p>
        </w:tc>
        <w:tc>
          <w:tcPr>
            <w:tcW w:type="dxa" w:w="4306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任务私有 FiLM 与 alpha，其他两路视频特征提供动态残差</w:t>
            </w:r>
          </w:p>
        </w:tc>
        <w:tc>
          <w:tcPr>
            <w:tcW w:type="dxa" w:w="4306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保留；采用 video_only 条件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时序融合</w:t>
            </w:r>
          </w:p>
        </w:tc>
        <w:tc>
          <w:tcPr>
            <w:tcW w:type="dxa" w:w="4306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2 层，宽度 1536，12 个注意力头</w:t>
            </w:r>
          </w:p>
        </w:tc>
        <w:tc>
          <w:tcPr>
            <w:tcW w:type="dxa" w:w="4306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相同；输入仍为 8 个时间 token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Attention</w:t>
            </w:r>
          </w:p>
        </w:tc>
        <w:tc>
          <w:tcPr>
            <w:tcW w:type="dxa" w:w="4306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Q K V 与输出投影的参数共享</w:t>
            </w:r>
          </w:p>
        </w:tc>
        <w:tc>
          <w:tcPr>
            <w:tcW w:type="dxa" w:w="4306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四个投影均加入任务专属 LoRA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FFN</w:t>
            </w:r>
          </w:p>
        </w:tc>
        <w:tc>
          <w:tcPr>
            <w:tcW w:type="dxa" w:w="4306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每层 7 个路由专家选 2 个，另加 1 个常开共享专家</w:t>
            </w:r>
          </w:p>
        </w:tc>
        <w:tc>
          <w:tcPr>
            <w:tcW w:type="dxa" w:w="4306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每层 1 个共享 FFN，fc1 与 fc2 均加入任务专属 LoRA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任务分流</w:t>
            </w:r>
          </w:p>
        </w:tc>
        <w:tc>
          <w:tcPr>
            <w:tcW w:type="dxa" w:w="4306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任务向量决定专家与混合权重</w:t>
            </w:r>
          </w:p>
        </w:tc>
        <w:tc>
          <w:tcPr>
            <w:tcW w:type="dxa" w:w="4306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显式任务 ID 选择对应 LoRA；回归头仍为任务私有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任务专属低秩更新</w:t>
      </w:r>
    </w:p>
    <w:p>
      <w:pPr>
        <w:spacing w:after="140" w:line="640" w:lineRule="exact"/>
        <w:jc w:val="center"/>
      </w:pPr>
      <m:oMathPara>
        <m:oMath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t> = </m:t>
          </m:r>
          <m:sSub>
            <m:e>
              <m:r>
                <m:t>W</m:t>
              </m:r>
            </m:e>
            <m:sub>
              <m:r>
                <m:t>shared</m:t>
              </m:r>
            </m:sub>
          </m:sSub>
          <m:r>
            <m:t> + </m:t>
          </m:r>
          <m:f>
            <m:num>
              <m:r>
                <m:t>16</m:t>
              </m:r>
            </m:num>
            <m:den>
              <m:r>
                <m:t>8</m:t>
              </m:r>
            </m:den>
          </m:f>
          <m:sSub>
            <m:e>
              <m:r>
                <m:t>B</m:t>
              </m:r>
            </m:e>
            <m:sub>
              <m:r>
                <m:t>t</m:t>
              </m:r>
            </m:sub>
          </m:sSub>
          <m:sSub>
            <m:e>
              <m:r>
                <m:t>A</m:t>
              </m:r>
            </m:e>
            <m:sub>
              <m:r>
                <m:t>t</m:t>
              </m:r>
            </m:sub>
          </m:sSub>
        </m:oMath>
      </m:oMathPara>
    </w:p>
    <w:p>
      <w:r>
        <w:t>每个任务在每层拥有 Q、K、V、输出投影、fc1、fc2 六处独立低秩更新。rank 为 8，alpha 为 16，LoRA dropout 为 0.05；A 独立随机初始化，B 初始化为零。初始更新为零，推理时可写为上式。混合批次只执行出现任务的 Adapter。</w:t>
      </w:r>
    </w:p>
    <w:p>
      <w:pPr>
        <w:pStyle w:val="Heading2"/>
      </w:pPr>
      <w:r>
        <w:t>融合模块的参数规模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7272"/>
        <w:gridCol w:w="2808"/>
      </w:tblGrid>
      <w:tr>
        <w:trPr>
          <w:tblHeader/>
          <w:cantSplit/>
        </w:trPr>
        <w:tc>
          <w:tcPr>
            <w:tcW w:type="dxa" w:w="7272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参数范围</w:t>
            </w:r>
          </w:p>
        </w:tc>
        <w:tc>
          <w:tcPr>
            <w:tcW w:type="dxa" w:w="2808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参数量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原 MoE 融合模块 含四任务私有 Gate</w:t>
            </w:r>
          </w:p>
        </w:tc>
        <w:tc>
          <w:tcPr>
            <w:tcW w:type="dxa" w:w="2808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94,534,712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LoRA 版共享 Transformer 基础参数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28,345,344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四任务全部 LoRA 每任务 294,912</w:t>
            </w:r>
          </w:p>
        </w:tc>
        <w:tc>
          <w:tcPr>
            <w:tcW w:type="dxa" w:w="2808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1,179,648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/>
                <w:color w:val="000000"/>
                <w:sz w:val="20"/>
              </w:rPr>
              <w:t>LoRA 融合模块合计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000000"/>
                <w:sz w:val="20"/>
              </w:rPr>
              <w:t>29,524,992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SourceNote"/>
      </w:pPr>
      <w:r>
        <w:t>按当前源码静态计算，融合参数量下降约 68.8%。此口径排除三路编码器、FiLM 和回归头；原 MoE 采用当前根目录的私有 Gate 实现。该比例不代表整模型参数或峰值显存的降幅。</w:t>
      </w:r>
    </w:p>
    <w:p>
      <w:pPr>
        <w:pStyle w:val="Heading2"/>
      </w:pPr>
      <w:r>
        <w:t>5 加 5 两阶段训练</w:t>
      </w:r>
    </w:p>
    <w:p>
      <w:r>
        <w:t>第 1 至 5 轮训练共享 Transformer，旁路并冻结 LoRA；第 6 至 10 轮冻结融合基础线性层、偏置与 LayerNorm，启用任务 LoRA。FiLM、alpha、私有 Head、BLIP 文本与交叉注意力及其他原可训练模块继续训练。切换使用第 5 轮 last，保留其他模块 Adam 状态与全局学习率进度。[S3]</w:t>
      </w:r>
    </w:p>
    <w:p>
      <w:r>
        <w:br w:type="page"/>
      </w:r>
    </w:p>
    <w:p>
      <w:pPr>
        <w:pStyle w:val="Heading1"/>
      </w:pPr>
      <w:r>
        <w:t>三 CLIP 意图 Adapter 做了什么</w:t>
      </w:r>
    </w:p>
    <w:p>
      <w:r>
        <w:t>该工作针对评价描述的表示问题：相近的视觉语义和共同措辞可能使不同评价意图在原始 CLIP 空间中距离较近。通过专门构建的准则文本与关系监督，训练 CLIP 后的投影，使表示更符合评价意图的同义、差异与层级关系。此处记录 criterion7-intent-projection-v1，其他历史 Adapter 版本不混用结果。[S4]</w:t>
      </w:r>
    </w:p>
    <w:p>
      <w:pPr>
        <w:pStyle w:val="Heading2"/>
      </w:pPr>
      <w:r>
        <w:t>评估意图描述数据集</w:t>
      </w:r>
    </w:p>
    <w:p>
      <w:r>
        <w:t>criterion7_intent_v1 采用四个一级类别和七个二级维度，每个二级维度 768 条英文描述，总计 5,376 条。描述由 56 个具体意图、448 条措辞和 36 个模板构成，因而描述条数不能视为独立意图数量。[S4]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一级类别</w:t>
            </w:r>
          </w:p>
        </w:tc>
        <w:tc>
          <w:tcPr>
            <w:tcW w:type="dxa" w:w="7200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二级评价维度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质量评价 Q</w:t>
            </w:r>
          </w:p>
        </w:tc>
        <w:tc>
          <w:tcPr>
            <w:tcW w:type="dxa" w:w="7200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空间质量 SQ；动态质量 DQ；美学质量 AQ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真实感 R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物理常识 PC；解剖合理性 AN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内容丰富度 C</w:t>
            </w:r>
          </w:p>
        </w:tc>
        <w:tc>
          <w:tcPr>
            <w:tcW w:type="dxa" w:w="7200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动态程度 DD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文本视频对齐 A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文本对齐 TA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304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304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划分</w:t>
            </w:r>
          </w:p>
        </w:tc>
        <w:tc>
          <w:tcPr>
            <w:tcW w:type="dxa" w:w="2592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描述数量</w:t>
            </w:r>
          </w:p>
        </w:tc>
        <w:tc>
          <w:tcPr>
            <w:tcW w:type="dxa" w:w="2592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具体意图数量</w:t>
            </w:r>
          </w:p>
        </w:tc>
        <w:tc>
          <w:tcPr>
            <w:tcW w:type="dxa" w:w="2592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20"/>
              </w:rPr>
              <w:t>每个二级维度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训练集</w:t>
            </w:r>
          </w:p>
        </w:tc>
        <w:tc>
          <w:tcPr>
            <w:tcW w:type="dxa" w:w="259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4,032</w:t>
            </w:r>
          </w:p>
        </w:tc>
        <w:tc>
          <w:tcPr>
            <w:tcW w:type="dxa" w:w="259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259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576 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验证集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672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96 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20"/>
              </w:rPr>
              <w:t>测试集</w:t>
            </w:r>
          </w:p>
        </w:tc>
        <w:tc>
          <w:tcPr>
            <w:tcW w:type="dxa" w:w="259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672</w:t>
            </w:r>
          </w:p>
        </w:tc>
        <w:tc>
          <w:tcPr>
            <w:tcW w:type="dxa" w:w="259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59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20"/>
              </w:rPr>
              <w:t>96 条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划分同时留出具体准则与模板族。正样本严格保留同一个具体评估意图并改变措辞；负样本改变二级维度，同一级类别内为较弱负例，跨一级类别为较强负例。同二级类别但具体准则不同的描述不直接作为正样本或负样本。</w:t>
      </w:r>
    </w:p>
    <w:p>
      <w:pPr>
        <w:pStyle w:val="Heading2"/>
      </w:pPr>
      <w:r>
        <w:t>模型与训练目标</w:t>
      </w:r>
    </w:p>
    <w:p>
      <w:r>
        <w:t>冻结 CLIP ViT-B/32 文本编码器，输入 512 维单位化特征；接 Linear 512 到 512、ReLU、Linear 512 到 512，再作 L2 归一化。仅训练投影的 525,312 个参数，无分类头或 Root 表。[S4]</w:t>
      </w:r>
    </w:p>
    <w:p>
      <w:r>
        <w:t>损失同时优化四项关系：同意图正样本对齐、同一级类别内的区分、跨一级类别的区分，以及同级负例应比跨级负例更接近的层级排序。相应权重依次为 0.20、0.50、1.25、0.50；同级、跨级和层级 margin 分别为 0.10、0.35、0.15。</w:t>
      </w:r>
    </w:p>
    <w:p>
      <w:pPr>
        <w:pStyle w:val="Heading2"/>
      </w:pPr>
      <w:r>
        <w:t>训练协议</w:t>
      </w:r>
    </w:p>
    <w:p>
      <w:r>
        <w:t>使用 seed 42、43、44，AdamW 学习率 0.00001、weight decay 0.01，训练 1,000 个全批次更新步，梯度范数裁剪为 1。每个训练锚点有 2 个正例、6 个负例；按一级类别及其子类别平衡锚点贡献。每 10 步评价验证损失，选择最小验证复合损失的检查点；所有检查点固定后再评估测试集。[S4]</w:t>
      </w:r>
    </w:p>
    <w:p>
      <w:r>
        <w:br w:type="page"/>
      </w:r>
    </w:p>
    <w:p>
      <w:pPr>
        <w:pStyle w:val="Heading1"/>
      </w:pPr>
      <w:r>
        <w:t>四 CLIP 意图 Adapter 的效果</w:t>
      </w:r>
    </w:p>
    <w:p>
      <w:r>
        <w:t>以下结果使用相同测试关系。两个投影版本报告 seed 42、43、44 的均值与样本标准差；原始 CLIP 为固定编码器结果。此前层级投影指 criterion7-hierarchy-projection-v4 的 gentle 配置。[S5]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4032"/>
        <w:gridCol w:w="1512"/>
        <w:gridCol w:w="2268"/>
        <w:gridCol w:w="2268"/>
      </w:tblGrid>
      <w:tr>
        <w:trPr>
          <w:tblHeader/>
          <w:cantSplit/>
        </w:trPr>
        <w:tc>
          <w:tcPr>
            <w:tcW w:type="dxa" w:w="4032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512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原始 CLIP</w:t>
            </w:r>
          </w:p>
        </w:tc>
        <w:tc>
          <w:tcPr>
            <w:tcW w:type="dxa" w:w="2268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此前层级投影</w:t>
            </w:r>
          </w:p>
        </w:tc>
        <w:tc>
          <w:tcPr>
            <w:tcW w:type="dxa" w:w="2268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意图投影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一级类别宏召回率</w:t>
            </w:r>
          </w:p>
        </w:tc>
        <w:tc>
          <w:tcPr>
            <w:tcW w:type="dxa" w:w="151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71.27%</w:t>
            </w:r>
          </w:p>
        </w:tc>
        <w:tc>
          <w:tcPr>
            <w:tcW w:type="dxa" w:w="2268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76.36 ± 1.30%</w:t>
            </w:r>
          </w:p>
        </w:tc>
        <w:tc>
          <w:tcPr>
            <w:tcW w:type="dxa" w:w="2268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82.16 ± 0.98%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二级维度宏召回率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67.11%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58.38 ± 1.21%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72.57 ± 3.05%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同意图正样本 &gt; 跨一级负样本</w:t>
            </w:r>
          </w:p>
        </w:tc>
        <w:tc>
          <w:tcPr>
            <w:tcW w:type="dxa" w:w="151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24.23%</w:t>
            </w:r>
          </w:p>
        </w:tc>
        <w:tc>
          <w:tcPr>
            <w:tcW w:type="dxa" w:w="2268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72.85 ± 1.64%</w:t>
            </w:r>
          </w:p>
        </w:tc>
        <w:tc>
          <w:tcPr>
            <w:tcW w:type="dxa" w:w="2268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79.63 ± 0.65%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同意图正样本 &gt; 同一级负样本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22.35%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61.34 ± 2.07%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56.45 ± 0.85%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同一级负样本 &gt; 跨一级负样本</w:t>
            </w:r>
          </w:p>
        </w:tc>
        <w:tc>
          <w:tcPr>
            <w:tcW w:type="dxa" w:w="1512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49.57%</w:t>
            </w:r>
          </w:p>
        </w:tc>
        <w:tc>
          <w:tcPr>
            <w:tcW w:type="dxa" w:w="2268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64.45 ± 1.19%</w:t>
            </w:r>
          </w:p>
        </w:tc>
        <w:tc>
          <w:tcPr>
            <w:tcW w:type="dxa" w:w="2268"/>
            <w:vAlign w:val="center"/>
            <w:shd w:fill="F2F5F9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78.77 ± 0.69%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完整层级顺序 p &gt; s &gt; c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5.61%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32.74 ± 2.85%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b w:val="0"/>
                <w:color w:val="000000"/>
                <w:sz w:val="19"/>
              </w:rPr>
              <w:t>40.84 ± 1.06%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SourceNote"/>
      </w:pPr>
      <w:r>
        <w:t>p 表示保留具体意图的正样本，s 表示同一级类别内其他二级维度的负样本，c 表示跨一级类别负样本；关系是否成立由余弦相似度比较。类别召回率来自训练集类中心检索诊断，未训练分类头。“±”为三个种子的样本标准差，不是置信区间。</w:t>
      </w:r>
    </w:p>
    <w:p>
      <w:pPr>
        <w:pStyle w:val="Heading2"/>
      </w:pPr>
      <w:r>
        <w:t>已观察到的改善</w:t>
      </w:r>
    </w:p>
    <w:p>
      <w:r>
        <w:t>相较原始 CLIP，一级类别宏召回率提高 10.89 个百分点，二级维度宏召回率提高 5.46 个百分点。正样本优于跨一级负例的比例从 24.23% 提高到 79.63%，说明投影更符合当前意图关系定义。</w:t>
      </w:r>
    </w:p>
    <w:p>
      <w:r>
        <w:t>相较此前层级投影，一级与二级宏召回率分别提高 5.80 和 14.19 个百分点；同级负例优于跨级负例的比例提高约 14.33 个百分点，完整层级排序提高约 8.11 个百分点。差值按原始结果计算，四舍五入后可能与表内百分数直接相减略有差异。</w:t>
      </w:r>
    </w:p>
    <w:p>
      <w:pPr>
        <w:pStyle w:val="Heading2"/>
      </w:pPr>
      <w:r>
        <w:t>仍然存在的取舍</w:t>
      </w:r>
    </w:p>
    <w:p>
      <w:r>
        <w:t>同意图正样本优于同一级负例的比例，从此前版本的 61.34% 降到 56.45%，下降 4.89 个百分点。因此，当前投影改善了跨大类区分和层级结构，但细粒度意图区分没有同步全面改善。</w:t>
      </w:r>
    </w:p>
    <w:p>
      <w:r>
        <w:t>数据为合成准则和模板组合；验证集与测试集各只有 7 个独立具体意图，每个二级维度一个。672 条测试句子不能等同于 672 个独立评价意图。现有结果支持在该意图体系上的文本表示改善，对自然表述、跨数据集准则及视频 MOS 的作用需分别评价。</w:t>
      </w:r>
    </w:p>
    <w:p>
      <w:r>
        <w:t>意图投影版本同时改变了描述覆盖与关系构造，相较此前版本的差异不能全部归因于某一个损失项。Rubric、反事实场景、宽泛名称和边界案例保留作辅助诊断，没有额外作为本轮损失输入。[S4]</w:t>
      </w:r>
    </w:p>
    <w:p>
      <w:r>
        <w:br w:type="page"/>
      </w:r>
    </w:p>
    <w:p>
      <w:pPr>
        <w:pStyle w:val="Heading1"/>
      </w:pPr>
      <w:r>
        <w:t>五 两项工作的关系与当前判断</w:t>
      </w:r>
    </w:p>
    <w:p>
      <w:r>
        <w:t>AIDER-LoRA 的任务能力目前主要由任务 ID 和私有参数承担。LoRA 按 ID 选择，不读取 CLIP 向量；FiLM 的任务基础线性层与 alpha 也为任务私有。当前 video_only 动态残差读取其他分支的视频摘要，不把任务向量作为其输入。[S2]</w:t>
      </w:r>
    </w:p>
    <w:p>
      <w:pPr>
        <w:pStyle w:val="Heading2"/>
      </w:pPr>
      <w:r>
        <w:t>意图向量在私有 FiLM 中的作用</w:t>
      </w:r>
    </w:p>
    <w:p>
      <w:pPr>
        <w:spacing w:after="140" w:line="640" w:lineRule="exact"/>
        <w:jc w:val="center"/>
      </w:pPr>
      <m:oMathPara>
        <m:oMath>
          <m:r>
            <m:t>[</m:t>
          </m:r>
          <m:sSub>
            <m:e>
              <m:r>
                <m:t>γ</m:t>
              </m:r>
            </m:e>
            <m:sub>
              <m:r>
                <m:t>t</m:t>
              </m:r>
            </m:sub>
          </m:sSub>
          <m:r>
            <m:t>, 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r>
            <m:t>] = 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t> + 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  <m:r>
            <m:t> = 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</m:oMath>
      </m:oMathPara>
    </w:p>
    <w:p>
      <w:r>
        <w:t>每个固定任务只有一个固定描述向量，因此该任务的基础调制输出可以直接表示为可学习常量。即使所有任务输入同一个向量，各自独立的线性层仍能学到不同的调制。alpha 同样可以表示为每任务一个可学习标量经 sigmoid 后的值。</w:t>
      </w:r>
    </w:p>
    <w:p>
      <w:r>
        <w:t>这说明意图 Adapter 对当前四任务模型在表达能力上并非必需。它可能改变训练优化、参数正则化与归纳偏置，实际收益仍需视频评价消融证明。文本向量之间的余弦距离变大，本身不能保证下游预测提高。</w:t>
      </w:r>
    </w:p>
    <w:p>
      <w:pPr>
        <w:pStyle w:val="Heading2"/>
      </w:pPr>
      <w:r>
        <w:t>更适合意图表示的使用方式</w:t>
      </w:r>
    </w:p>
    <w:p>
      <w:r>
        <w:t>若需要自然语言选择已有评价维度，意图模块可以先将用户描述映射为任务 ID，再调用对应 LoRA。若需要意图表示直接影响融合，则可由共享 FiLM 生成器、共享 Query 生成器，或共享超网络根据意图生成适配参数。此时需要检验同义改写、细则变化和留出任务上的行为。上述连接方式属于后续设计，尚未包含在本次结果中。</w:t>
      </w:r>
    </w:p>
    <w:p>
      <w:pPr>
        <w:pStyle w:val="Heading2"/>
      </w:pPr>
      <w:r>
        <w:t>优先完成的对照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4968"/>
        <w:gridCol w:w="5112"/>
      </w:tblGrid>
      <w:tr>
        <w:trPr>
          <w:tblHeader/>
          <w:cantSplit/>
        </w:trPr>
        <w:tc>
          <w:tcPr>
            <w:tcW w:type="dxa" w:w="4968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对照</w:t>
            </w:r>
          </w:p>
        </w:tc>
        <w:tc>
          <w:tcPr>
            <w:tcW w:type="dxa" w:w="5112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需要回答的问题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固定同一向量 随机向量 原始 CLIP 意图投影</w:t>
            </w:r>
          </w:p>
        </w:tc>
        <w:tc>
          <w:tcPr>
            <w:tcW w:type="dxa" w:w="5112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统一维度和范数，检验文本意图几何是否改善当前私有模块的结果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普通共享 Transformer 与加入任务 LoRA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区分移除专家池和增加低秩任务适配各自的收益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仅 FFN LoRA 与 Attention 加 FFN LoRA</w:t>
            </w:r>
          </w:p>
        </w:tc>
        <w:tc>
          <w:tcPr>
            <w:tcW w:type="dxa" w:w="5112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检验 Text-Video 是否主要受益于 Attention 投影适配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joint 与两阶段 5 加 5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区分共享基础参数持续训练和分阶段冻结的影响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当前意图投影基于 ViT-B/32 的 512 维特征；AIDER-LoRA 的固定任务表来自 ViT-L/14 的 768 维投影。接入实验应匹配底层编码器和维度，避免将更换 CLIP 的影响归入 Adapter。</w:t>
      </w:r>
    </w:p>
    <w:p>
      <w:r>
        <w:t>另一个可检验的简化是直接学习任务基础 gamma、beta 与 alpha。按当前四任务三分支配置，这部分参数可由 9,452,548 减少至 12,292，不含共享视频动态调制、LoRA 与 Head。固定任务下可表达相同的任务常量，但优化动态改变，需要重新训练验证；该简化尚未实施。</w:t>
      </w:r>
    </w:p>
    <w:p>
      <w:r>
        <w:br w:type="page"/>
      </w:r>
    </w:p>
    <w:p>
      <w:pPr>
        <w:pStyle w:val="Heading1"/>
      </w:pPr>
      <w:r>
        <w:t>六 实验口径与记录依据</w:t>
      </w:r>
    </w:p>
    <w:p>
      <w:pPr>
        <w:pStyle w:val="Heading2"/>
      </w:pPr>
      <w:r>
        <w:t>AIDER LoRA 实验设置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1944"/>
        <w:gridCol w:w="8136"/>
      </w:tblGrid>
      <w:tr>
        <w:trPr>
          <w:tblHeader/>
          <w:cantSplit/>
        </w:trPr>
        <w:tc>
          <w:tcPr>
            <w:tcW w:type="dxa" w:w="1944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136"/>
            <w:vAlign w:val="center"/>
            <w:shd w:fill="213B56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color w:val="FFFFFF"/>
                <w:sz w:val="19"/>
              </w:rPr>
              <w:t>当前记录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实验与检查点</w:t>
            </w:r>
          </w:p>
        </w:tc>
        <w:tc>
          <w:tcPr>
            <w:tcW w:type="dxa" w:w="8136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two_stage；前 5 轮 dense，后 5 轮 adapter；best 检查点；模型 seed 42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数据规模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训练 461 个视频，共 1,844 条任务记录；测试 115 个视频，共 460 条任务记录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训练预算</w:t>
            </w:r>
          </w:p>
        </w:tc>
        <w:tc>
          <w:tcPr>
            <w:tcW w:type="dxa" w:w="8136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batch 8，尾批 4 条；每轮 231 步，共 10 轮、2,310 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优化设置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AdamW；基础学习率 0.0001；BLIP 文本部分 0.00001；weight decay 0.05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精度与调度</w:t>
            </w:r>
          </w:p>
        </w:tc>
        <w:tc>
          <w:tcPr>
            <w:tcW w:type="dxa" w:w="8136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BF16 前向；FP32 可训练参数与 Adam 状态；warmup 116 步，连续余弦调度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损失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FP32 Smooth L1，beta 0.1，样本均值；不包含 MoE 互信息或其他辅助损失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选模口径</w:t>
            </w:r>
          </w:p>
        </w:tc>
        <w:tc>
          <w:tcPr>
            <w:tcW w:type="dxa" w:w="8136"/>
            <w:vAlign w:val="center"/>
            <w:shd w:fill="F2F5F9"/>
          </w:tcPr>
          <w:p>
            <w:pPr>
              <w:spacing w:after="0" w:before="0" w:line="260" w:lineRule="exact"/>
              <w:jc w:val="left"/>
            </w:pPr>
            <w:r>
              <w:rPr>
                <w:b w:val="0"/>
                <w:color w:val="000000"/>
                <w:sz w:val="19"/>
              </w:rPr>
              <w:t>第 6 至 10 轮按测试集四任务宏平均 SROCC 严格提升选择 best；并列保留较早轮次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测试集参与了检查点选择，因此该 best 分数包含选模影响。正式比较泛化能力时，应统一基线的数据划分与选模协议，并重复关键模型种子或划分。当前代码归档保存源码与配置，完整运行还依赖原服务器的数据、预训练权重和缓存路径。[S3]</w:t>
      </w:r>
    </w:p>
    <w:p>
      <w:pPr>
        <w:pStyle w:val="Heading2"/>
      </w:pPr>
      <w:r>
        <w:t>记录依据</w:t>
      </w:r>
    </w:p>
    <w:p>
      <w:pPr>
        <w:pStyle w:val="SourceNote"/>
        <w:spacing w:after="120"/>
      </w:pPr>
      <w:r>
        <w:t>[S1] AIDER-LoRA 指标快照。2026年10月28日研究者提供原始 metrics，并确认对应两阶段 5+5 的 best。表格保留四位小数；宏平均已按四维算术平均核对。</w:t>
      </w:r>
    </w:p>
    <w:p>
      <w:pPr>
        <w:pStyle w:val="SourceNote"/>
        <w:spacing w:after="120"/>
      </w:pPr>
      <w:r>
        <w:t>[S2] AIDER-LoRA 模型源码。/Users/zelu/Desktop/Codes/AIDER-main/AIDER-LoRA/models/ 下的 aider.py、fusion.py、lora.py、film.py、task_private.py；MoE 参数对照为父项目 models/。</w:t>
      </w:r>
    </w:p>
    <w:p>
      <w:pPr>
        <w:pStyle w:val="SourceNote"/>
        <w:spacing w:after="120"/>
      </w:pPr>
      <w:r>
        <w:t>[S3] AIDER-LoRA 训练与归档。/Users/zelu/Desktop/Codes/AIDER-main/AIDER-LoRA/ 下的 README.md、config.yaml、COPY_INFO.md、engine/optim.py 与 engine/trainer.py。</w:t>
      </w:r>
    </w:p>
    <w:p>
      <w:pPr>
        <w:pStyle w:val="SourceNote"/>
        <w:spacing w:after="120"/>
      </w:pPr>
      <w:r>
        <w:t>[S4] 意图投影数据与训练。/Users/zelu/Desktop/Codes/AIGVQA Task Embedding/ 下的 data/criterion7_intent_v1/manifest.json、work/intent_v1/train_projection.py 与 aigvqa_mapper/criterion_projection.py。</w:t>
      </w:r>
    </w:p>
    <w:p>
      <w:pPr>
        <w:pStyle w:val="SourceNote"/>
        <w:spacing w:after="120"/>
      </w:pPr>
      <w:r>
        <w:t>[S5] 意图投影效果。/Users/zelu/Desktop/Codes/AIGVQA Task Embedding/results/criterion7-intent-projection-v1/ 下的 comparison_summary.csv、report.json 与 protocol.json。</w:t>
      </w:r>
    </w:p>
    <w:sectPr w:rsidR="00FC693F" w:rsidRPr="0006063C" w:rsidSect="00034616">
      <w:footerReference w:type="default" r:id="rId9"/>
      <w:pgSz w:w="12240" w:h="15840"/>
      <w:pgMar w:top="922" w:right="1080" w:bottom="922" w:left="1080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40"/>
      <w:snapToGrid w:val="0"/>
    </w:pPr>
    <w:rPr>
      <w:rFonts w:ascii="Arial" w:hAnsi="Arial" w:eastAsia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440" w:lineRule="exact"/>
      <w:outlineLvl w:val="0"/>
    </w:pPr>
    <w:rPr>
      <w:rFonts w:ascii="Arial" w:hAnsi="Arial" w:eastAsia="Noto Sans CJK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40" w:lineRule="exact"/>
      <w:outlineLvl w:val="1"/>
    </w:pPr>
    <w:rPr>
      <w:rFonts w:ascii="Arial" w:hAnsi="Arial" w:eastAsia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00" w:lineRule="exact"/>
      <w:contextualSpacing/>
    </w:pPr>
    <w:rPr>
      <w:rFonts w:ascii="Arial" w:hAnsi="Arial" w:eastAsia="Noto Sans CJK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300" w:lineRule="exact"/>
    </w:pPr>
    <w:rPr>
      <w:rFonts w:ascii="Arial" w:hAnsi="Arial" w:eastAsia="Noto Sans CJK SC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0" w:lineRule="exact" w:after="100"/>
    </w:pPr>
    <w:rPr>
      <w:rFonts w:ascii="Arial" w:hAnsi="Arial" w:eastAsia="Noto Sans CJK SC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100" w:line="270" w:lineRule="exact"/>
    </w:pPr>
    <w:rPr>
      <w:rFonts w:ascii="Arial" w:hAnsi="Arial" w:eastAsia="Noto Sans CJK SC"/>
      <w:b w:val="0"/>
      <w:i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AIDER LoRA 与 CLIP Adapter 工作记录</dc:title>
  <dc:subject>两阶段任务 LoRA 视频评价与 CLIP 评估意图投影的实现和实验记录</dc:subject>
  <dc:creator/>
  <cp:keywords>AIDER-LoRA CLIP Adapter AIGVQA 多任务学习 意图表示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