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58C">
      <w:pPr>
        <w:pStyle w:val="2"/>
        <w:keepNext w:val="0"/>
        <w:keepLines w:val="0"/>
        <w:widowControl/>
        <w:suppressLineNumbers w:val="0"/>
      </w:pPr>
      <w:r>
        <w:t>数字经济背景下社会治理结构变革的系统性演进研究</w:t>
      </w:r>
    </w:p>
    <w:p w14:paraId="31E83A36">
      <w:pPr>
        <w:pStyle w:val="3"/>
        <w:keepNext w:val="0"/>
        <w:keepLines w:val="0"/>
        <w:widowControl/>
        <w:suppressLineNumbers w:val="0"/>
      </w:pPr>
      <w:r>
        <w:t>第一节 引言：从工业治理范式到数字治理范式的历史转折</w:t>
      </w:r>
    </w:p>
    <w:p w14:paraId="289FEF4F">
      <w:pPr>
        <w:pStyle w:val="4"/>
        <w:keepNext w:val="0"/>
        <w:keepLines w:val="0"/>
        <w:widowControl/>
        <w:suppressLineNumbers w:val="0"/>
      </w:pPr>
      <w:r>
        <w:t>随着数字技术从生产工具逐步演化为社会基础设施，其所引发的不仅是产业结构层面的效率重组，更是一场深刻影响权力配置方式、公共服务供给逻辑以及社会运行规则的结构性变革。若从历史维度观察，自工业化时代以来形成的科层制治理体系，本质上是以稳定人口流动模式、线性行政流程以及低频信息反馈机制为基础构建的制度架构，而在数据实时流动、平台高度集聚、算法参与决策的数字经济环境中，这种传统治理范式逐渐暴露出响应滞后、协调成本高企以及制度摩擦加剧等问题，从而倒逼社会治理体系向更具弹性、更强调协同、也更依赖技术中介的新型模式转型。正是在这一宏观背景之下，研究数字经济条件下社会治理结构的系统性变革路径，已不再属于单纯的技术议题，而成为关乎国家治理现代化进程的重要战略问题。</w:t>
      </w:r>
    </w:p>
    <w:p w14:paraId="49D519D5">
      <w:pPr>
        <w:pStyle w:val="3"/>
        <w:keepNext w:val="0"/>
        <w:keepLines w:val="0"/>
        <w:widowControl/>
        <w:suppressLineNumbers w:val="0"/>
      </w:pPr>
      <w:r>
        <w:t>第二节 数字经济的结构性特征及其对治理基础的重塑</w:t>
      </w:r>
    </w:p>
    <w:p w14:paraId="6EB11AB8">
      <w:pPr>
        <w:pStyle w:val="4"/>
        <w:keepNext w:val="0"/>
        <w:keepLines w:val="0"/>
        <w:widowControl/>
        <w:suppressLineNumbers w:val="0"/>
      </w:pPr>
      <w:r>
        <w:t>数字经济区别于传统经济形态的关键特征，并不局限于生产要素的数字化，而更体现在信息处理速度、网络效应规模以及平台组织形态对社会资源配置逻辑的重构。当数据成为核心生产要素，当算法成为隐性决策中枢，当跨区域、跨行业的平台系统逐步形成事实上的基础设施网络时，治理对象本身已经从“稳定社会单元”转变为“高度流动的关系网络”。这种结构变化意味着，治理主体若仍沿用以部门边界为核心的碎片化管理方式，便难以对动态变化的风险结构与公共需求作出有效回应。因此，数字经济不仅改变了社会运行节奏，也同步改变了治理体系所依赖的底层认知框架，这一判断为后文关于制度摩擦与权力边界问题的讨论奠定了基础。</w:t>
      </w:r>
    </w:p>
    <w:p w14:paraId="27F42D66">
      <w:pPr>
        <w:pStyle w:val="3"/>
        <w:keepNext w:val="0"/>
        <w:keepLines w:val="0"/>
        <w:widowControl/>
        <w:suppressLineNumbers w:val="0"/>
      </w:pPr>
      <w:r>
        <w:t>第三节 数字平台对社会结构的重构效应</w:t>
      </w:r>
    </w:p>
    <w:p w14:paraId="0680819C">
      <w:pPr>
        <w:pStyle w:val="4"/>
        <w:keepNext w:val="0"/>
        <w:keepLines w:val="0"/>
        <w:widowControl/>
        <w:suppressLineNumbers w:val="0"/>
      </w:pPr>
      <w:r>
        <w:t>如前文所述，平台化是数字经济时代最具结构影响力的组织形态之一，其不仅重塑了市场交易方式，更在无形中改变了劳动关系、公共舆论传播路径以及社会连接模式。通过算法匹配机制与网络规模效应，平台逐渐从单一商业主体演变为具有准公共属性的社会中介节点，使大量原本由政府或传统组织承担的协调职能，被嵌入到技术系统之中。这种转移虽然在短期内显著提升了资源配置效率，却也在长期积累中引发治理责任模糊化的问题，即当平台既承担公共功能又遵循商业逻辑时，其行为边界如何界定，其责任如何追溯，便成为制度设计必须回应的核心挑战。这一问题在后文关于公共权力边界的讨论中将被进一步展开。</w:t>
      </w:r>
    </w:p>
    <w:p w14:paraId="7B7A4930">
      <w:pPr>
        <w:pStyle w:val="3"/>
        <w:keepNext w:val="0"/>
        <w:keepLines w:val="0"/>
        <w:widowControl/>
        <w:suppressLineNumbers w:val="0"/>
      </w:pPr>
      <w:r>
        <w:t>第四节 数据治理与公共权力边界的再定义</w:t>
      </w:r>
    </w:p>
    <w:p w14:paraId="07604EF6">
      <w:pPr>
        <w:pStyle w:val="4"/>
        <w:keepNext w:val="0"/>
        <w:keepLines w:val="0"/>
        <w:widowControl/>
        <w:suppressLineNumbers w:val="0"/>
      </w:pPr>
      <w:r>
        <w:t>随着政府治理活动越来越依赖数据采集、算法分析以及智能化决策支持系统，传统意义上基于行政授权与法律程序构建的公共权力边界，开始呈现出技术介入后的复杂形态。一方面，数据驱动的治理模式显著提高了公共服务精准投放能力，使政策执行从“平均主义分配”向“需求导向匹配”转型；另一方面，数据集中化趋势也强化了信息不对称风险，使权力运行过程更容易隐藏于技术系统内部，从而削弱社会监督机制的可见性。正因如此，如何在提升治理效率的同时，通过制度设计防止技术权力失控，已成为治理现代化进程中不可回避的结构性议题，这一矛盾也与第五节将讨论的效率与公平张力高度相关。</w:t>
      </w:r>
    </w:p>
    <w:p w14:paraId="3AA1CC06">
      <w:pPr>
        <w:pStyle w:val="3"/>
        <w:keepNext w:val="0"/>
        <w:keepLines w:val="0"/>
        <w:widowControl/>
        <w:suppressLineNumbers w:val="0"/>
      </w:pPr>
      <w:r>
        <w:t>第五节 技术效率与社会公平之间的张力结构</w:t>
      </w:r>
    </w:p>
    <w:p w14:paraId="1D74792A">
      <w:pPr>
        <w:pStyle w:val="4"/>
        <w:keepNext w:val="0"/>
        <w:keepLines w:val="0"/>
        <w:widowControl/>
        <w:suppressLineNumbers w:val="0"/>
      </w:pPr>
      <w:r>
        <w:t>在数字治理实践中，技术系统往往以优化效率为首要目标，这种效率导向在资源有限、需求高度分化的背景下具有明显现实合理性。然而，当算法依据历史数据进行预测与分类时，其内嵌的结构性偏差可能被不断放大，从而导致弱势群体在公共服务获取、社会资源分配以及社会流动机会方面面临隐性不公平风险。换言之，数字工具并非天然中立，其运行逻辑往往反映既有社会结构特征，因此若缺乏制度纠偏机制，技术优势可能反而固化社会分层结构。正如第三节中关于平台权力集中问题所暗示的那样，治理体系必须在效率提升与公平保障之间构建动态平衡机制，而非简单依赖技术手段实现“自动治理”。</w:t>
      </w:r>
    </w:p>
    <w:p w14:paraId="4C15B333">
      <w:pPr>
        <w:pStyle w:val="3"/>
        <w:keepNext w:val="0"/>
        <w:keepLines w:val="0"/>
        <w:widowControl/>
        <w:suppressLineNumbers w:val="0"/>
      </w:pPr>
      <w:r>
        <w:t>第六节 地方治理实践与中央政策协调的结构性矛盾</w:t>
      </w:r>
    </w:p>
    <w:p w14:paraId="7D1B98A2">
      <w:pPr>
        <w:pStyle w:val="4"/>
        <w:keepNext w:val="0"/>
        <w:keepLines w:val="0"/>
        <w:widowControl/>
        <w:suppressLineNumbers w:val="0"/>
      </w:pPr>
      <w:r>
        <w:t>在多层级治理体系中，数字化改革往往首先发生在地方层面，这既源于地方政府面对具体治理问题的现实压力，也反映了区域之间数字基础设施建设水平存在显著差异。然而，当地方治理创新速度超过制度框架更新节奏时，便容易出现技术应用先行、规则设计滞后的现象，从而导致数据标准不统一、系统接口不兼容以及治理责任边界模糊等问题。与此同时，中央层面在推动全国性治理平台整合过程中，又必须兼顾地方差异与统一标准之间的张力，这种纵向协调难题在数字治理背景下被进一步放大。因此，构建可扩展、可兼容的治理架构，成为实现治理体系整体协同的重要前提。</w:t>
      </w:r>
    </w:p>
    <w:p w14:paraId="0080CAD8">
      <w:pPr>
        <w:pStyle w:val="3"/>
        <w:keepNext w:val="0"/>
        <w:keepLines w:val="0"/>
        <w:widowControl/>
        <w:suppressLineNumbers w:val="0"/>
      </w:pPr>
      <w:r>
        <w:t>第七节 风险治理逻辑转型与系统韧性建设</w:t>
      </w:r>
    </w:p>
    <w:p w14:paraId="282D122B">
      <w:pPr>
        <w:pStyle w:val="4"/>
        <w:keepNext w:val="0"/>
        <w:keepLines w:val="0"/>
        <w:widowControl/>
        <w:suppressLineNumbers w:val="0"/>
      </w:pPr>
      <w:r>
        <w:t>数字社会的高度互联特征，使风险传播速度显著加快，局部系统故障往往能够迅速演化为跨领域连锁冲击。无论是数据泄露事件、平台系统宕机，还是算法误判引发的社会信任危机，其影响范围都远超传统治理框架下的风险管理经验。因此，风险治理不再仅依赖事后补救机制，而必须转向强调系统韧性建设，即通过多层冗余设计、跨部门信息共享以及社会协同参与机制，增强治理体系在面对不确定性冲击时的自我修复能力。正是在这一意义上，前文所讨论的制度摩擦、权力边界与平台结构问题，实际上都构成了系统韧性的重要变量。</w:t>
      </w:r>
    </w:p>
    <w:p w14:paraId="2C8901C3">
      <w:pPr>
        <w:pStyle w:val="3"/>
        <w:keepNext w:val="0"/>
        <w:keepLines w:val="0"/>
        <w:widowControl/>
        <w:suppressLineNumbers w:val="0"/>
      </w:pPr>
      <w:r>
        <w:t>第八节 治理现代化路径的综合性重构</w:t>
      </w:r>
    </w:p>
    <w:p w14:paraId="563A3C00">
      <w:pPr>
        <w:pStyle w:val="4"/>
        <w:keepNext w:val="0"/>
        <w:keepLines w:val="0"/>
        <w:widowControl/>
        <w:suppressLineNumbers w:val="0"/>
      </w:pPr>
      <w:r>
        <w:t>综合以上分析可以发现，数字经济背景下的社会治理变革并非单一维度的技术升级，而是一项涉及制度设计、组织结构调整以及社会认知转型的系统工程。治理现代化不应被简单理解为“技术替代人工”，而应被视为通过制度创新，将数字基础设施能力嵌入公共治理体系，使技术工具服务于公共价值目标的长期过程。这一过程既需要顶层设计提供稳定制度框架，也需要地方实践不断反馈经验，从而形成动态调整机制。</w:t>
      </w:r>
    </w:p>
    <w:p w14:paraId="3D951F11">
      <w:pPr>
        <w:pStyle w:val="3"/>
        <w:keepNext w:val="0"/>
        <w:keepLines w:val="0"/>
        <w:widowControl/>
        <w:suppressLineNumbers w:val="0"/>
      </w:pPr>
      <w:r>
        <w:t>第九节 未来演化趋势与战略性挑战</w:t>
      </w:r>
    </w:p>
    <w:p w14:paraId="4121D3F5">
      <w:pPr>
        <w:pStyle w:val="4"/>
        <w:keepNext w:val="0"/>
        <w:keepLines w:val="0"/>
        <w:widowControl/>
        <w:suppressLineNumbers w:val="0"/>
      </w:pPr>
      <w:r>
        <w:t>展望未来，随着人工智能、大模型系统以及跨平台数据流通机制的进一步成熟，治理结构的复杂性将持续上升，单一主体主导治理的模式将逐步让位于多主体协同网络。与此同时，国际技术竞争、数据主权争议以及跨境平台监管问题，也将使治理议题呈现明显的全球化特征。在这一背景下，若无法提前构建兼具灵活性与稳定性的制度框架，社会治理体系将面临“技术超前、制度滞后”的结构性风险。</w:t>
      </w:r>
    </w:p>
    <w:p w14:paraId="40ECCAA7">
      <w:pPr>
        <w:pStyle w:val="3"/>
        <w:keepNext w:val="0"/>
        <w:keepLines w:val="0"/>
        <w:widowControl/>
        <w:suppressLineNumbers w:val="0"/>
      </w:pPr>
      <w:r>
        <w:t>第十节 结论：构建技术驱动下的制度理性新平衡</w:t>
      </w:r>
    </w:p>
    <w:p w14:paraId="21509953">
      <w:pPr>
        <w:pStyle w:val="4"/>
        <w:keepNext w:val="0"/>
        <w:keepLines w:val="0"/>
        <w:widowControl/>
        <w:suppressLineNumbers w:val="0"/>
      </w:pPr>
      <w:r>
        <w:t>总体而言，数字经济所引发的社会治理结构变革，本质上是一场关于效率逻辑与制度理性重新平衡的长期博弈。只有当技术能力的扩展与公共价值目标形成内在一致性，当治理结构能够在动态变化中保持自我调节能力，社会治理现代化才能真正实现从“工具升级”向“系统进化”的跃迁。正如前文多次强调的那样，这一进程既无法依靠单点突破完成，也无法通过简单复制经验实现，而必须在持续试错、制度反馈与社会共识构建中逐步推进。</w:t>
      </w:r>
    </w:p>
    <w:p w14:paraId="12F34FE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F2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2026-02-03T01:04:07Z</dcterms:created>
  <dc:creator>11873</dc:creator>
  <cp:lastModifiedBy>无</cp:lastModifiedBy>
  <dcterms:modified xsi:type="dcterms:W3CDTF">2026-02-03T01:07:21Z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eyJoZGlkIjoiNTliNjMzMGI1NDk4ZjQ4MTIzMDY2ZTQxZGNlYjA0Y2EiLCJ1c2VySWQiOiI5NzU3NzE0NDUifQ==</vt:lpwstr>
  </property>
  <property fmtid="{D5CDD505-2E9C-101B-9397-08002B2CF9AE}" pid="4" name="ICV">
    <vt:lpwstr>7483AD5757F248D3832BE58278C44358_12</vt:lpwstr>
  </property>
</Properties>
</file>