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65B23CB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01CF87B5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1195D4B8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2050402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41BAAF6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31E8C177" w14:textId="77777777" w:rsidR="00EB375E" w:rsidRDefault="00EB375E" w:rsidP="00905D82">
            <w:r>
              <w:rPr>
                <w:b/>
              </w:rPr>
            </w:r>
          </w:p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No interventions required</w:t>
            </w: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once daily</w:t>
              <w:br/>
              <w:t>Consider analgesia (as described in the approval or following veterinary authorisation)</w:t>
            </w: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2-4</w:t>
            </w: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twice daily</w:t>
              <w:br/>
              <w:t>- Weigh</w:t>
              <w:br/>
              <w:t>- Consider analgesia (as described in the approval or following veterinary authorisation)</w:t>
              <w:br/>
              <w:t>- Assess for euthanasia</w:t>
            </w: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5</w:t>
              <w:br/>
              <w:t>- Humane end-point</w:t>
            </w: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Immediate euthanasia</w:t>
              <w:br/>
              <w:t>- Complete reporting documentation and submit to facilities staff/manager andAWO if required</w:t>
            </w: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 Measure weight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Measure tumours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