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878B8"/>
          <w:sz w:val="28"/>
        </w:rPr>
        <w:t>数字政府 · 安全可控 · 智能协同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color w:val="183B66"/>
          <w:sz w:val="48"/>
        </w:rPr>
        <w:t>TokenHub + 黔前 AI 助手</w:t>
      </w:r>
    </w:p>
    <w:p>
      <w:pPr>
        <w:spacing w:after="260"/>
        <w:jc w:val="center"/>
      </w:pPr>
      <w:r>
        <w:rPr>
          <w:rFonts w:ascii="Microsoft YaHei" w:hAnsi="Microsoft YaHei" w:eastAsia="Microsoft YaHei"/>
          <w:b/>
          <w:color w:val="183B66"/>
          <w:sz w:val="42"/>
        </w:rPr>
        <w:t>政务智能办公平台建设方案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ment-smart-office-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7"/>
        </w:rPr>
        <w:t>政务智能办公：以受控的 AI 能力服务行政效能提升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0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建设定位</w:t>
            </w:r>
          </w:p>
        </w:tc>
        <w:tc>
          <w:tcPr>
            <w:tcW w:type="dxa" w:w="7711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9"/>
              </w:rPr>
              <w:t>面向政府机关及事业单位，构建以黔前 AI 助手为政务工作台、以 TokenHub 为统一 AI 能力底座的智能办公平台。通过私有化部署、知识分级、受控调用与全程审计，让 AI 在安全边界内服务公文处理、政策问答、会议协同和信息报送等工作。</w:t>
            </w:r>
          </w:p>
        </w:tc>
      </w:tr>
    </w:tbl>
    <w:p>
      <w:pPr>
        <w:spacing w:after="40"/>
      </w:pP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20"/>
        </w:rPr>
        <w:t>版本：V1.0  |  日期：2026 年 7 月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75" w:type="dxa"/>
              <w:start w:w="150" w:type="dxa"/>
              <w:bottom w:w="75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01  建设背景与总体目标</w:t>
            </w:r>
          </w:p>
        </w:tc>
      </w:tr>
    </w:tbl>
    <w:p>
      <w:pPr>
        <w:pStyle w:val="Heading1"/>
        <w:keepNext/>
        <w:spacing w:before="340" w:after="140"/>
      </w:pPr>
      <w:r>
        <w:rPr>
          <w:rFonts w:ascii="Microsoft YaHei" w:hAnsi="Microsoft YaHei" w:eastAsia="Microsoft YaHei"/>
          <w:b/>
          <w:color w:val="183B66"/>
          <w:sz w:val="30"/>
        </w:rPr>
        <w:t>1. 建设背景</w:t>
      </w:r>
    </w:p>
    <w:p>
      <w:pPr>
        <w:spacing w:before="0" w:after="140" w:line="341" w:lineRule="auto"/>
        <w:ind w:firstLine="420"/>
      </w:pPr>
      <w:r>
        <w:rPr>
          <w:rFonts w:ascii="Microsoft YaHei" w:hAnsi="Microsoft YaHei" w:eastAsia="Microsoft YaHei"/>
          <w:b w:val="0"/>
          <w:color w:val="273546"/>
          <w:sz w:val="21"/>
        </w:rPr>
        <w:t>政务运行中存在大量规范性强、时效要求高、资料依赖度高的事务：公文起草与校核、政策制度查询、会议纪要、信息报送、领导材料准备、跨部门协同等。现有资料分散在业务系统、共享目录和个人终端中，工作人员常需反复检索、整理和核对；高频文字工作又依赖少数经验人员，难以形成稳定、可复制的组织能力。</w:t>
      </w:r>
    </w:p>
    <w:p>
      <w:pPr>
        <w:spacing w:before="0" w:after="140" w:line="341" w:lineRule="auto"/>
        <w:ind w:firstLine="420"/>
      </w:pPr>
      <w:r>
        <w:rPr>
          <w:rFonts w:ascii="Microsoft YaHei" w:hAnsi="Microsoft YaHei" w:eastAsia="Microsoft YaHei"/>
          <w:b w:val="0"/>
          <w:color w:val="273546"/>
          <w:sz w:val="21"/>
        </w:rPr>
        <w:t>生成式人工智能能够提升信息理解、内容归纳和专业写作效率，但政务场景必须先解决数据安全、使用边界、内容责任和运行可控问题。本方案以统一 AI 服务底座支撑多个政务办公场景，避免各部门分别接入模型、分别建设知识库、分别处理权限和审计，推动 AI 能力在受控条件下集约建设、协同复用。</w:t>
      </w:r>
    </w:p>
    <w:p>
      <w:pPr>
        <w:pStyle w:val="Heading1"/>
        <w:keepNext/>
        <w:spacing w:before="340" w:after="140"/>
      </w:pPr>
      <w:r>
        <w:rPr>
          <w:rFonts w:ascii="Microsoft YaHei" w:hAnsi="Microsoft YaHei" w:eastAsia="Microsoft YaHei"/>
          <w:b/>
          <w:color w:val="183B66"/>
          <w:sz w:val="30"/>
        </w:rPr>
        <w:t>2. 建设目标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097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7144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建设说明</w:t>
            </w:r>
          </w:p>
        </w:tc>
      </w:tr>
      <w:tr>
        <w:tc>
          <w:tcPr>
            <w:tcW w:type="dxa" w:w="209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提升行政效能</w:t>
            </w:r>
          </w:p>
        </w:tc>
        <w:tc>
          <w:tcPr>
            <w:tcW w:type="dxa" w:w="714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将高频、重复、规则明确的资料检索、材料归纳和文稿初稿工作转化为“AI 辅助生成 + 人工审核确认”的协同流程。</w:t>
            </w:r>
          </w:p>
        </w:tc>
      </w:tr>
      <w:tr>
        <w:tc>
          <w:tcPr>
            <w:tcW w:type="dxa" w:w="2097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沉淀政务知识</w:t>
            </w:r>
          </w:p>
        </w:tc>
        <w:tc>
          <w:tcPr>
            <w:tcW w:type="dxa" w:w="7144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将制度、政策、办事指南、历史材料和专题资料纳入分级知识库，形成可问、可查、可引用的组织知识服务。</w:t>
            </w:r>
          </w:p>
        </w:tc>
      </w:tr>
      <w:tr>
        <w:tc>
          <w:tcPr>
            <w:tcW w:type="dxa" w:w="209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守住安全边界</w:t>
            </w:r>
          </w:p>
        </w:tc>
        <w:tc>
          <w:tcPr>
            <w:tcW w:type="dxa" w:w="714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通过私有化/专有环境部署、数据分级、权限隔离、受控 API 调用和审计追溯，确保 AI 使用可管、可控、可核。</w:t>
            </w:r>
          </w:p>
        </w:tc>
      </w:tr>
      <w:tr>
        <w:tc>
          <w:tcPr>
            <w:tcW w:type="dxa" w:w="2097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形成集约能力</w:t>
            </w:r>
          </w:p>
        </w:tc>
        <w:tc>
          <w:tcPr>
            <w:tcW w:type="dxa" w:w="7144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由 TokenHub 统一承接模型、知识、权限、计量和审计能力，支撑多个部门和场景的持续扩展。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0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总体原则</w:t>
            </w:r>
          </w:p>
        </w:tc>
        <w:tc>
          <w:tcPr>
            <w:tcW w:type="dxa" w:w="7711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9"/>
              </w:rPr>
              <w:t>安全优先、业务牵引、集约建设、分步推广、人工兜底。AI 输出用于辅助起草、辅助检索和辅助分析，重要公文、政策口径和对外信息仍须遵循既有审核发布流程。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75" w:type="dxa"/>
              <w:start w:w="150" w:type="dxa"/>
              <w:bottom w:w="75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02  总体架构与建设内容</w:t>
            </w:r>
          </w:p>
        </w:tc>
      </w:tr>
    </w:tbl>
    <w:p>
      <w:pPr>
        <w:pStyle w:val="Heading1"/>
        <w:keepNext/>
        <w:spacing w:before="340" w:after="140"/>
      </w:pPr>
      <w:r>
        <w:rPr>
          <w:rFonts w:ascii="Microsoft YaHei" w:hAnsi="Microsoft YaHei" w:eastAsia="Microsoft YaHei"/>
          <w:b/>
          <w:color w:val="183B66"/>
          <w:sz w:val="30"/>
        </w:rPr>
        <w:t>3. 政务智能办公总体架构</w:t>
      </w:r>
    </w:p>
    <w:p>
      <w:pPr>
        <w:spacing w:before="0" w:after="140" w:line="341" w:lineRule="auto"/>
        <w:ind w:firstLine="420"/>
      </w:pPr>
      <w:r>
        <w:rPr>
          <w:rFonts w:ascii="Microsoft YaHei" w:hAnsi="Microsoft YaHei" w:eastAsia="Microsoft YaHei"/>
          <w:b w:val="0"/>
          <w:color w:val="273546"/>
          <w:sz w:val="21"/>
        </w:rPr>
        <w:t>平台采用“政务工作台 + 统一 AI 能力底座 + 既有政务系统”的三层架构。黔前 AI 助手负责面向人员的场景交互、任务编排和结果交付；TokenHub 负责模型服务、RAG 知识库、应用权限、用量计量、审计追溯和运行策略；OA、档案、会议、业务办理等系统按需提供受控业务上下文与资料来源。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ed-ai-foun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7"/>
        </w:rPr>
        <w:t>图 1  统一 AI 能力底座示意（模型、知识、权限、审计与本地算力统一治理）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建设层</w:t>
            </w:r>
          </w:p>
        </w:tc>
        <w:tc>
          <w:tcPr>
            <w:tcW w:type="dxa" w:w="2948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4592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关键能力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政务工作台</w:t>
            </w:r>
          </w:p>
        </w:tc>
        <w:tc>
          <w:tcPr>
            <w:tcW w:type="dxa" w:w="294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黔前 AI 助手面向工作人员提供统一入口与场景服务。</w:t>
            </w:r>
          </w:p>
        </w:tc>
        <w:tc>
          <w:tcPr>
            <w:tcW w:type="dxa" w:w="459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智能对话、政务技能工作台、数字员工、专业文档、会议内容处理、自动化任务。</w:t>
            </w:r>
          </w:p>
        </w:tc>
      </w:tr>
      <w:tr>
        <w:tc>
          <w:tcPr>
            <w:tcW w:type="dxa" w:w="170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AI 能力底座</w:t>
            </w:r>
          </w:p>
        </w:tc>
        <w:tc>
          <w:tcPr>
            <w:tcW w:type="dxa" w:w="2948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TokenHub 统一提供受控、可观测、可扩展的 AI 服务。</w:t>
            </w:r>
          </w:p>
        </w:tc>
        <w:tc>
          <w:tcPr>
            <w:tcW w:type="dxa" w:w="4592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模型路由、RAG 知识库、文件处理、API Key 权限、调用审计、用量与配额。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政务数据与系统</w:t>
            </w:r>
          </w:p>
        </w:tc>
        <w:tc>
          <w:tcPr>
            <w:tcW w:type="dxa" w:w="294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按授权向 AI 场景提供业务资料、目录信息和流程上下文。</w:t>
            </w:r>
          </w:p>
        </w:tc>
        <w:tc>
          <w:tcPr>
            <w:tcW w:type="dxa" w:w="459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OA、档案、会议、政策法规、事项办理、统一身份与组织目录等。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40"/>
      </w:pPr>
      <w:r>
        <w:rPr>
          <w:rFonts w:ascii="Microsoft YaHei" w:hAnsi="Microsoft YaHei" w:eastAsia="Microsoft YaHei"/>
          <w:b/>
          <w:color w:val="2878B8"/>
          <w:sz w:val="24"/>
        </w:rPr>
        <w:t>4. 关键数据与调用流程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649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处理过程</w:t>
            </w:r>
          </w:p>
        </w:tc>
        <w:tc>
          <w:tcPr>
            <w:tcW w:type="dxa" w:w="3402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控制要点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任务发起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工作人员在黔前 AI 助手中选择具体政务场景，提交主题、材料或检索问题。</w:t>
            </w:r>
          </w:p>
        </w:tc>
        <w:tc>
          <w:tcPr>
            <w:tcW w:type="dxa" w:w="340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场景限定输入范围；对涉敏任务按授权和流程限制。</w:t>
            </w:r>
          </w:p>
        </w:tc>
      </w:tr>
      <w:tr>
        <w:tc>
          <w:tcPr>
            <w:tcW w:type="dxa" w:w="1134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场景编排</w:t>
            </w:r>
          </w:p>
        </w:tc>
        <w:tc>
          <w:tcPr>
            <w:tcW w:type="dxa" w:w="4649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工作台按模板、知识范围和任务规则组织请求。</w:t>
            </w:r>
          </w:p>
        </w:tc>
        <w:tc>
          <w:tcPr>
            <w:tcW w:type="dxa" w:w="3402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采用标准表单与提示词模板，减少随意调用和输出偏差。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受控调用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服务端通过受控 API 调用 TokenHub 模型或 RAG 服务。</w:t>
            </w:r>
          </w:p>
        </w:tc>
        <w:tc>
          <w:tcPr>
            <w:tcW w:type="dxa" w:w="340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应用/API Key 最小授权；限定模型、知识库、来源与配额。</w:t>
            </w:r>
          </w:p>
        </w:tc>
      </w:tr>
      <w:tr>
        <w:tc>
          <w:tcPr>
            <w:tcW w:type="dxa" w:w="1134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生成与引用</w:t>
            </w:r>
          </w:p>
        </w:tc>
        <w:tc>
          <w:tcPr>
            <w:tcW w:type="dxa" w:w="4649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TokenHub 完成检索、模型路由和结果返回；可携带资料来源。</w:t>
            </w:r>
          </w:p>
        </w:tc>
        <w:tc>
          <w:tcPr>
            <w:tcW w:type="dxa" w:w="3402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知识库空间隔离；关键回答展示依据；异常时可降级或转人工。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审核与留痕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用户在工作台复核、编辑和确认后进入既有业务流程。</w:t>
            </w:r>
          </w:p>
        </w:tc>
        <w:tc>
          <w:tcPr>
            <w:tcW w:type="dxa" w:w="340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记录调用、用量、异常与关键操作；重要输出保留人工审核。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75" w:type="dxa"/>
              <w:start w:w="150" w:type="dxa"/>
              <w:bottom w:w="75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03  重点政务应用场景</w:t>
            </w:r>
          </w:p>
        </w:tc>
      </w:tr>
    </w:tbl>
    <w:p>
      <w:pPr>
        <w:pStyle w:val="Heading1"/>
        <w:keepNext/>
        <w:spacing w:before="340" w:after="140"/>
      </w:pPr>
      <w:r>
        <w:rPr>
          <w:rFonts w:ascii="Microsoft YaHei" w:hAnsi="Microsoft YaHei" w:eastAsia="Microsoft YaHei"/>
          <w:b/>
          <w:color w:val="183B66"/>
          <w:sz w:val="30"/>
        </w:rPr>
        <w:t>5. 场景矩阵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96000" cy="32619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ment-office-scen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7"/>
        </w:rPr>
        <w:t>图 2  政务智能办公典型场景示意（文稿、知识、会议与任务协同）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0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优先场景</w:t>
            </w:r>
          </w:p>
        </w:tc>
        <w:tc>
          <w:tcPr>
            <w:tcW w:type="dxa" w:w="2835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典型任务</w:t>
            </w:r>
          </w:p>
        </w:tc>
        <w:tc>
          <w:tcPr>
            <w:tcW w:type="dxa" w:w="255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融合能力</w:t>
            </w:r>
          </w:p>
        </w:tc>
        <w:tc>
          <w:tcPr>
            <w:tcW w:type="dxa" w:w="2438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业务价值</w:t>
            </w:r>
          </w:p>
        </w:tc>
      </w:tr>
      <w:tr>
        <w:tc>
          <w:tcPr>
            <w:tcW w:type="dxa" w:w="136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公文与材料辅助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通知、请示、报告、函、纪要、汇报材料的提纲生成、初稿辅助、语句润色与要点核对。</w:t>
            </w:r>
          </w:p>
        </w:tc>
        <w:tc>
          <w:tcPr>
            <w:tcW w:type="dxa" w:w="255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政务模板工作台 + TokenHub 模型路由 + 受控专题知识库。</w:t>
            </w:r>
          </w:p>
        </w:tc>
        <w:tc>
          <w:tcPr>
            <w:tcW w:type="dxa" w:w="243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缩短初稿与整理时间，提升结构、格式和口径的一致性。</w:t>
            </w:r>
          </w:p>
        </w:tc>
      </w:tr>
      <w:tr>
        <w:tc>
          <w:tcPr>
            <w:tcW w:type="dxa" w:w="1360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政策制度问答</w:t>
            </w:r>
          </w:p>
        </w:tc>
        <w:tc>
          <w:tcPr>
            <w:tcW w:type="dxa" w:w="2835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查询制度依据、办事流程、政策条款、历史口径与常见问题。</w:t>
            </w:r>
          </w:p>
        </w:tc>
        <w:tc>
          <w:tcPr>
            <w:tcW w:type="dxa" w:w="255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黔前对话入口 + TokenHub RAG 检索与引用返回。</w:t>
            </w:r>
          </w:p>
        </w:tc>
        <w:tc>
          <w:tcPr>
            <w:tcW w:type="dxa" w:w="2438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减少重复答疑与人工检索，让回答有依据、可核验。</w:t>
            </w:r>
          </w:p>
        </w:tc>
      </w:tr>
      <w:tr>
        <w:tc>
          <w:tcPr>
            <w:tcW w:type="dxa" w:w="136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会议智能协同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录音/文本整理、会议纪要、待办事项、责任分工与结论摘要。</w:t>
            </w:r>
          </w:p>
        </w:tc>
        <w:tc>
          <w:tcPr>
            <w:tcW w:type="dxa" w:w="255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会议内容处理 + TokenHub 摘要与结构化生成。</w:t>
            </w:r>
          </w:p>
        </w:tc>
        <w:tc>
          <w:tcPr>
            <w:tcW w:type="dxa" w:w="243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将会后长时间整理转化为快速复核，提升事项闭环效率。</w:t>
            </w:r>
          </w:p>
        </w:tc>
      </w:tr>
      <w:tr>
        <w:tc>
          <w:tcPr>
            <w:tcW w:type="dxa" w:w="1360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信息报送与专题材料</w:t>
            </w:r>
          </w:p>
        </w:tc>
        <w:tc>
          <w:tcPr>
            <w:tcW w:type="dxa" w:w="2835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汇总多来源资料，形成简报、专报、调研摘要和领导参阅材料。</w:t>
            </w:r>
          </w:p>
        </w:tc>
        <w:tc>
          <w:tcPr>
            <w:tcW w:type="dxa" w:w="255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材料归纳工作台 + 专题资料库 + 长文本能力。</w:t>
            </w:r>
          </w:p>
        </w:tc>
        <w:tc>
          <w:tcPr>
            <w:tcW w:type="dxa" w:w="2438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提升信息归集和专题研判效率，减少遗漏与反复加工。</w:t>
            </w:r>
          </w:p>
        </w:tc>
      </w:tr>
      <w:tr>
        <w:tc>
          <w:tcPr>
            <w:tcW w:type="dxa" w:w="136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政务知识助手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新人员培训、日常办文办会咨询、业务流程提醒和资料导航。</w:t>
            </w:r>
          </w:p>
        </w:tc>
        <w:tc>
          <w:tcPr>
            <w:tcW w:type="dxa" w:w="255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数字员工角色编排 + 分级知识库 + 权限控制。</w:t>
            </w:r>
          </w:p>
        </w:tc>
        <w:tc>
          <w:tcPr>
            <w:tcW w:type="dxa" w:w="243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将个人经验转化为可复用服务，降低培训和传帮带成本。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0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场景边界</w:t>
            </w:r>
          </w:p>
        </w:tc>
        <w:tc>
          <w:tcPr>
            <w:tcW w:type="dxa" w:w="7711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9"/>
              </w:rPr>
              <w:t>所有场景均遵循“AI 辅助、人工负责”的原则。平台不替代政策解释权、行政审批权和正式发文审核权；对外发布、正式文件与关键结论须沿用现行审批、校核和留痕流程。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75" w:type="dxa"/>
              <w:start w:w="150" w:type="dxa"/>
              <w:bottom w:w="75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04  安全与信创保障</w:t>
            </w:r>
          </w:p>
        </w:tc>
      </w:tr>
    </w:tbl>
    <w:p>
      <w:pPr>
        <w:pStyle w:val="Heading1"/>
        <w:keepNext/>
        <w:spacing w:before="340" w:after="140"/>
      </w:pPr>
      <w:r>
        <w:rPr>
          <w:rFonts w:ascii="Microsoft YaHei" w:hAnsi="Microsoft YaHei" w:eastAsia="Microsoft YaHei"/>
          <w:b/>
          <w:color w:val="183B66"/>
          <w:sz w:val="30"/>
        </w:rPr>
        <w:t>6. 安全治理体系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17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治理维度</w:t>
            </w:r>
          </w:p>
        </w:tc>
        <w:tc>
          <w:tcPr>
            <w:tcW w:type="dxa" w:w="4649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建议措施</w:t>
            </w:r>
          </w:p>
        </w:tc>
        <w:tc>
          <w:tcPr>
            <w:tcW w:type="dxa" w:w="3118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预期效果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部署与网络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按单位安全要求在私有化、政务专网或受控专有环境中部署；支持离线或受限网络运行模式。</w:t>
            </w:r>
          </w:p>
        </w:tc>
        <w:tc>
          <w:tcPr>
            <w:tcW w:type="dxa" w:w="311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数据处理路径清晰，减少资料外流风险。</w:t>
            </w:r>
          </w:p>
        </w:tc>
      </w:tr>
      <w:tr>
        <w:tc>
          <w:tcPr>
            <w:tcW w:type="dxa" w:w="1417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数据分级</w:t>
            </w:r>
          </w:p>
        </w:tc>
        <w:tc>
          <w:tcPr>
            <w:tcW w:type="dxa" w:w="4649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按组织、部门、项目、密级或专题建立知识空间，设置导入、检索、更新和共享规则。</w:t>
            </w:r>
          </w:p>
        </w:tc>
        <w:tc>
          <w:tcPr>
            <w:tcW w:type="dxa" w:w="3118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资料可用而不越界，检索结果与授权范围一致。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身份与权限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黔前 AI 助手承接人员身份和业务角色；TokenHub 对应用、API Key、模型与知识库实施细粒度授权。</w:t>
            </w:r>
          </w:p>
        </w:tc>
        <w:tc>
          <w:tcPr>
            <w:tcW w:type="dxa" w:w="311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业务权限与 AI 服务权限分层管理，便于最小授权。</w:t>
            </w:r>
          </w:p>
        </w:tc>
      </w:tr>
      <w:tr>
        <w:tc>
          <w:tcPr>
            <w:tcW w:type="dxa" w:w="1417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审计与运营</w:t>
            </w:r>
          </w:p>
        </w:tc>
        <w:tc>
          <w:tcPr>
            <w:tcW w:type="dxa" w:w="4649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记录调用来源、时间、模型、知识范围、用量、异常及关键管理操作。</w:t>
            </w:r>
          </w:p>
        </w:tc>
        <w:tc>
          <w:tcPr>
            <w:tcW w:type="dxa" w:w="3118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支持问题排查、责任追溯、成本治理和持续优化。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内容责任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结合标准模板、资料引用、敏感任务提示、人工审核与抽检机制。</w:t>
            </w:r>
          </w:p>
        </w:tc>
        <w:tc>
          <w:tcPr>
            <w:tcW w:type="dxa" w:w="311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控制生成内容风险，确保重要输出经过业务确认。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40"/>
      </w:pPr>
      <w:r>
        <w:rPr>
          <w:rFonts w:ascii="Microsoft YaHei" w:hAnsi="Microsoft YaHei" w:eastAsia="Microsoft YaHei"/>
          <w:b/>
          <w:color w:val="2878B8"/>
          <w:sz w:val="24"/>
        </w:rPr>
        <w:t>7. 信创与自主可控建议</w:t>
      </w:r>
    </w:p>
    <w:p>
      <w:pPr>
        <w:spacing w:before="0" w:after="140" w:line="341" w:lineRule="auto"/>
      </w:pPr>
      <w:r>
        <w:rPr>
          <w:rFonts w:ascii="Microsoft YaHei" w:hAnsi="Microsoft YaHei" w:eastAsia="Microsoft YaHei"/>
          <w:b w:val="0"/>
          <w:color w:val="273546"/>
          <w:sz w:val="21"/>
        </w:rPr>
        <w:t>平台应结合单位现有基础设施，优先采用与现网兼容的操作系统、数据库、中间件、浏览器和办公套件。TokenHub 的模型路由能力使应用层不绑定单一厂商；在满足性能、安全与采购要求的前提下，可按任务接入国产商用模型、本地部署模型或经批准的专有模型服务。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0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建设要求</w:t>
            </w:r>
          </w:p>
        </w:tc>
        <w:tc>
          <w:tcPr>
            <w:tcW w:type="dxa" w:w="7711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9"/>
              </w:rPr>
              <w:t>实际信创适配范围、国产软硬件清单、部署方式及测评要求，应以项目单位现网环境、采购规范和安全管理制度为准，在项目调研阶段完成确认。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75" w:type="dxa"/>
              <w:start w:w="150" w:type="dxa"/>
              <w:bottom w:w="75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05  实施路径与项目管理</w:t>
            </w:r>
          </w:p>
        </w:tc>
      </w:tr>
    </w:tbl>
    <w:p>
      <w:pPr>
        <w:pStyle w:val="Heading1"/>
        <w:keepNext/>
        <w:spacing w:before="340" w:after="140"/>
      </w:pPr>
      <w:r>
        <w:rPr>
          <w:rFonts w:ascii="Microsoft YaHei" w:hAnsi="Microsoft YaHei" w:eastAsia="Microsoft YaHei"/>
          <w:b/>
          <w:color w:val="183B66"/>
          <w:sz w:val="30"/>
        </w:rPr>
        <w:t>8. 分阶段实施路径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530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9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835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主要成果</w:t>
            </w:r>
          </w:p>
        </w:tc>
        <w:tc>
          <w:tcPr>
            <w:tcW w:type="dxa" w:w="238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验收关注点</w:t>
            </w:r>
          </w:p>
        </w:tc>
      </w:tr>
      <w:tr>
        <w:tc>
          <w:tcPr>
            <w:tcW w:type="dxa" w:w="153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第一阶段：试点验证</w:t>
            </w:r>
          </w:p>
        </w:tc>
        <w:tc>
          <w:tcPr>
            <w:tcW w:type="dxa" w:w="289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选取公文辅助、制度问答、会议纪要等 2—3 个高频且资料边界清晰的场景。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试点工作台、知识空间、TokenHub 服务配置、基础权限和审计能力。</w:t>
            </w:r>
          </w:p>
        </w:tc>
        <w:tc>
          <w:tcPr>
            <w:tcW w:type="dxa" w:w="238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是否安全可用、回答有依据、用户可感知、审核流程可衔接。</w:t>
            </w:r>
          </w:p>
        </w:tc>
      </w:tr>
      <w:tr>
        <w:tc>
          <w:tcPr>
            <w:tcW w:type="dxa" w:w="1530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第二阶段：部门推广</w:t>
            </w:r>
          </w:p>
        </w:tc>
        <w:tc>
          <w:tcPr>
            <w:tcW w:type="dxa" w:w="289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扩展至信息报送、专题材料、部门知识助手等场景，完善模板与培训。</w:t>
            </w:r>
          </w:p>
        </w:tc>
        <w:tc>
          <w:tcPr>
            <w:tcW w:type="dxa" w:w="2835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分部门知识库、标准场景包、运营机制、部门级使用数据。</w:t>
            </w:r>
          </w:p>
        </w:tc>
        <w:tc>
          <w:tcPr>
            <w:tcW w:type="dxa" w:w="238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是否形成稳定使用习惯，知识质量和用量是否可管理。</w:t>
            </w:r>
          </w:p>
        </w:tc>
      </w:tr>
      <w:tr>
        <w:tc>
          <w:tcPr>
            <w:tcW w:type="dxa" w:w="153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第三阶段：协同深化</w:t>
            </w:r>
          </w:p>
        </w:tc>
        <w:tc>
          <w:tcPr>
            <w:tcW w:type="dxa" w:w="289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按需对接 OA、档案、会议、统一身份等系统，形成跨系统协同。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标准接口、自动化任务、组织级治理规范和持续运营看板。</w:t>
            </w:r>
          </w:p>
        </w:tc>
        <w:tc>
          <w:tcPr>
            <w:tcW w:type="dxa" w:w="238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是否减少信息孤岛，是否形成可复用的统一 AI 服务能力。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40"/>
      </w:pPr>
      <w:r>
        <w:rPr>
          <w:rFonts w:ascii="Microsoft YaHei" w:hAnsi="Microsoft YaHei" w:eastAsia="Microsoft YaHei"/>
          <w:b/>
          <w:color w:val="2878B8"/>
          <w:sz w:val="24"/>
        </w:rPr>
        <w:t>9. 项目组织与运行机制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04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597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业务牵头部门</w:t>
            </w:r>
          </w:p>
        </w:tc>
        <w:tc>
          <w:tcPr>
            <w:tcW w:type="dxa" w:w="759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确定试点场景、业务边界、审核流程和验收标准，组织用户反馈与推广。</w:t>
            </w:r>
          </w:p>
        </w:tc>
      </w:tr>
      <w:tr>
        <w:tc>
          <w:tcPr>
            <w:tcW w:type="dxa" w:w="204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信息化与安全部门</w:t>
            </w:r>
          </w:p>
        </w:tc>
        <w:tc>
          <w:tcPr>
            <w:tcW w:type="dxa" w:w="7597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确认部署架构、网络边界、数据分级、身份接入、审计规范及安全运营要求。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知识管理员</w:t>
            </w:r>
          </w:p>
        </w:tc>
        <w:tc>
          <w:tcPr>
            <w:tcW w:type="dxa" w:w="759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负责资料准入、分类、更新、失效处理、问答质量回收和知识库运营。</w:t>
            </w:r>
          </w:p>
        </w:tc>
      </w:tr>
      <w:tr>
        <w:tc>
          <w:tcPr>
            <w:tcW w:type="dxa" w:w="204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黔前 AI 助手团队</w:t>
            </w:r>
          </w:p>
        </w:tc>
        <w:tc>
          <w:tcPr>
            <w:tcW w:type="dxa" w:w="7597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建设工作台、场景模板、数字员工和人员培训，持续优化用户体验。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TokenHub 运维团队</w:t>
            </w:r>
          </w:p>
        </w:tc>
        <w:tc>
          <w:tcPr>
            <w:tcW w:type="dxa" w:w="759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保障模型、RAG、权限、计量、审计和运行策略，支撑容量与异常处置。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75" w:type="dxa"/>
              <w:start w:w="150" w:type="dxa"/>
              <w:bottom w:w="75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06  建设价值与结论</w:t>
            </w:r>
          </w:p>
        </w:tc>
      </w:tr>
    </w:tbl>
    <w:p>
      <w:pPr>
        <w:pStyle w:val="Heading1"/>
        <w:keepNext/>
        <w:spacing w:before="340" w:after="140"/>
      </w:pPr>
      <w:r>
        <w:rPr>
          <w:rFonts w:ascii="Microsoft YaHei" w:hAnsi="Microsoft YaHei" w:eastAsia="Microsoft YaHei"/>
          <w:b/>
          <w:color w:val="183B66"/>
          <w:sz w:val="30"/>
        </w:rPr>
        <w:t>10. 预期建设价值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价值维度</w:t>
            </w:r>
          </w:p>
        </w:tc>
        <w:tc>
          <w:tcPr>
            <w:tcW w:type="dxa" w:w="7767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价值说明</w:t>
            </w:r>
          </w:p>
        </w:tc>
      </w:tr>
      <w:tr>
        <w:tc>
          <w:tcPr>
            <w:tcW w:type="dxa" w:w="187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行政效能</w:t>
            </w:r>
          </w:p>
        </w:tc>
        <w:tc>
          <w:tcPr>
            <w:tcW w:type="dxa" w:w="776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将高频的信息整理、资料检索和文稿起草工作前移为 AI 辅助，释放人员时间用于调查研究、决策支持和群众服务。</w:t>
            </w:r>
          </w:p>
        </w:tc>
      </w:tr>
      <w:tr>
        <w:tc>
          <w:tcPr>
            <w:tcW w:type="dxa" w:w="187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规范一致</w:t>
            </w:r>
          </w:p>
        </w:tc>
        <w:tc>
          <w:tcPr>
            <w:tcW w:type="dxa" w:w="7767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通过政务模板、标准口径、知识引用与人工校核，提升材料结构、表达和流程衔接的一致性。</w:t>
            </w:r>
          </w:p>
        </w:tc>
      </w:tr>
      <w:tr>
        <w:tc>
          <w:tcPr>
            <w:tcW w:type="dxa" w:w="187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组织知识</w:t>
            </w:r>
          </w:p>
        </w:tc>
        <w:tc>
          <w:tcPr>
            <w:tcW w:type="dxa" w:w="776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减少经验依赖个人和资料沉睡，使制度、政策、案例与流程形成可持续更新的组织能力。</w:t>
            </w:r>
          </w:p>
        </w:tc>
      </w:tr>
      <w:tr>
        <w:tc>
          <w:tcPr>
            <w:tcW w:type="dxa" w:w="1871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安全可控</w:t>
            </w:r>
          </w:p>
        </w:tc>
        <w:tc>
          <w:tcPr>
            <w:tcW w:type="dxa" w:w="7767"/>
            <w:shd w:fill="F4F8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统一治理模型、知识、调用权限和审计记录，在明确边界内推动 AI 能力应用。</w:t>
            </w:r>
          </w:p>
        </w:tc>
      </w:tr>
      <w:tr>
        <w:tc>
          <w:tcPr>
            <w:tcW w:type="dxa" w:w="187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集约发展</w:t>
            </w:r>
          </w:p>
        </w:tc>
        <w:tc>
          <w:tcPr>
            <w:tcW w:type="dxa" w:w="776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8"/>
              </w:rPr>
              <w:t>构建可复用的 AI 服务底座，后续新增场景和系统接入不必重复建设模型适配、知识检索和治理能力。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40" w:after="140"/>
      </w:pPr>
      <w:r>
        <w:rPr>
          <w:rFonts w:ascii="Microsoft YaHei" w:hAnsi="Microsoft YaHei" w:eastAsia="Microsoft YaHei"/>
          <w:b/>
          <w:color w:val="183B66"/>
          <w:sz w:val="30"/>
        </w:rPr>
        <w:t>11. 结论与下一步建议</w:t>
      </w:r>
    </w:p>
    <w:p>
      <w:pPr>
        <w:spacing w:before="0" w:after="140" w:line="341" w:lineRule="auto"/>
        <w:ind w:firstLine="420"/>
      </w:pPr>
      <w:r>
        <w:rPr>
          <w:rFonts w:ascii="Microsoft YaHei" w:hAnsi="Microsoft YaHei" w:eastAsia="Microsoft YaHei"/>
          <w:b w:val="0"/>
          <w:color w:val="273546"/>
          <w:sz w:val="21"/>
        </w:rPr>
        <w:t>TokenHub + 黔前 AI 助手政务智能办公平台，以“前台场景化、后台集约化、安全可控化”为核心，将政务工作台与统一 AI 能力底座明确分层。黔前 AI 助手帮助工作人员以低门槛完成材料、知识、会议和协同任务；TokenHub 统一管理模型、知识、权限、审计与用量，为多部门、可持续的政务 AI 应用提供基础支撑。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0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下一步建议</w:t>
            </w:r>
          </w:p>
        </w:tc>
        <w:tc>
          <w:tcPr>
            <w:tcW w:type="dxa" w:w="7711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273546"/>
                <w:sz w:val="19"/>
              </w:rPr>
              <w:t>建议共同确定试点单位、试点部门和首批 2—3 个场景；完成现网环境、数据分级、知识资料和审核流程调研；随后开展私有化部署、接口联调、知识入库、用户培训与试点评估。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91" w:right="1247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 w:after="0"/>
      <w:jc w:val="center"/>
    </w:pPr>
    <w:r>
      <w:rPr>
        <w:rFonts w:ascii="Microsoft YaHei" w:hAnsi="Microsoft YaHei" w:eastAsia="Microsoft YaHei"/>
        <w:b w:val="0"/>
        <w:color w:val="5B6573"/>
        <w:sz w:val="17"/>
      </w:rPr>
      <w:t>TokenHub + 黔前 AI 助手｜政务智能办公平台建设方案</w:t>
    </w:r>
    <w:r>
      <w:rPr>
        <w:rFonts w:ascii="Microsoft YaHei" w:hAnsi="Microsoft YaHei" w:eastAsia="Microsoft YaHei"/>
        <w:b w:val="0"/>
        <w:color w:val="5B6573"/>
        <w:sz w:val="17"/>
      </w:rPr>
      <w:t xml:space="preserve">  ·  第 </w:t>
    </w:r>
    <w:fldSimple w:instr="PAGE"/>
    <w:r>
      <w:rPr>
        <w:rFonts w:ascii="Microsoft YaHei" w:hAnsi="Microsoft YaHei" w:eastAsia="Microsoft YaHei"/>
        <w:b w:val="0"/>
        <w:color w:val="5B65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TokenHub + 黔前 AI 助手政务智能办公平台建设方案</dc:title>
  <dc:subject>政务智能办公平台建设方案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