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i w:val="0"/>
          <w:color w:val="2878B8"/>
          <w:sz w:val="32"/>
        </w:rPr>
        <w:t>统一 AI 能力底座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i w:val="0"/>
          <w:color w:val="183B66"/>
          <w:sz w:val="54"/>
        </w:rPr>
        <w:t>TokenHub + 黔前 AI 助手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/>
          <w:i w:val="0"/>
          <w:color w:val="183B66"/>
          <w:sz w:val="44"/>
        </w:rPr>
        <w:t>智能办公融合应用方案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方案定位</w:t>
            </w:r>
          </w:p>
        </w:tc>
        <w:tc>
          <w:tcPr>
            <w:tcW w:type="dxa" w:w="7767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9"/>
              </w:rPr>
              <w:t>面向政企与知识密集型组织，以黔前 AI 助手承载智能办公场景，以 TokenHub 统一模型、知识、权限、审计和运营能力，实现安全、专业、可持续运营的组织级 AI 办公平台。</w:t>
            </w:r>
          </w:p>
        </w:tc>
      </w:tr>
    </w:tbl>
    <w:p>
      <w:pPr>
        <w:spacing w:after="40"/>
      </w:pP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before="0" w:after="12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21"/>
        </w:rPr>
        <w:t>版本：V1.0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5B6573"/>
          <w:sz w:val="21"/>
        </w:rPr>
        <w:t>日期：2026 年 7 月</w:t>
      </w:r>
    </w:p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183B66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01  项目概述</w:t>
            </w:r>
          </w:p>
        </w:tc>
      </w:tr>
    </w:tbl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1. 建设背景与方案目标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  <w:t>政企办公正从“信息化工具支撑”进入“智能化能力赋能”阶段。组织内部积累的大量制度文件、项目资料、合同范本、会议记录和业务数据，普遍存在检索困难、复用不足、专业写作成本高、经验依赖个人等问题。与此同时，敏感数据不能无边界流转，AI 应用又必须满足可控、可审计和可持续运营的要求。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  <w:t>本方案不把 AI 简化为单一聊天功能，而是建设面向办公任务的统一能力体系：由黔前 AI 助手提供贴近员工的交互、流程和专业场景，由 TokenHub 提供统一、受控、可观测的 AI 服务底座。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04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建设目标</w:t>
            </w:r>
          </w:p>
        </w:tc>
        <w:tc>
          <w:tcPr>
            <w:tcW w:type="dxa" w:w="7200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目标说明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让 AI 真正进入工作流</w:t>
            </w:r>
          </w:p>
        </w:tc>
        <w:tc>
          <w:tcPr>
            <w:tcW w:type="dxa" w:w="720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将模型能力封装为公文、合同、标书、会议、制度问答、资料检索等可直接使用的办公服务。</w:t>
            </w:r>
          </w:p>
        </w:tc>
      </w:tr>
      <w:tr>
        <w:tc>
          <w:tcPr>
            <w:tcW w:type="dxa" w:w="2041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让知识成为组织资产</w:t>
            </w:r>
          </w:p>
        </w:tc>
        <w:tc>
          <w:tcPr>
            <w:tcW w:type="dxa" w:w="7200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把分散文档与经验沉淀为分级、可检索、可引用、可复用的知识库。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让数据使用可控</w:t>
            </w:r>
          </w:p>
        </w:tc>
        <w:tc>
          <w:tcPr>
            <w:tcW w:type="dxa" w:w="720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通过私有化部署、权限隔离、受控 API、调用审计与内容边界，保障数据使用安全。</w:t>
            </w:r>
          </w:p>
        </w:tc>
      </w:tr>
      <w:tr>
        <w:tc>
          <w:tcPr>
            <w:tcW w:type="dxa" w:w="2041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让 AI 服务可运营</w:t>
            </w:r>
          </w:p>
        </w:tc>
        <w:tc>
          <w:tcPr>
            <w:tcW w:type="dxa" w:w="7200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统一模型选择、质量策略、成本统计、用量配额和故障切换，避免能力碎片化。</w:t>
            </w:r>
          </w:p>
        </w:tc>
      </w:tr>
    </w:tbl>
    <w:p>
      <w:pPr>
        <w:spacing w:after="20"/>
      </w:pPr>
    </w:p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2. 融合定位与分工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814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238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核心职责</w:t>
            </w:r>
          </w:p>
        </w:tc>
        <w:tc>
          <w:tcPr>
            <w:tcW w:type="dxa" w:w="5046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建设重点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 AI 助手</w:t>
            </w:r>
          </w:p>
        </w:tc>
        <w:tc>
          <w:tcPr>
            <w:tcW w:type="dxa" w:w="238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智能办公应用层</w:t>
            </w:r>
          </w:p>
        </w:tc>
        <w:tc>
          <w:tcPr>
            <w:tcW w:type="dxa" w:w="5046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面向员工提供对话、技能工作台、数字员工、专业文档、语音/视频处理、自动化任务等业务体验。</w:t>
            </w:r>
          </w:p>
        </w:tc>
      </w:tr>
      <w:tr>
        <w:tc>
          <w:tcPr>
            <w:tcW w:type="dxa" w:w="181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TokenHub</w:t>
            </w:r>
          </w:p>
        </w:tc>
        <w:tc>
          <w:tcPr>
            <w:tcW w:type="dxa" w:w="2381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统一 AI 能力底座</w:t>
            </w:r>
          </w:p>
        </w:tc>
        <w:tc>
          <w:tcPr>
            <w:tcW w:type="dxa" w:w="5046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统一接入模型、RAG 知识库、文件处理、外部 API、调用权限、用量统计、审计日志与运行策略。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客户既有系统</w:t>
            </w:r>
          </w:p>
        </w:tc>
        <w:tc>
          <w:tcPr>
            <w:tcW w:type="dxa" w:w="238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业务与数据来源</w:t>
            </w:r>
          </w:p>
        </w:tc>
        <w:tc>
          <w:tcPr>
            <w:tcW w:type="dxa" w:w="5046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OA、档案、CRM、项目管理、会议及目录服务等按需接入，为场景提供业务上下文和受控资料。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核心原则</w:t>
            </w:r>
          </w:p>
        </w:tc>
        <w:tc>
          <w:tcPr>
            <w:tcW w:type="dxa" w:w="7767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9"/>
              </w:rPr>
              <w:t>“应用体验归黔前，AI 服务归 TokenHub，业务数据归客户系统”。各层职责清晰，既能快速建设办公场景，也能避免每个场景重复接模型、重复建知识库、重复做权限与统计。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183B66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02  总体架构</w:t>
            </w:r>
          </w:p>
        </w:tc>
      </w:tr>
    </w:tbl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3. 统一 AI 能力底座架构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EEF5FA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10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B66"/>
                <w:sz w:val="21"/>
              </w:rPr>
              <w:t>员工、管理者、业务系统（OA / 档案 / CRM / 会议等）</w:t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B6573"/>
                <w:sz w:val="18"/>
              </w:rPr>
              <w:t>↓ 统一入口、场景编排与结果交付</w:t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2878B8"/>
                <w:sz w:val="20"/>
              </w:rPr>
              <w:t>黔前 AI 助手｜智能办公应用层</w:t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20"/>
              </w:rPr>
              <w:t>智能对话 · 技能工作台 · 数字员工 · 专业文档 · 语音/视频处理 · 自动化任务</w:t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B6573"/>
                <w:sz w:val="18"/>
              </w:rPr>
              <w:t>↓ 受控 API 调用、组织与业务上下文传递</w:t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83B66"/>
                <w:sz w:val="20"/>
              </w:rPr>
              <w:t>TokenHub｜统一 AI 能力底座</w:t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20"/>
              </w:rPr>
              <w:t>模型路由 · RAG 知识库 · 文件处理 · API Key 权限 · 用量计量 · 审计追踪 · 容灾切换</w:t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5B6573"/>
                <w:sz w:val="18"/>
              </w:rPr>
              <w:t>↓ 安全连接与可观测运营</w:t>
            </w:r>
          </w:p>
          <w:p>
            <w:pPr>
              <w:spacing w:after="6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4F8A5B"/>
                <w:sz w:val="20"/>
              </w:rPr>
              <w:t>模型服务 / 向量服务 / 内部知识源 / 私有算力与国产化环境</w:t>
            </w:r>
          </w:p>
        </w:tc>
      </w:tr>
    </w:tbl>
    <w:p>
      <w:pPr>
        <w:spacing w:after="20"/>
      </w:pP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  <w:t>推荐由黔前 AI 助手的服务端以受控 API 调用 TokenHub。员工仍在黔前 AI 助手内完成登录、任务发起和结果确认，不直接接触上游厂商密钥；TokenHub 对每个应用、部门或场景分配最小权限的 API Key，并对可调用模型、可访问知识库和用量策略实施约束。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417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能力域</w:t>
            </w:r>
          </w:p>
        </w:tc>
        <w:tc>
          <w:tcPr>
            <w:tcW w:type="dxa" w:w="3005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TokenHub 提供的统一能力</w:t>
            </w:r>
          </w:p>
        </w:tc>
        <w:tc>
          <w:tcPr>
            <w:tcW w:type="dxa" w:w="4819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黔前 AI 助手获得的业务能力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模型服务</w:t>
            </w:r>
          </w:p>
        </w:tc>
        <w:tc>
          <w:tcPr>
            <w:tcW w:type="dxa" w:w="300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多模型接入、路由与可用性策略</w:t>
            </w:r>
          </w:p>
        </w:tc>
        <w:tc>
          <w:tcPr>
            <w:tcW w:type="dxa" w:w="481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按任务选择适合的对话、长文本、推理或多模态模型，无需在业务侧重复适配。</w:t>
            </w:r>
          </w:p>
        </w:tc>
      </w:tr>
      <w:tr>
        <w:tc>
          <w:tcPr>
            <w:tcW w:type="dxa" w:w="1417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知识服务</w:t>
            </w:r>
          </w:p>
        </w:tc>
        <w:tc>
          <w:tcPr>
            <w:tcW w:type="dxa" w:w="3005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RAG 知识库、文件上传、向量化、检索与引用</w:t>
            </w:r>
          </w:p>
        </w:tc>
        <w:tc>
          <w:tcPr>
            <w:tcW w:type="dxa" w:w="481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制度问答、项目资料检索、专业写作素材引用与可追溯回答。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安全控制</w:t>
            </w:r>
          </w:p>
        </w:tc>
        <w:tc>
          <w:tcPr>
            <w:tcW w:type="dxa" w:w="300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API Key 授权、模型与知识库范围控制、调用审计</w:t>
            </w:r>
          </w:p>
        </w:tc>
        <w:tc>
          <w:tcPr>
            <w:tcW w:type="dxa" w:w="481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按组织、部门、角色或场景实现数据边界与责任可追溯。</w:t>
            </w:r>
          </w:p>
        </w:tc>
      </w:tr>
      <w:tr>
        <w:tc>
          <w:tcPr>
            <w:tcW w:type="dxa" w:w="1417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运营治理</w:t>
            </w:r>
          </w:p>
        </w:tc>
        <w:tc>
          <w:tcPr>
            <w:tcW w:type="dxa" w:w="3005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用量计量、配额、运行日志、异常定位</w:t>
            </w:r>
          </w:p>
        </w:tc>
        <w:tc>
          <w:tcPr>
            <w:tcW w:type="dxa" w:w="481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可持续评估成本、效果与活跃度，支撑推广和运营决策。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扩展集成</w:t>
            </w:r>
          </w:p>
        </w:tc>
        <w:tc>
          <w:tcPr>
            <w:tcW w:type="dxa" w:w="300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面向外部应用的标准 API</w:t>
            </w:r>
          </w:p>
        </w:tc>
        <w:tc>
          <w:tcPr>
            <w:tcW w:type="dxa" w:w="481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未来可平滑对接 OA、会议、档案、CRM 等系统，避免形成新孤岛。</w:t>
            </w:r>
          </w:p>
        </w:tc>
      </w:tr>
    </w:tbl>
    <w:p>
      <w:pPr>
        <w:spacing w:after="20"/>
      </w:pPr>
    </w:p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4. 关键业务数据流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190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步骤</w:t>
            </w:r>
          </w:p>
        </w:tc>
        <w:tc>
          <w:tcPr>
            <w:tcW w:type="dxa" w:w="4649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处理过程</w:t>
            </w:r>
          </w:p>
        </w:tc>
        <w:tc>
          <w:tcPr>
            <w:tcW w:type="dxa" w:w="3402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安全与质量控制</w:t>
            </w:r>
          </w:p>
        </w:tc>
      </w:tr>
      <w:tr>
        <w:tc>
          <w:tcPr>
            <w:tcW w:type="dxa" w:w="119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1. 任务发起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员工在黔前 AI 助手选择“写材料”“问制度”“会议纪要”等场景，提交必要上下文。</w:t>
            </w:r>
          </w:p>
        </w:tc>
        <w:tc>
          <w:tcPr>
            <w:tcW w:type="dxa" w:w="340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界面提示资料范围与输出用途；敏感任务按权限和流程限制。</w:t>
            </w:r>
          </w:p>
        </w:tc>
      </w:tr>
      <w:tr>
        <w:tc>
          <w:tcPr>
            <w:tcW w:type="dxa" w:w="1190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2. 场景编排</w:t>
            </w:r>
          </w:p>
        </w:tc>
        <w:tc>
          <w:tcPr>
            <w:tcW w:type="dxa" w:w="464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 AI 助手调用对应的技能模板、数字员工规则与业务校验。</w:t>
            </w:r>
          </w:p>
        </w:tc>
        <w:tc>
          <w:tcPr>
            <w:tcW w:type="dxa" w:w="3402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标准化输入项与提示词模板，减少随意调用带来的质量波动。</w:t>
            </w:r>
          </w:p>
        </w:tc>
      </w:tr>
      <w:tr>
        <w:tc>
          <w:tcPr>
            <w:tcW w:type="dxa" w:w="119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3. 受控调用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服务端携带受控身份与 API Key 请求 TokenHub 的模型或 RAG 服务。</w:t>
            </w:r>
          </w:p>
        </w:tc>
        <w:tc>
          <w:tcPr>
            <w:tcW w:type="dxa" w:w="340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最小权限 API Key；限定模型、知识库、调用额度与来源系统。</w:t>
            </w:r>
          </w:p>
        </w:tc>
      </w:tr>
      <w:tr>
        <w:tc>
          <w:tcPr>
            <w:tcW w:type="dxa" w:w="1190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4. 检索与生成</w:t>
            </w:r>
          </w:p>
        </w:tc>
        <w:tc>
          <w:tcPr>
            <w:tcW w:type="dxa" w:w="464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TokenHub 完成知识检索、模型路由和结果返回；必要时返回资料来源。</w:t>
            </w:r>
          </w:p>
        </w:tc>
        <w:tc>
          <w:tcPr>
            <w:tcW w:type="dxa" w:w="3402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知识库隔离、引用可见、模型策略与失败降级。</w:t>
            </w:r>
          </w:p>
        </w:tc>
      </w:tr>
      <w:tr>
        <w:tc>
          <w:tcPr>
            <w:tcW w:type="dxa" w:w="119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5. 交付与运营</w:t>
            </w:r>
          </w:p>
        </w:tc>
        <w:tc>
          <w:tcPr>
            <w:tcW w:type="dxa" w:w="464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 AI 助手呈现结果，用户编辑确认后导出或进入下一流程。</w:t>
            </w:r>
          </w:p>
        </w:tc>
        <w:tc>
          <w:tcPr>
            <w:tcW w:type="dxa" w:w="340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记录调用、用量与异常；基于反馈持续优化知识和场景模板。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183B66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03  重点应用场景与价值</w:t>
            </w:r>
          </w:p>
        </w:tc>
      </w:tr>
    </w:tbl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5. 智能办公场景矩阵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304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2494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用户任务</w:t>
            </w:r>
          </w:p>
        </w:tc>
        <w:tc>
          <w:tcPr>
            <w:tcW w:type="dxa" w:w="2835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融合能力</w:t>
            </w:r>
          </w:p>
        </w:tc>
        <w:tc>
          <w:tcPr>
            <w:tcW w:type="dxa" w:w="2608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可衡量价值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公文与材料写作</w:t>
            </w:r>
          </w:p>
        </w:tc>
        <w:tc>
          <w:tcPr>
            <w:tcW w:type="dxa" w:w="249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通知、报告、总结、讲话稿、汇报材料初稿与润色。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黔前技能工作台 + TokenHub 模型路由 + 专题知识库。</w:t>
            </w:r>
          </w:p>
        </w:tc>
        <w:tc>
          <w:tcPr>
            <w:tcW w:type="dxa" w:w="260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缩短从提纲到初稿的时间；提升格式、口径和表达一致性。</w:t>
            </w:r>
          </w:p>
        </w:tc>
      </w:tr>
      <w:tr>
        <w:tc>
          <w:tcPr>
            <w:tcW w:type="dxa" w:w="130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制度与政策问答</w:t>
            </w:r>
          </w:p>
        </w:tc>
        <w:tc>
          <w:tcPr>
            <w:tcW w:type="dxa" w:w="249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查找制度条款、办事流程、历史口径和政策依据。</w:t>
            </w:r>
          </w:p>
        </w:tc>
        <w:tc>
          <w:tcPr>
            <w:tcW w:type="dxa" w:w="2835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黔前对话入口 + TokenHub RAG 检索与来源引用。</w:t>
            </w:r>
          </w:p>
        </w:tc>
        <w:tc>
          <w:tcPr>
            <w:tcW w:type="dxa" w:w="2608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降低重复咨询；减少查找时间；让回答有依据、可复核。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会议智能处理</w:t>
            </w:r>
          </w:p>
        </w:tc>
        <w:tc>
          <w:tcPr>
            <w:tcW w:type="dxa" w:w="249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录音转写、纪要、待办、结论和责任人提取。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黔前语音/视频处理 + TokenHub 文本总结与知识沉淀。</w:t>
            </w:r>
          </w:p>
        </w:tc>
        <w:tc>
          <w:tcPr>
            <w:tcW w:type="dxa" w:w="260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会后整理从人工长耗时工作转为分钟级复核；任务更清晰。</w:t>
            </w:r>
          </w:p>
        </w:tc>
      </w:tr>
      <w:tr>
        <w:tc>
          <w:tcPr>
            <w:tcW w:type="dxa" w:w="130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合同与法务辅助</w:t>
            </w:r>
          </w:p>
        </w:tc>
        <w:tc>
          <w:tcPr>
            <w:tcW w:type="dxa" w:w="249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合同初稿、条款要点提取、风险提示与材料归纳。</w:t>
            </w:r>
          </w:p>
        </w:tc>
        <w:tc>
          <w:tcPr>
            <w:tcW w:type="dxa" w:w="2835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黔前法律助手 + TokenHub 权限隔离知识库 + 模型服务。</w:t>
            </w:r>
          </w:p>
        </w:tc>
        <w:tc>
          <w:tcPr>
            <w:tcW w:type="dxa" w:w="2608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提升初步审阅和资料整理效率；保留人工法务最终判断。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标书与项目方案</w:t>
            </w:r>
          </w:p>
        </w:tc>
        <w:tc>
          <w:tcPr>
            <w:tcW w:type="dxa" w:w="249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解析招标要求、生成章节骨架、整理项目经验与案例。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黔前标书助手 + TokenHub 项目知识库与长文本能力。</w:t>
            </w:r>
          </w:p>
        </w:tc>
        <w:tc>
          <w:tcPr>
            <w:tcW w:type="dxa" w:w="260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加快资料复用和结构搭建；减少遗漏并提升团队协同。</w:t>
            </w:r>
          </w:p>
        </w:tc>
      </w:tr>
      <w:tr>
        <w:tc>
          <w:tcPr>
            <w:tcW w:type="dxa" w:w="130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数字员工</w:t>
            </w:r>
          </w:p>
        </w:tc>
        <w:tc>
          <w:tcPr>
            <w:tcW w:type="dxa" w:w="249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会议秘书、制度助手、合同助手、投标助手等岗位型服务。</w:t>
            </w:r>
          </w:p>
        </w:tc>
        <w:tc>
          <w:tcPr>
            <w:tcW w:type="dxa" w:w="2835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黔前角色化交互与流程 + TokenHub 受控模型/RAG 服务。</w:t>
            </w:r>
          </w:p>
        </w:tc>
        <w:tc>
          <w:tcPr>
            <w:tcW w:type="dxa" w:w="2608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把高频经验封装为可复制服务，降低新人上手与专家重复答疑成本。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自动化简报</w:t>
            </w:r>
          </w:p>
        </w:tc>
        <w:tc>
          <w:tcPr>
            <w:tcW w:type="dxa" w:w="249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日报、周报、项目进展、政策动态和专题摘要。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黔前自动化任务 + TokenHub 批量调用、配额和用量治理。</w:t>
            </w:r>
          </w:p>
        </w:tc>
        <w:tc>
          <w:tcPr>
            <w:tcW w:type="dxa" w:w="260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从“人找信息”转为“信息按需抵达”，形成常态化信息服务。</w:t>
            </w:r>
          </w:p>
        </w:tc>
      </w:tr>
    </w:tbl>
    <w:p>
      <w:pPr>
        <w:spacing w:after="20"/>
      </w:pPr>
    </w:p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6. 应用价值：从单点提效到组织能力升级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304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价值维度</w:t>
            </w:r>
          </w:p>
        </w:tc>
        <w:tc>
          <w:tcPr>
            <w:tcW w:type="dxa" w:w="3969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对组织的直接价值</w:t>
            </w:r>
          </w:p>
        </w:tc>
        <w:tc>
          <w:tcPr>
            <w:tcW w:type="dxa" w:w="3969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对管理者的可见结果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效率价值</w:t>
            </w:r>
          </w:p>
        </w:tc>
        <w:tc>
          <w:tcPr>
            <w:tcW w:type="dxa" w:w="396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减少资料搜索、重复写作、会议整理和格式调整等低价值时间消耗。</w:t>
            </w:r>
          </w:p>
        </w:tc>
        <w:tc>
          <w:tcPr>
            <w:tcW w:type="dxa" w:w="396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可按场景统计调用量、活跃度、耗时缩短和成果复用情况。</w:t>
            </w:r>
          </w:p>
        </w:tc>
      </w:tr>
      <w:tr>
        <w:tc>
          <w:tcPr>
            <w:tcW w:type="dxa" w:w="130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知识价值</w:t>
            </w:r>
          </w:p>
        </w:tc>
        <w:tc>
          <w:tcPr>
            <w:tcW w:type="dxa" w:w="396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将个人经验、制度文件和项目资料转化为团队可复用的组织记忆。</w:t>
            </w:r>
          </w:p>
        </w:tc>
        <w:tc>
          <w:tcPr>
            <w:tcW w:type="dxa" w:w="396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可追踪知识库覆盖度、热点问题和知识缺口，指导持续建设。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质量价值</w:t>
            </w:r>
          </w:p>
        </w:tc>
        <w:tc>
          <w:tcPr>
            <w:tcW w:type="dxa" w:w="396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通过场景模板、标准口径和资料引用提高产出规范性与一致性。</w:t>
            </w:r>
          </w:p>
        </w:tc>
        <w:tc>
          <w:tcPr>
            <w:tcW w:type="dxa" w:w="396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可建立人工抽检、用户反馈和模板迭代机制，避免“生成即定稿”。</w:t>
            </w:r>
          </w:p>
        </w:tc>
      </w:tr>
      <w:tr>
        <w:tc>
          <w:tcPr>
            <w:tcW w:type="dxa" w:w="130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安全价值</w:t>
            </w:r>
          </w:p>
        </w:tc>
        <w:tc>
          <w:tcPr>
            <w:tcW w:type="dxa" w:w="396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敏感资料在受控环境内处理，调用对象、知识范围和访问权限可管理。</w:t>
            </w:r>
          </w:p>
        </w:tc>
        <w:tc>
          <w:tcPr>
            <w:tcW w:type="dxa" w:w="396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可审计、可追责、可按部门隔离；满足私有化和数据不出域要求。</w:t>
            </w:r>
          </w:p>
        </w:tc>
      </w:tr>
      <w:tr>
        <w:tc>
          <w:tcPr>
            <w:tcW w:type="dxa" w:w="130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成本价值</w:t>
            </w:r>
          </w:p>
        </w:tc>
        <w:tc>
          <w:tcPr>
            <w:tcW w:type="dxa" w:w="396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统一模型与知识服务，避免多部门重复采购、重复集成和无序使用。</w:t>
            </w:r>
          </w:p>
        </w:tc>
        <w:tc>
          <w:tcPr>
            <w:tcW w:type="dxa" w:w="3969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可按应用、部门、模型和场景观察成本，实施配额与预算治理。</w:t>
            </w:r>
          </w:p>
        </w:tc>
      </w:tr>
      <w:tr>
        <w:tc>
          <w:tcPr>
            <w:tcW w:type="dxa" w:w="130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创新价值</w:t>
            </w:r>
          </w:p>
        </w:tc>
        <w:tc>
          <w:tcPr>
            <w:tcW w:type="dxa" w:w="396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为后续连接 OA、档案、CRM、会议系统留下统一 AI 服务接口。</w:t>
            </w:r>
          </w:p>
        </w:tc>
        <w:tc>
          <w:tcPr>
            <w:tcW w:type="dxa" w:w="3969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从一次性项目升级为可持续演进的组织级 AI 能力平台。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价值判断</w:t>
            </w:r>
          </w:p>
        </w:tc>
        <w:tc>
          <w:tcPr>
            <w:tcW w:type="dxa" w:w="7767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9"/>
              </w:rPr>
              <w:t>本方案的关键不在于“增加一个聊天窗口”，而在于将 AI 能力嵌入真实办公任务，并让每一次模型调用、每一份知识资产、每一个场景效果都能被组织管理和持续优化。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183B66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04  安全、治理与运营</w:t>
            </w:r>
          </w:p>
        </w:tc>
      </w:tr>
    </w:tbl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7. 安全与合规设计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360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控制层</w:t>
            </w:r>
          </w:p>
        </w:tc>
        <w:tc>
          <w:tcPr>
            <w:tcW w:type="dxa" w:w="4536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建议措施</w:t>
            </w:r>
          </w:p>
        </w:tc>
        <w:tc>
          <w:tcPr>
            <w:tcW w:type="dxa" w:w="3345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落地效果</w:t>
            </w:r>
          </w:p>
        </w:tc>
      </w:tr>
      <w:tr>
        <w:tc>
          <w:tcPr>
            <w:tcW w:type="dxa" w:w="136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部署边界</w:t>
            </w:r>
          </w:p>
        </w:tc>
        <w:tc>
          <w:tcPr>
            <w:tcW w:type="dxa" w:w="4536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优先采用私有化或专有网络部署；模型、向量服务与知识库按组织安全要求选型。</w:t>
            </w:r>
          </w:p>
        </w:tc>
        <w:tc>
          <w:tcPr>
            <w:tcW w:type="dxa" w:w="334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降低敏感资料离开受控环境的风险。</w:t>
            </w:r>
          </w:p>
        </w:tc>
      </w:tr>
      <w:tr>
        <w:tc>
          <w:tcPr>
            <w:tcW w:type="dxa" w:w="1360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身份与权限</w:t>
            </w:r>
          </w:p>
        </w:tc>
        <w:tc>
          <w:tcPr>
            <w:tcW w:type="dxa" w:w="4536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 AI 助手负责员工身份和业务角色；TokenHub 对应用/API Key、模型、知识库实施授权。</w:t>
            </w:r>
          </w:p>
        </w:tc>
        <w:tc>
          <w:tcPr>
            <w:tcW w:type="dxa" w:w="3345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用户权限与 AI 能力权限分层管理，避免越权访问。</w:t>
            </w:r>
          </w:p>
        </w:tc>
      </w:tr>
      <w:tr>
        <w:tc>
          <w:tcPr>
            <w:tcW w:type="dxa" w:w="136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知识隔离</w:t>
            </w:r>
          </w:p>
        </w:tc>
        <w:tc>
          <w:tcPr>
            <w:tcW w:type="dxa" w:w="4536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按组织、部门、项目或密级建立知识空间；导入、更新、删除和共享遵循权限流程。</w:t>
            </w:r>
          </w:p>
        </w:tc>
        <w:tc>
          <w:tcPr>
            <w:tcW w:type="dxa" w:w="334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资料可用而不泛化，知识检索结果与用户授权范围一致。</w:t>
            </w:r>
          </w:p>
        </w:tc>
      </w:tr>
      <w:tr>
        <w:tc>
          <w:tcPr>
            <w:tcW w:type="dxa" w:w="1360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调用审计</w:t>
            </w:r>
          </w:p>
        </w:tc>
        <w:tc>
          <w:tcPr>
            <w:tcW w:type="dxa" w:w="4536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记录调用应用、时间、模型、知识范围、用量、异常与关键操作。</w:t>
            </w:r>
          </w:p>
        </w:tc>
        <w:tc>
          <w:tcPr>
            <w:tcW w:type="dxa" w:w="3345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支持问题追溯、运营分析和安全事件排查。</w:t>
            </w:r>
          </w:p>
        </w:tc>
      </w:tr>
      <w:tr>
        <w:tc>
          <w:tcPr>
            <w:tcW w:type="dxa" w:w="136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内容质量</w:t>
            </w:r>
          </w:p>
        </w:tc>
        <w:tc>
          <w:tcPr>
            <w:tcW w:type="dxa" w:w="4536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关键场景采用模板、引用来源、敏感词策略、人工确认和抽检机制。</w:t>
            </w:r>
          </w:p>
        </w:tc>
        <w:tc>
          <w:tcPr>
            <w:tcW w:type="dxa" w:w="334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明确 AI 辅助定位，防止未经核验的内容直接进入正式流程。</w:t>
            </w:r>
          </w:p>
        </w:tc>
      </w:tr>
    </w:tbl>
    <w:p>
      <w:pPr>
        <w:spacing w:after="20"/>
      </w:pPr>
    </w:p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8. 运营机制与建议指标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  <w:t>建议以“场景效果、知识质量、服务稳定性、成本可控性”为四条主线建立运营闭环。所有指标均应先在试点期采集基线，再结合业务目标设定阶段性阈值。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417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运营主题</w:t>
            </w:r>
          </w:p>
        </w:tc>
        <w:tc>
          <w:tcPr>
            <w:tcW w:type="dxa" w:w="3742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建议关注指标</w:t>
            </w:r>
          </w:p>
        </w:tc>
        <w:tc>
          <w:tcPr>
            <w:tcW w:type="dxa" w:w="4082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改进动作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使用与效果</w:t>
            </w:r>
          </w:p>
        </w:tc>
        <w:tc>
          <w:tcPr>
            <w:tcW w:type="dxa" w:w="374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活跃用户数、场景调用量、任务完成率、用户满意度、人工修改比例。</w:t>
            </w:r>
          </w:p>
        </w:tc>
        <w:tc>
          <w:tcPr>
            <w:tcW w:type="dxa" w:w="408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识别高价值场景，优化技能表单、模板和数字员工流程。</w:t>
            </w:r>
          </w:p>
        </w:tc>
      </w:tr>
      <w:tr>
        <w:tc>
          <w:tcPr>
            <w:tcW w:type="dxa" w:w="1417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知识质量</w:t>
            </w:r>
          </w:p>
        </w:tc>
        <w:tc>
          <w:tcPr>
            <w:tcW w:type="dxa" w:w="3742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知识覆盖率、检索命中率、引用率、无答案问题数、过期文档数。</w:t>
            </w:r>
          </w:p>
        </w:tc>
        <w:tc>
          <w:tcPr>
            <w:tcW w:type="dxa" w:w="4082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补齐资料、修订文档、调整切分与检索策略，明确知识管理员。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服务稳定性</w:t>
            </w:r>
          </w:p>
        </w:tc>
        <w:tc>
          <w:tcPr>
            <w:tcW w:type="dxa" w:w="374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调用成功率、响应耗时、异常类型、模型可用性、降级次数。</w:t>
            </w:r>
          </w:p>
        </w:tc>
        <w:tc>
          <w:tcPr>
            <w:tcW w:type="dxa" w:w="4082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优化路由与容量，建立关键模型的备选策略和故障处置流程。</w:t>
            </w:r>
          </w:p>
        </w:tc>
      </w:tr>
      <w:tr>
        <w:tc>
          <w:tcPr>
            <w:tcW w:type="dxa" w:w="1417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成本与治理</w:t>
            </w:r>
          </w:p>
        </w:tc>
        <w:tc>
          <w:tcPr>
            <w:tcW w:type="dxa" w:w="3742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部门/应用/模型用量、单位任务成本、配额命中、异常消耗。</w:t>
            </w:r>
          </w:p>
        </w:tc>
        <w:tc>
          <w:tcPr>
            <w:tcW w:type="dxa" w:w="4082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按场景配置模型等级、预算、配额和告警，推动资源精细化使用。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183B66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05  实施路径与保障</w:t>
            </w:r>
          </w:p>
        </w:tc>
      </w:tr>
    </w:tbl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9. 分阶段实施路径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530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2948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工作重点</w:t>
            </w:r>
          </w:p>
        </w:tc>
        <w:tc>
          <w:tcPr>
            <w:tcW w:type="dxa" w:w="2835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主要交付成果</w:t>
            </w:r>
          </w:p>
        </w:tc>
        <w:tc>
          <w:tcPr>
            <w:tcW w:type="dxa" w:w="2324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阶段验收关注点</w:t>
            </w:r>
          </w:p>
        </w:tc>
      </w:tr>
      <w:tr>
        <w:tc>
          <w:tcPr>
            <w:tcW w:type="dxa" w:w="153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第一阶段：试点验证</w:t>
            </w:r>
          </w:p>
        </w:tc>
        <w:tc>
          <w:tcPr>
            <w:tcW w:type="dxa" w:w="294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选定 2—3 个高频、资料边界清晰的场景，如制度问答、会议纪要、公文初稿。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试点知识库、TokenHub 服务配置、黔前场景入口、基础审计与运营看板。</w:t>
            </w:r>
          </w:p>
        </w:tc>
        <w:tc>
          <w:tcPr>
            <w:tcW w:type="dxa" w:w="232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效果是否可感知；知识边界是否正确；调用是否稳定可审计。</w:t>
            </w:r>
          </w:p>
        </w:tc>
      </w:tr>
      <w:tr>
        <w:tc>
          <w:tcPr>
            <w:tcW w:type="dxa" w:w="1530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第二阶段：部门推广</w:t>
            </w:r>
          </w:p>
        </w:tc>
        <w:tc>
          <w:tcPr>
            <w:tcW w:type="dxa" w:w="2948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扩展到合同、标书、项目资料等部门级场景，沉淀模板和数字员工。</w:t>
            </w:r>
          </w:p>
        </w:tc>
        <w:tc>
          <w:tcPr>
            <w:tcW w:type="dxa" w:w="2835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分部门知识空间、权限模型、标准场景包、培训和运营机制。</w:t>
            </w:r>
          </w:p>
        </w:tc>
        <w:tc>
          <w:tcPr>
            <w:tcW w:type="dxa" w:w="2324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使用是否形成习惯；模板是否可复用；成本和权限是否可控。</w:t>
            </w:r>
          </w:p>
        </w:tc>
      </w:tr>
      <w:tr>
        <w:tc>
          <w:tcPr>
            <w:tcW w:type="dxa" w:w="1530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第三阶段：组织协同</w:t>
            </w:r>
          </w:p>
        </w:tc>
        <w:tc>
          <w:tcPr>
            <w:tcW w:type="dxa" w:w="2948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按需对接 OA、档案、CRM、会议等系统，形成跨系统智能工作流。</w:t>
            </w:r>
          </w:p>
        </w:tc>
        <w:tc>
          <w:tcPr>
            <w:tcW w:type="dxa" w:w="2835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标准接口、业务上下文接入、自动化任务、组织级治理规范。</w:t>
            </w:r>
          </w:p>
        </w:tc>
        <w:tc>
          <w:tcPr>
            <w:tcW w:type="dxa" w:w="2324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是否减少系统孤岛；是否形成统一 AI 服务能力和持续运营闭环。</w:t>
            </w:r>
          </w:p>
        </w:tc>
      </w:tr>
    </w:tbl>
    <w:p>
      <w:pPr>
        <w:spacing w:after="20"/>
      </w:pPr>
    </w:p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10. 项目组织与成功保障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041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7597"/>
            <w:shd w:fill="183B66"/>
            <w:tcBorders>
              <w:top w:val="single" w:sz="6" w:color="183B66"/>
              <w:left w:val="single" w:sz="6" w:color="183B66"/>
              <w:bottom w:val="single" w:sz="6" w:color="183B66"/>
              <w:right w:val="single" w:sz="6" w:color="183B66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业务牵头部门</w:t>
            </w:r>
          </w:p>
        </w:tc>
        <w:tc>
          <w:tcPr>
            <w:tcW w:type="dxa" w:w="759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确定试点场景、验收标准和业务流程，组织用户反馈与成果推广。</w:t>
            </w:r>
          </w:p>
        </w:tc>
      </w:tr>
      <w:tr>
        <w:tc>
          <w:tcPr>
            <w:tcW w:type="dxa" w:w="2041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信息化与安全部门</w:t>
            </w:r>
          </w:p>
        </w:tc>
        <w:tc>
          <w:tcPr>
            <w:tcW w:type="dxa" w:w="7597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确定部署边界、网络与身份接入方案、数据分级要求和安全审计规范。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知识管理员</w:t>
            </w:r>
          </w:p>
        </w:tc>
        <w:tc>
          <w:tcPr>
            <w:tcW w:type="dxa" w:w="759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负责资料准入、分类、更新、失效处理和问答质量回收。</w:t>
            </w:r>
          </w:p>
        </w:tc>
      </w:tr>
      <w:tr>
        <w:tc>
          <w:tcPr>
            <w:tcW w:type="dxa" w:w="2041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黔前 AI 助手团队</w:t>
            </w:r>
          </w:p>
        </w:tc>
        <w:tc>
          <w:tcPr>
            <w:tcW w:type="dxa" w:w="7597"/>
            <w:shd w:fill="F5F9FC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建设应用体验、技能工作台、数字员工与业务场景编排，组织用户培训。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TokenHub 运维团队</w:t>
            </w:r>
          </w:p>
        </w:tc>
        <w:tc>
          <w:tcPr>
            <w:tcW w:type="dxa" w:w="7597"/>
            <w:shd w:fill="FFFFFF"/>
            <w:tcBorders>
              <w:top w:val="single" w:sz="6" w:color="D9E2F0"/>
              <w:left w:val="single" w:sz="6" w:color="D9E2F0"/>
              <w:bottom w:val="single" w:sz="6" w:color="D9E2F0"/>
              <w:right w:val="single" w:sz="6" w:color="D9E2F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8"/>
              </w:rPr>
              <w:t>提供模型、RAG、权限、计量、审计和运行保障，支撑容量与故障治理。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实施原则</w:t>
            </w:r>
          </w:p>
        </w:tc>
        <w:tc>
          <w:tcPr>
            <w:tcW w:type="dxa" w:w="7767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9"/>
              </w:rPr>
              <w:t>先做高频、低风险、资料边界清晰的试点；先验证业务效果，再扩大知识范围与系统集成。以“用户可用、结果可核、数据可控、成本可算”为每一阶段的共同验收标准。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8"/>
      </w:tblGrid>
      <w:tr>
        <w:tc>
          <w:tcPr>
            <w:tcW w:type="dxa" w:w="9688"/>
            <w:shd w:fill="183B66"/>
            <w:tcMar>
              <w:top w:w="80" w:type="dxa"/>
              <w:start w:w="150" w:type="dxa"/>
              <w:bottom w:w="80" w:type="dxa"/>
              <w:end w:w="15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06  结论</w:t>
            </w:r>
          </w:p>
        </w:tc>
      </w:tr>
    </w:tbl>
    <w:p>
      <w:pPr>
        <w:keepNext/>
        <w:spacing w:before="340" w:after="140"/>
        <w:ind w:left="0" w:firstLine="0"/>
      </w:pPr>
      <w:r>
        <w:rPr>
          <w:rFonts w:ascii="Microsoft YaHei" w:hAnsi="Microsoft YaHei" w:eastAsia="Microsoft YaHei"/>
          <w:b/>
          <w:color w:val="183B66"/>
          <w:sz w:val="30"/>
        </w:rPr>
        <w:t>11. 方案结论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  <w:t>TokenHub 与黔前 AI 助手的融合，不是两套产品的简单拼接，而是把“办公场景能力”与“统一 AI 基础能力”进行清晰分层：黔前 AI 助手让员工以最低门槛获得专业、可操作的智能办公服务；TokenHub 让组织以统一方式管理模型、知识、权限、审计和成本。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i w:val="0"/>
          <w:color w:val="263545"/>
          <w:sz w:val="21"/>
        </w:rPr>
        <w:t>通过这一架构，组织可从制度问答、会议纪要、公文写作等高价值试点切入，逐步扩展到合同、标书、项目管理和跨系统协同，最终形成面向政企办公的安全、专业、可运营的 AI 能力底座。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74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2878B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建议下一步</w:t>
            </w:r>
          </w:p>
        </w:tc>
        <w:tc>
          <w:tcPr>
            <w:tcW w:type="dxa" w:w="7767"/>
            <w:tcBorders>
              <w:top w:val="single" w:sz="6" w:color="B7CFDF"/>
              <w:left w:val="single" w:sz="6" w:color="B7CFDF"/>
              <w:bottom w:val="single" w:sz="6" w:color="B7CFDF"/>
              <w:right w:val="single" w:sz="6" w:color="B7CFDF"/>
            </w:tcBorders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EAF3F8"/>
          </w:tcPr>
          <w:p>
            <w:pPr>
              <w:spacing w:after="0" w:line="312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63545"/>
                <w:sz w:val="19"/>
              </w:rPr>
              <w:t>共同确定首批试点单位、试点部门、2—3 个优先场景及可量化验收指标；随后完成部署边界确认、知识资料盘点与 TokenHub / 黔前 AI 助手的接口联调。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</w:pPr>
    <w:r>
      <w:rPr>
        <w:rFonts w:ascii="Microsoft YaHei" w:hAnsi="Microsoft YaHei" w:eastAsia="Microsoft YaHei"/>
        <w:b w:val="0"/>
        <w:i w:val="0"/>
        <w:color w:val="5B6573"/>
        <w:sz w:val="17"/>
      </w:rPr>
      <w:t>TokenHub + 黔前 AI 助手｜智能办公融合应用方案</w:t>
    </w:r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  ·   第 </w:t>
    </w:r>
    <w:fldSimple w:instr="PAGE"/>
    <w:r>
      <w:rPr>
        <w:rFonts w:ascii="Microsoft YaHei" w:hAnsi="Microsoft YaHei" w:eastAsia="Microsoft YaHei"/>
        <w:b w:val="0"/>
        <w:i w:val="0"/>
        <w:color w:val="5B6573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TokenHub + 黔前 AI 助手智能办公融合应用方案</dc:title>
  <dc:subject>统一 AI 能力底座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