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96730" w14:textId="77777777" w:rsidR="00480E11" w:rsidRDefault="00000000" w:rsidP="007A3826">
      <w:pPr>
        <w:jc w:val="both"/>
        <w:rPr>
          <w:sz w:val="48"/>
          <w:szCs w:val="48"/>
        </w:rPr>
      </w:pPr>
      <w:r>
        <w:rPr>
          <w:noProof/>
          <w:sz w:val="48"/>
          <w:szCs w:val="48"/>
        </w:rPr>
        <w:drawing>
          <wp:inline distT="114300" distB="114300" distL="114300" distR="114300" wp14:anchorId="0ED11AC3" wp14:editId="279895BD">
            <wp:extent cx="3272009" cy="1388125"/>
            <wp:effectExtent l="0" t="0" r="5080" b="254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78910" cy="1391053"/>
                    </a:xfrm>
                    <a:prstGeom prst="rect">
                      <a:avLst/>
                    </a:prstGeom>
                    <a:ln/>
                  </pic:spPr>
                </pic:pic>
              </a:graphicData>
            </a:graphic>
          </wp:inline>
        </w:drawing>
      </w:r>
    </w:p>
    <w:p w14:paraId="63987141" w14:textId="77777777" w:rsidR="00480E11" w:rsidRPr="00933E17" w:rsidRDefault="00480E11">
      <w:pPr>
        <w:ind w:left="360"/>
        <w:jc w:val="both"/>
        <w:rPr>
          <w:sz w:val="40"/>
          <w:szCs w:val="40"/>
        </w:rPr>
      </w:pPr>
    </w:p>
    <w:p w14:paraId="6A3DBC21" w14:textId="77777777" w:rsidR="00480E11" w:rsidRPr="00933E17" w:rsidRDefault="00480E11">
      <w:pPr>
        <w:ind w:left="360"/>
        <w:jc w:val="both"/>
        <w:rPr>
          <w:sz w:val="40"/>
          <w:szCs w:val="40"/>
        </w:rPr>
      </w:pPr>
    </w:p>
    <w:p w14:paraId="5D671EF2" w14:textId="77777777" w:rsidR="00480E11" w:rsidRPr="00933E17" w:rsidRDefault="00480E11">
      <w:pPr>
        <w:ind w:left="360"/>
        <w:jc w:val="both"/>
        <w:rPr>
          <w:sz w:val="40"/>
          <w:szCs w:val="40"/>
        </w:rPr>
      </w:pPr>
    </w:p>
    <w:p w14:paraId="581B0566" w14:textId="41A507C4" w:rsidR="00480E11" w:rsidRDefault="00000000" w:rsidP="00135097">
      <w:pPr>
        <w:ind w:left="360"/>
        <w:jc w:val="center"/>
        <w:rPr>
          <w:sz w:val="48"/>
          <w:szCs w:val="48"/>
        </w:rPr>
      </w:pPr>
      <w:r>
        <w:rPr>
          <w:sz w:val="48"/>
          <w:szCs w:val="48"/>
        </w:rPr>
        <w:t>Time-varying Commodity Portfolio Optimization</w:t>
      </w:r>
    </w:p>
    <w:p w14:paraId="1FAB11F1" w14:textId="77777777" w:rsidR="00480E11" w:rsidRDefault="00480E11">
      <w:pPr>
        <w:ind w:left="360"/>
        <w:jc w:val="both"/>
        <w:rPr>
          <w:b/>
          <w:sz w:val="32"/>
          <w:szCs w:val="32"/>
        </w:rPr>
      </w:pPr>
    </w:p>
    <w:p w14:paraId="00DC1602" w14:textId="77777777" w:rsidR="00480E11" w:rsidRDefault="00480E11">
      <w:pPr>
        <w:ind w:left="360"/>
        <w:jc w:val="both"/>
        <w:rPr>
          <w:b/>
          <w:sz w:val="32"/>
          <w:szCs w:val="32"/>
        </w:rPr>
      </w:pPr>
    </w:p>
    <w:p w14:paraId="6F578861" w14:textId="77777777" w:rsidR="00480E11" w:rsidRDefault="00000000">
      <w:pPr>
        <w:ind w:left="360"/>
        <w:jc w:val="center"/>
        <w:rPr>
          <w:sz w:val="32"/>
          <w:szCs w:val="32"/>
        </w:rPr>
      </w:pPr>
      <w:r>
        <w:rPr>
          <w:sz w:val="32"/>
          <w:szCs w:val="32"/>
        </w:rPr>
        <w:t>by</w:t>
      </w:r>
    </w:p>
    <w:p w14:paraId="0C17F621" w14:textId="77777777" w:rsidR="00480E11" w:rsidRDefault="00000000">
      <w:pPr>
        <w:ind w:left="360"/>
        <w:jc w:val="center"/>
        <w:rPr>
          <w:sz w:val="32"/>
          <w:szCs w:val="32"/>
        </w:rPr>
      </w:pPr>
      <w:r>
        <w:rPr>
          <w:sz w:val="32"/>
          <w:szCs w:val="32"/>
        </w:rPr>
        <w:t>Qianqian Yang</w:t>
      </w:r>
    </w:p>
    <w:p w14:paraId="0E49F5AE" w14:textId="77777777" w:rsidR="00480E11" w:rsidRDefault="00480E11">
      <w:pPr>
        <w:ind w:left="360"/>
        <w:jc w:val="center"/>
        <w:rPr>
          <w:sz w:val="32"/>
          <w:szCs w:val="32"/>
        </w:rPr>
      </w:pPr>
    </w:p>
    <w:p w14:paraId="4662D5B3" w14:textId="77777777" w:rsidR="00480E11" w:rsidRDefault="00480E11">
      <w:pPr>
        <w:ind w:left="360"/>
        <w:jc w:val="center"/>
        <w:rPr>
          <w:sz w:val="32"/>
          <w:szCs w:val="32"/>
        </w:rPr>
      </w:pPr>
    </w:p>
    <w:p w14:paraId="58AD046D" w14:textId="77777777" w:rsidR="00480E11" w:rsidRDefault="00000000">
      <w:pPr>
        <w:ind w:left="360"/>
        <w:jc w:val="center"/>
        <w:rPr>
          <w:sz w:val="32"/>
          <w:szCs w:val="32"/>
        </w:rPr>
      </w:pPr>
      <w:r>
        <w:rPr>
          <w:sz w:val="32"/>
          <w:szCs w:val="32"/>
        </w:rPr>
        <w:t>May 2023</w:t>
      </w:r>
    </w:p>
    <w:p w14:paraId="008F9F9F" w14:textId="77777777" w:rsidR="00480E11" w:rsidRDefault="00480E11">
      <w:pPr>
        <w:ind w:left="360"/>
        <w:jc w:val="center"/>
        <w:rPr>
          <w:sz w:val="32"/>
          <w:szCs w:val="32"/>
        </w:rPr>
      </w:pPr>
    </w:p>
    <w:p w14:paraId="20EB37F5" w14:textId="77777777" w:rsidR="00480E11" w:rsidRDefault="00000000">
      <w:pPr>
        <w:ind w:left="360" w:right="120"/>
        <w:jc w:val="center"/>
        <w:rPr>
          <w:sz w:val="32"/>
          <w:szCs w:val="32"/>
        </w:rPr>
      </w:pPr>
      <w:r>
        <w:rPr>
          <w:sz w:val="32"/>
          <w:szCs w:val="32"/>
        </w:rPr>
        <w:t>Master’s Programme in Finance</w:t>
      </w:r>
    </w:p>
    <w:p w14:paraId="7ACE7763" w14:textId="77777777" w:rsidR="00480E11" w:rsidRDefault="00480E11">
      <w:pPr>
        <w:ind w:left="360"/>
        <w:jc w:val="both"/>
        <w:rPr>
          <w:b/>
          <w:sz w:val="32"/>
          <w:szCs w:val="32"/>
        </w:rPr>
      </w:pPr>
    </w:p>
    <w:p w14:paraId="0030589A" w14:textId="77777777" w:rsidR="00D64046" w:rsidRDefault="00D64046">
      <w:pPr>
        <w:ind w:left="360"/>
        <w:jc w:val="both"/>
        <w:rPr>
          <w:b/>
          <w:sz w:val="32"/>
          <w:szCs w:val="32"/>
        </w:rPr>
      </w:pPr>
    </w:p>
    <w:p w14:paraId="429F65EC" w14:textId="77777777" w:rsidR="00D64046" w:rsidRDefault="00D64046">
      <w:pPr>
        <w:ind w:left="360"/>
        <w:jc w:val="both"/>
        <w:rPr>
          <w:b/>
          <w:sz w:val="32"/>
          <w:szCs w:val="32"/>
        </w:rPr>
      </w:pPr>
    </w:p>
    <w:p w14:paraId="33071FD0" w14:textId="7FBF0DC8" w:rsidR="002C02E3" w:rsidRDefault="00000000" w:rsidP="009D101E">
      <w:pPr>
        <w:widowControl w:val="0"/>
        <w:spacing w:before="90"/>
        <w:ind w:right="118"/>
        <w:jc w:val="right"/>
      </w:pPr>
      <w:r>
        <w:t xml:space="preserve">         </w:t>
      </w:r>
      <w:r w:rsidR="00C44702">
        <w:t xml:space="preserve">  </w:t>
      </w:r>
      <w:r>
        <w:t xml:space="preserve">  Supervisor: Thomas Fischer</w:t>
      </w:r>
      <w:r w:rsidR="002C02E3">
        <w:br w:type="page"/>
      </w:r>
    </w:p>
    <w:p w14:paraId="0367157C" w14:textId="77777777" w:rsidR="00EE2515" w:rsidRDefault="00EE2515" w:rsidP="00E17EB5">
      <w:pPr>
        <w:widowControl w:val="0"/>
        <w:spacing w:before="55"/>
        <w:jc w:val="both"/>
        <w:rPr>
          <w:sz w:val="48"/>
          <w:szCs w:val="48"/>
        </w:rPr>
        <w:sectPr w:rsidR="00EE2515" w:rsidSect="00D92BF1">
          <w:footerReference w:type="default" r:id="rId8"/>
          <w:pgSz w:w="12240" w:h="15840"/>
          <w:pgMar w:top="1021" w:right="851" w:bottom="1021" w:left="851" w:header="720" w:footer="720" w:gutter="0"/>
          <w:pgNumType w:start="1"/>
          <w:cols w:space="720"/>
          <w:docGrid w:linePitch="326"/>
        </w:sectPr>
      </w:pPr>
    </w:p>
    <w:p w14:paraId="725E6C43" w14:textId="77777777" w:rsidR="00480E11" w:rsidRDefault="00000000" w:rsidP="00E17EB5">
      <w:pPr>
        <w:widowControl w:val="0"/>
        <w:spacing w:before="55"/>
        <w:jc w:val="both"/>
        <w:rPr>
          <w:sz w:val="48"/>
          <w:szCs w:val="48"/>
        </w:rPr>
      </w:pPr>
      <w:r>
        <w:rPr>
          <w:sz w:val="48"/>
          <w:szCs w:val="48"/>
        </w:rPr>
        <w:lastRenderedPageBreak/>
        <w:t>Abstract</w:t>
      </w:r>
    </w:p>
    <w:p w14:paraId="2B6C4DF6" w14:textId="77777777" w:rsidR="00480E11" w:rsidRDefault="00480E11">
      <w:pPr>
        <w:widowControl w:val="0"/>
        <w:spacing w:before="320" w:line="261" w:lineRule="auto"/>
        <w:ind w:right="118"/>
        <w:jc w:val="both"/>
      </w:pPr>
    </w:p>
    <w:p w14:paraId="74F7A783" w14:textId="027E1EC9" w:rsidR="00480E11" w:rsidRDefault="00000000" w:rsidP="00E17EB5">
      <w:pPr>
        <w:widowControl w:val="0"/>
        <w:spacing w:before="320" w:line="261" w:lineRule="auto"/>
        <w:ind w:right="118"/>
        <w:jc w:val="both"/>
      </w:pPr>
      <w:r>
        <w:t xml:space="preserve">Commodity future is basically a way of hedging against physical products, interest rates, and the stock market. However, commodity portfolios alone can be an investment choice based on their return and risk characteristics. In order to analyze the interconnectedness among commodities and build commodity portfolios, we apply multivariate GARCH models to get the time-varying conditional statistics of the metal, energy, and agricultural commodities from 1991 to 2023. By doing portfolio optimization and then obtaining the optimal </w:t>
      </w:r>
      <w:r w:rsidR="004F4B61">
        <w:t>time-varying</w:t>
      </w:r>
      <w:r>
        <w:t xml:space="preserve"> commodity weights, we can analyze the performance of different </w:t>
      </w:r>
      <w:r w:rsidR="00905673">
        <w:t>portfolio</w:t>
      </w:r>
      <w:r>
        <w:t xml:space="preserve"> strategies</w:t>
      </w:r>
      <w:r w:rsidR="00AB31D4">
        <w:t xml:space="preserve"> over </w:t>
      </w:r>
      <w:r>
        <w:t xml:space="preserve">time. Finally, investors can reduce the risk of commodity portfolios by considering the hedge ratios of different commodity pairs. </w:t>
      </w:r>
    </w:p>
    <w:p w14:paraId="5BE241ED" w14:textId="77777777" w:rsidR="00480E11" w:rsidRDefault="00000000" w:rsidP="00E17EB5">
      <w:pPr>
        <w:widowControl w:val="0"/>
        <w:spacing w:before="320" w:line="261" w:lineRule="auto"/>
        <w:ind w:right="118"/>
        <w:jc w:val="both"/>
      </w:pPr>
      <w:r>
        <w:t>Keywords: commodity, portfolio optimization, time-varying volatility</w:t>
      </w:r>
      <w:r>
        <w:br w:type="page"/>
      </w:r>
    </w:p>
    <w:p w14:paraId="12080C53" w14:textId="77777777" w:rsidR="00480E11" w:rsidRDefault="00000000" w:rsidP="00E94D48">
      <w:pPr>
        <w:widowControl w:val="0"/>
        <w:spacing w:before="55"/>
        <w:jc w:val="both"/>
        <w:rPr>
          <w:sz w:val="48"/>
          <w:szCs w:val="48"/>
        </w:rPr>
      </w:pPr>
      <w:r>
        <w:rPr>
          <w:sz w:val="48"/>
          <w:szCs w:val="48"/>
        </w:rPr>
        <w:t>Table of Contents</w:t>
      </w:r>
    </w:p>
    <w:p w14:paraId="59CD7CDB" w14:textId="77777777" w:rsidR="00480E11" w:rsidRDefault="00480E11">
      <w:pPr>
        <w:widowControl w:val="0"/>
        <w:spacing w:before="320" w:line="261" w:lineRule="auto"/>
        <w:ind w:left="315" w:right="118"/>
        <w:jc w:val="both"/>
      </w:pPr>
    </w:p>
    <w:sdt>
      <w:sdtPr>
        <w:id w:val="1270816912"/>
        <w:docPartObj>
          <w:docPartGallery w:val="Table of Contents"/>
          <w:docPartUnique/>
        </w:docPartObj>
      </w:sdtPr>
      <w:sdtContent>
        <w:p w14:paraId="67F8F96E" w14:textId="784F9BE4" w:rsidR="00532235" w:rsidRDefault="00532235">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instrText xml:space="preserve"> TOC \o "1-2" \h \z \u </w:instrText>
          </w:r>
          <w:r>
            <w:fldChar w:fldCharType="separate"/>
          </w:r>
          <w:hyperlink w:anchor="_Toc166705762" w:history="1">
            <w:r w:rsidRPr="00CF34AC">
              <w:rPr>
                <w:rStyle w:val="Hyperlink"/>
                <w:noProof/>
              </w:rPr>
              <w:t>1. Introduction</w:t>
            </w:r>
            <w:r>
              <w:rPr>
                <w:noProof/>
                <w:webHidden/>
              </w:rPr>
              <w:tab/>
            </w:r>
            <w:r>
              <w:rPr>
                <w:noProof/>
                <w:webHidden/>
              </w:rPr>
              <w:fldChar w:fldCharType="begin"/>
            </w:r>
            <w:r>
              <w:rPr>
                <w:noProof/>
                <w:webHidden/>
              </w:rPr>
              <w:instrText xml:space="preserve"> PAGEREF _Toc166705762 \h </w:instrText>
            </w:r>
            <w:r>
              <w:rPr>
                <w:noProof/>
                <w:webHidden/>
              </w:rPr>
            </w:r>
            <w:r>
              <w:rPr>
                <w:noProof/>
                <w:webHidden/>
              </w:rPr>
              <w:fldChar w:fldCharType="separate"/>
            </w:r>
            <w:r w:rsidR="0036481F">
              <w:rPr>
                <w:noProof/>
                <w:webHidden/>
              </w:rPr>
              <w:t>1</w:t>
            </w:r>
            <w:r>
              <w:rPr>
                <w:noProof/>
                <w:webHidden/>
              </w:rPr>
              <w:fldChar w:fldCharType="end"/>
            </w:r>
          </w:hyperlink>
        </w:p>
        <w:p w14:paraId="5585F090" w14:textId="19995F80" w:rsidR="00532235"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3" w:history="1">
            <w:r w:rsidR="00532235" w:rsidRPr="00CF34AC">
              <w:rPr>
                <w:rStyle w:val="Hyperlink"/>
                <w:noProof/>
              </w:rPr>
              <w:t>2. Literature Review</w:t>
            </w:r>
            <w:r w:rsidR="00532235">
              <w:rPr>
                <w:noProof/>
                <w:webHidden/>
              </w:rPr>
              <w:tab/>
            </w:r>
            <w:r w:rsidR="00532235">
              <w:rPr>
                <w:noProof/>
                <w:webHidden/>
              </w:rPr>
              <w:fldChar w:fldCharType="begin"/>
            </w:r>
            <w:r w:rsidR="00532235">
              <w:rPr>
                <w:noProof/>
                <w:webHidden/>
              </w:rPr>
              <w:instrText xml:space="preserve"> PAGEREF _Toc166705763 \h </w:instrText>
            </w:r>
            <w:r w:rsidR="00532235">
              <w:rPr>
                <w:noProof/>
                <w:webHidden/>
              </w:rPr>
            </w:r>
            <w:r w:rsidR="00532235">
              <w:rPr>
                <w:noProof/>
                <w:webHidden/>
              </w:rPr>
              <w:fldChar w:fldCharType="separate"/>
            </w:r>
            <w:r w:rsidR="0036481F">
              <w:rPr>
                <w:noProof/>
                <w:webHidden/>
              </w:rPr>
              <w:t>2</w:t>
            </w:r>
            <w:r w:rsidR="00532235">
              <w:rPr>
                <w:noProof/>
                <w:webHidden/>
              </w:rPr>
              <w:fldChar w:fldCharType="end"/>
            </w:r>
          </w:hyperlink>
        </w:p>
        <w:p w14:paraId="0E6AAAF8" w14:textId="688D478A"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4" w:history="1">
            <w:r w:rsidR="00532235" w:rsidRPr="00CF34AC">
              <w:rPr>
                <w:rStyle w:val="Hyperlink"/>
                <w:noProof/>
              </w:rPr>
              <w:t>2.1 Interconnectedness among Commodities</w:t>
            </w:r>
            <w:r w:rsidR="00532235">
              <w:rPr>
                <w:noProof/>
                <w:webHidden/>
              </w:rPr>
              <w:tab/>
            </w:r>
            <w:r w:rsidR="00532235">
              <w:rPr>
                <w:noProof/>
                <w:webHidden/>
              </w:rPr>
              <w:fldChar w:fldCharType="begin"/>
            </w:r>
            <w:r w:rsidR="00532235">
              <w:rPr>
                <w:noProof/>
                <w:webHidden/>
              </w:rPr>
              <w:instrText xml:space="preserve"> PAGEREF _Toc166705764 \h </w:instrText>
            </w:r>
            <w:r w:rsidR="00532235">
              <w:rPr>
                <w:noProof/>
                <w:webHidden/>
              </w:rPr>
            </w:r>
            <w:r w:rsidR="00532235">
              <w:rPr>
                <w:noProof/>
                <w:webHidden/>
              </w:rPr>
              <w:fldChar w:fldCharType="separate"/>
            </w:r>
            <w:r w:rsidR="0036481F">
              <w:rPr>
                <w:noProof/>
                <w:webHidden/>
              </w:rPr>
              <w:t>2</w:t>
            </w:r>
            <w:r w:rsidR="00532235">
              <w:rPr>
                <w:noProof/>
                <w:webHidden/>
              </w:rPr>
              <w:fldChar w:fldCharType="end"/>
            </w:r>
          </w:hyperlink>
        </w:p>
        <w:p w14:paraId="2D2D99BA" w14:textId="51204555"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5" w:history="1">
            <w:r w:rsidR="00532235" w:rsidRPr="00CF34AC">
              <w:rPr>
                <w:rStyle w:val="Hyperlink"/>
                <w:noProof/>
              </w:rPr>
              <w:t>2.2 Models for Studying the Commodities’ Interconnectedness</w:t>
            </w:r>
            <w:r w:rsidR="00532235">
              <w:rPr>
                <w:noProof/>
                <w:webHidden/>
              </w:rPr>
              <w:tab/>
            </w:r>
            <w:r w:rsidR="00532235">
              <w:rPr>
                <w:noProof/>
                <w:webHidden/>
              </w:rPr>
              <w:fldChar w:fldCharType="begin"/>
            </w:r>
            <w:r w:rsidR="00532235">
              <w:rPr>
                <w:noProof/>
                <w:webHidden/>
              </w:rPr>
              <w:instrText xml:space="preserve"> PAGEREF _Toc166705765 \h </w:instrText>
            </w:r>
            <w:r w:rsidR="00532235">
              <w:rPr>
                <w:noProof/>
                <w:webHidden/>
              </w:rPr>
            </w:r>
            <w:r w:rsidR="00532235">
              <w:rPr>
                <w:noProof/>
                <w:webHidden/>
              </w:rPr>
              <w:fldChar w:fldCharType="separate"/>
            </w:r>
            <w:r w:rsidR="0036481F">
              <w:rPr>
                <w:noProof/>
                <w:webHidden/>
              </w:rPr>
              <w:t>3</w:t>
            </w:r>
            <w:r w:rsidR="00532235">
              <w:rPr>
                <w:noProof/>
                <w:webHidden/>
              </w:rPr>
              <w:fldChar w:fldCharType="end"/>
            </w:r>
          </w:hyperlink>
        </w:p>
        <w:p w14:paraId="496F3FCC" w14:textId="3EA05F4B" w:rsidR="00532235"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6" w:history="1">
            <w:r w:rsidR="00532235" w:rsidRPr="00CF34AC">
              <w:rPr>
                <w:rStyle w:val="Hyperlink"/>
                <w:noProof/>
              </w:rPr>
              <w:t>3. Methodology</w:t>
            </w:r>
            <w:r w:rsidR="00532235">
              <w:rPr>
                <w:noProof/>
                <w:webHidden/>
              </w:rPr>
              <w:tab/>
            </w:r>
            <w:r w:rsidR="00532235">
              <w:rPr>
                <w:noProof/>
                <w:webHidden/>
              </w:rPr>
              <w:fldChar w:fldCharType="begin"/>
            </w:r>
            <w:r w:rsidR="00532235">
              <w:rPr>
                <w:noProof/>
                <w:webHidden/>
              </w:rPr>
              <w:instrText xml:space="preserve"> PAGEREF _Toc166705766 \h </w:instrText>
            </w:r>
            <w:r w:rsidR="00532235">
              <w:rPr>
                <w:noProof/>
                <w:webHidden/>
              </w:rPr>
            </w:r>
            <w:r w:rsidR="00532235">
              <w:rPr>
                <w:noProof/>
                <w:webHidden/>
              </w:rPr>
              <w:fldChar w:fldCharType="separate"/>
            </w:r>
            <w:r w:rsidR="0036481F">
              <w:rPr>
                <w:noProof/>
                <w:webHidden/>
              </w:rPr>
              <w:t>6</w:t>
            </w:r>
            <w:r w:rsidR="00532235">
              <w:rPr>
                <w:noProof/>
                <w:webHidden/>
              </w:rPr>
              <w:fldChar w:fldCharType="end"/>
            </w:r>
          </w:hyperlink>
        </w:p>
        <w:p w14:paraId="4BEF5D09" w14:textId="79D20974"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7" w:history="1">
            <w:r w:rsidR="00532235" w:rsidRPr="00CF34AC">
              <w:rPr>
                <w:rStyle w:val="Hyperlink"/>
                <w:noProof/>
              </w:rPr>
              <w:t>3.1 Data</w:t>
            </w:r>
            <w:r w:rsidR="00532235">
              <w:rPr>
                <w:noProof/>
                <w:webHidden/>
              </w:rPr>
              <w:tab/>
            </w:r>
            <w:r w:rsidR="00532235">
              <w:rPr>
                <w:noProof/>
                <w:webHidden/>
              </w:rPr>
              <w:fldChar w:fldCharType="begin"/>
            </w:r>
            <w:r w:rsidR="00532235">
              <w:rPr>
                <w:noProof/>
                <w:webHidden/>
              </w:rPr>
              <w:instrText xml:space="preserve"> PAGEREF _Toc166705767 \h </w:instrText>
            </w:r>
            <w:r w:rsidR="00532235">
              <w:rPr>
                <w:noProof/>
                <w:webHidden/>
              </w:rPr>
            </w:r>
            <w:r w:rsidR="00532235">
              <w:rPr>
                <w:noProof/>
                <w:webHidden/>
              </w:rPr>
              <w:fldChar w:fldCharType="separate"/>
            </w:r>
            <w:r w:rsidR="0036481F">
              <w:rPr>
                <w:noProof/>
                <w:webHidden/>
              </w:rPr>
              <w:t>6</w:t>
            </w:r>
            <w:r w:rsidR="00532235">
              <w:rPr>
                <w:noProof/>
                <w:webHidden/>
              </w:rPr>
              <w:fldChar w:fldCharType="end"/>
            </w:r>
          </w:hyperlink>
        </w:p>
        <w:p w14:paraId="38D0F9A3" w14:textId="644677D6"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8" w:history="1">
            <w:r w:rsidR="00532235" w:rsidRPr="00CF34AC">
              <w:rPr>
                <w:rStyle w:val="Hyperlink"/>
                <w:noProof/>
              </w:rPr>
              <w:t>3.2 Descriptive Statistic</w:t>
            </w:r>
            <w:r w:rsidR="00532235">
              <w:rPr>
                <w:noProof/>
                <w:webHidden/>
              </w:rPr>
              <w:tab/>
            </w:r>
            <w:r w:rsidR="00532235">
              <w:rPr>
                <w:noProof/>
                <w:webHidden/>
              </w:rPr>
              <w:fldChar w:fldCharType="begin"/>
            </w:r>
            <w:r w:rsidR="00532235">
              <w:rPr>
                <w:noProof/>
                <w:webHidden/>
              </w:rPr>
              <w:instrText xml:space="preserve"> PAGEREF _Toc166705768 \h </w:instrText>
            </w:r>
            <w:r w:rsidR="00532235">
              <w:rPr>
                <w:noProof/>
                <w:webHidden/>
              </w:rPr>
            </w:r>
            <w:r w:rsidR="00532235">
              <w:rPr>
                <w:noProof/>
                <w:webHidden/>
              </w:rPr>
              <w:fldChar w:fldCharType="separate"/>
            </w:r>
            <w:r w:rsidR="0036481F">
              <w:rPr>
                <w:noProof/>
                <w:webHidden/>
              </w:rPr>
              <w:t>7</w:t>
            </w:r>
            <w:r w:rsidR="00532235">
              <w:rPr>
                <w:noProof/>
                <w:webHidden/>
              </w:rPr>
              <w:fldChar w:fldCharType="end"/>
            </w:r>
          </w:hyperlink>
        </w:p>
        <w:p w14:paraId="4405B41D" w14:textId="31DDB8C6"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69" w:history="1">
            <w:r w:rsidR="00532235" w:rsidRPr="00CF34AC">
              <w:rPr>
                <w:rStyle w:val="Hyperlink"/>
                <w:noProof/>
              </w:rPr>
              <w:t>3.3 Multivaraite GARCH Model</w:t>
            </w:r>
            <w:r w:rsidR="00532235">
              <w:rPr>
                <w:noProof/>
                <w:webHidden/>
              </w:rPr>
              <w:tab/>
            </w:r>
            <w:r w:rsidR="00532235">
              <w:rPr>
                <w:noProof/>
                <w:webHidden/>
              </w:rPr>
              <w:fldChar w:fldCharType="begin"/>
            </w:r>
            <w:r w:rsidR="00532235">
              <w:rPr>
                <w:noProof/>
                <w:webHidden/>
              </w:rPr>
              <w:instrText xml:space="preserve"> PAGEREF _Toc166705769 \h </w:instrText>
            </w:r>
            <w:r w:rsidR="00532235">
              <w:rPr>
                <w:noProof/>
                <w:webHidden/>
              </w:rPr>
            </w:r>
            <w:r w:rsidR="00532235">
              <w:rPr>
                <w:noProof/>
                <w:webHidden/>
              </w:rPr>
              <w:fldChar w:fldCharType="separate"/>
            </w:r>
            <w:r w:rsidR="0036481F">
              <w:rPr>
                <w:noProof/>
                <w:webHidden/>
              </w:rPr>
              <w:t>10</w:t>
            </w:r>
            <w:r w:rsidR="00532235">
              <w:rPr>
                <w:noProof/>
                <w:webHidden/>
              </w:rPr>
              <w:fldChar w:fldCharType="end"/>
            </w:r>
          </w:hyperlink>
        </w:p>
        <w:p w14:paraId="29DB8478" w14:textId="66A1BEC2"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0" w:history="1">
            <w:r w:rsidR="00532235" w:rsidRPr="00CF34AC">
              <w:rPr>
                <w:rStyle w:val="Hyperlink"/>
                <w:noProof/>
              </w:rPr>
              <w:t>3.4 Time-varying Portfolio Optimization</w:t>
            </w:r>
            <w:r w:rsidR="00532235">
              <w:rPr>
                <w:noProof/>
                <w:webHidden/>
              </w:rPr>
              <w:tab/>
            </w:r>
            <w:r w:rsidR="00532235">
              <w:rPr>
                <w:noProof/>
                <w:webHidden/>
              </w:rPr>
              <w:fldChar w:fldCharType="begin"/>
            </w:r>
            <w:r w:rsidR="00532235">
              <w:rPr>
                <w:noProof/>
                <w:webHidden/>
              </w:rPr>
              <w:instrText xml:space="preserve"> PAGEREF _Toc166705770 \h </w:instrText>
            </w:r>
            <w:r w:rsidR="00532235">
              <w:rPr>
                <w:noProof/>
                <w:webHidden/>
              </w:rPr>
            </w:r>
            <w:r w:rsidR="00532235">
              <w:rPr>
                <w:noProof/>
                <w:webHidden/>
              </w:rPr>
              <w:fldChar w:fldCharType="separate"/>
            </w:r>
            <w:r w:rsidR="0036481F">
              <w:rPr>
                <w:noProof/>
                <w:webHidden/>
              </w:rPr>
              <w:t>12</w:t>
            </w:r>
            <w:r w:rsidR="00532235">
              <w:rPr>
                <w:noProof/>
                <w:webHidden/>
              </w:rPr>
              <w:fldChar w:fldCharType="end"/>
            </w:r>
          </w:hyperlink>
        </w:p>
        <w:p w14:paraId="6575B174" w14:textId="74940898"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1" w:history="1">
            <w:r w:rsidR="00532235" w:rsidRPr="00CF34AC">
              <w:rPr>
                <w:rStyle w:val="Hyperlink"/>
                <w:noProof/>
              </w:rPr>
              <w:t>3.5 Hedge Ratios</w:t>
            </w:r>
            <w:r w:rsidR="00532235">
              <w:rPr>
                <w:noProof/>
                <w:webHidden/>
              </w:rPr>
              <w:tab/>
            </w:r>
            <w:r w:rsidR="00532235">
              <w:rPr>
                <w:noProof/>
                <w:webHidden/>
              </w:rPr>
              <w:fldChar w:fldCharType="begin"/>
            </w:r>
            <w:r w:rsidR="00532235">
              <w:rPr>
                <w:noProof/>
                <w:webHidden/>
              </w:rPr>
              <w:instrText xml:space="preserve"> PAGEREF _Toc166705771 \h </w:instrText>
            </w:r>
            <w:r w:rsidR="00532235">
              <w:rPr>
                <w:noProof/>
                <w:webHidden/>
              </w:rPr>
            </w:r>
            <w:r w:rsidR="00532235">
              <w:rPr>
                <w:noProof/>
                <w:webHidden/>
              </w:rPr>
              <w:fldChar w:fldCharType="separate"/>
            </w:r>
            <w:r w:rsidR="0036481F">
              <w:rPr>
                <w:noProof/>
                <w:webHidden/>
              </w:rPr>
              <w:t>14</w:t>
            </w:r>
            <w:r w:rsidR="00532235">
              <w:rPr>
                <w:noProof/>
                <w:webHidden/>
              </w:rPr>
              <w:fldChar w:fldCharType="end"/>
            </w:r>
          </w:hyperlink>
        </w:p>
        <w:p w14:paraId="6F25A261" w14:textId="0CBDC28B" w:rsidR="00532235"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2" w:history="1">
            <w:r w:rsidR="00532235" w:rsidRPr="00CF34AC">
              <w:rPr>
                <w:rStyle w:val="Hyperlink"/>
                <w:noProof/>
              </w:rPr>
              <w:t>4. Result</w:t>
            </w:r>
            <w:r w:rsidR="00200C74">
              <w:rPr>
                <w:rStyle w:val="Hyperlink"/>
                <w:noProof/>
              </w:rPr>
              <w:t>s</w:t>
            </w:r>
            <w:r w:rsidR="00532235">
              <w:rPr>
                <w:noProof/>
                <w:webHidden/>
              </w:rPr>
              <w:tab/>
            </w:r>
            <w:r w:rsidR="00532235">
              <w:rPr>
                <w:noProof/>
                <w:webHidden/>
              </w:rPr>
              <w:fldChar w:fldCharType="begin"/>
            </w:r>
            <w:r w:rsidR="00532235">
              <w:rPr>
                <w:noProof/>
                <w:webHidden/>
              </w:rPr>
              <w:instrText xml:space="preserve"> PAGEREF _Toc166705772 \h </w:instrText>
            </w:r>
            <w:r w:rsidR="00532235">
              <w:rPr>
                <w:noProof/>
                <w:webHidden/>
              </w:rPr>
            </w:r>
            <w:r w:rsidR="00532235">
              <w:rPr>
                <w:noProof/>
                <w:webHidden/>
              </w:rPr>
              <w:fldChar w:fldCharType="separate"/>
            </w:r>
            <w:r w:rsidR="0036481F">
              <w:rPr>
                <w:noProof/>
                <w:webHidden/>
              </w:rPr>
              <w:t>16</w:t>
            </w:r>
            <w:r w:rsidR="00532235">
              <w:rPr>
                <w:noProof/>
                <w:webHidden/>
              </w:rPr>
              <w:fldChar w:fldCharType="end"/>
            </w:r>
          </w:hyperlink>
        </w:p>
        <w:p w14:paraId="11D34B04" w14:textId="46BB897A"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3" w:history="1">
            <w:r w:rsidR="00532235" w:rsidRPr="00CF34AC">
              <w:rPr>
                <w:rStyle w:val="Hyperlink"/>
                <w:noProof/>
              </w:rPr>
              <w:t>4.1 GARCH Model</w:t>
            </w:r>
            <w:r w:rsidR="00532235">
              <w:rPr>
                <w:noProof/>
                <w:webHidden/>
              </w:rPr>
              <w:tab/>
            </w:r>
            <w:r w:rsidR="00532235">
              <w:rPr>
                <w:noProof/>
                <w:webHidden/>
              </w:rPr>
              <w:fldChar w:fldCharType="begin"/>
            </w:r>
            <w:r w:rsidR="00532235">
              <w:rPr>
                <w:noProof/>
                <w:webHidden/>
              </w:rPr>
              <w:instrText xml:space="preserve"> PAGEREF _Toc166705773 \h </w:instrText>
            </w:r>
            <w:r w:rsidR="00532235">
              <w:rPr>
                <w:noProof/>
                <w:webHidden/>
              </w:rPr>
            </w:r>
            <w:r w:rsidR="00532235">
              <w:rPr>
                <w:noProof/>
                <w:webHidden/>
              </w:rPr>
              <w:fldChar w:fldCharType="separate"/>
            </w:r>
            <w:r w:rsidR="0036481F">
              <w:rPr>
                <w:noProof/>
                <w:webHidden/>
              </w:rPr>
              <w:t>16</w:t>
            </w:r>
            <w:r w:rsidR="00532235">
              <w:rPr>
                <w:noProof/>
                <w:webHidden/>
              </w:rPr>
              <w:fldChar w:fldCharType="end"/>
            </w:r>
          </w:hyperlink>
        </w:p>
        <w:p w14:paraId="71F1A1F4" w14:textId="466ABD3E"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4" w:history="1">
            <w:r w:rsidR="00532235" w:rsidRPr="00CF34AC">
              <w:rPr>
                <w:rStyle w:val="Hyperlink"/>
                <w:noProof/>
              </w:rPr>
              <w:t>4.2 Optimal Portfolio Weights</w:t>
            </w:r>
            <w:r w:rsidR="00532235">
              <w:rPr>
                <w:noProof/>
                <w:webHidden/>
              </w:rPr>
              <w:tab/>
            </w:r>
            <w:r w:rsidR="00532235">
              <w:rPr>
                <w:noProof/>
                <w:webHidden/>
              </w:rPr>
              <w:fldChar w:fldCharType="begin"/>
            </w:r>
            <w:r w:rsidR="00532235">
              <w:rPr>
                <w:noProof/>
                <w:webHidden/>
              </w:rPr>
              <w:instrText xml:space="preserve"> PAGEREF _Toc166705774 \h </w:instrText>
            </w:r>
            <w:r w:rsidR="00532235">
              <w:rPr>
                <w:noProof/>
                <w:webHidden/>
              </w:rPr>
            </w:r>
            <w:r w:rsidR="00532235">
              <w:rPr>
                <w:noProof/>
                <w:webHidden/>
              </w:rPr>
              <w:fldChar w:fldCharType="separate"/>
            </w:r>
            <w:r w:rsidR="0036481F">
              <w:rPr>
                <w:noProof/>
                <w:webHidden/>
              </w:rPr>
              <w:t>18</w:t>
            </w:r>
            <w:r w:rsidR="00532235">
              <w:rPr>
                <w:noProof/>
                <w:webHidden/>
              </w:rPr>
              <w:fldChar w:fldCharType="end"/>
            </w:r>
          </w:hyperlink>
        </w:p>
        <w:p w14:paraId="5DDF151C" w14:textId="55B2BC02"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5" w:history="1">
            <w:r w:rsidR="00532235" w:rsidRPr="00CF34AC">
              <w:rPr>
                <w:rStyle w:val="Hyperlink"/>
                <w:noProof/>
              </w:rPr>
              <w:t>4.3 Portfolio Performance</w:t>
            </w:r>
            <w:r w:rsidR="00532235">
              <w:rPr>
                <w:noProof/>
                <w:webHidden/>
              </w:rPr>
              <w:tab/>
            </w:r>
            <w:r w:rsidR="00532235">
              <w:rPr>
                <w:noProof/>
                <w:webHidden/>
              </w:rPr>
              <w:fldChar w:fldCharType="begin"/>
            </w:r>
            <w:r w:rsidR="00532235">
              <w:rPr>
                <w:noProof/>
                <w:webHidden/>
              </w:rPr>
              <w:instrText xml:space="preserve"> PAGEREF _Toc166705775 \h </w:instrText>
            </w:r>
            <w:r w:rsidR="00532235">
              <w:rPr>
                <w:noProof/>
                <w:webHidden/>
              </w:rPr>
            </w:r>
            <w:r w:rsidR="00532235">
              <w:rPr>
                <w:noProof/>
                <w:webHidden/>
              </w:rPr>
              <w:fldChar w:fldCharType="separate"/>
            </w:r>
            <w:r w:rsidR="0036481F">
              <w:rPr>
                <w:noProof/>
                <w:webHidden/>
              </w:rPr>
              <w:t>19</w:t>
            </w:r>
            <w:r w:rsidR="00532235">
              <w:rPr>
                <w:noProof/>
                <w:webHidden/>
              </w:rPr>
              <w:fldChar w:fldCharType="end"/>
            </w:r>
          </w:hyperlink>
        </w:p>
        <w:p w14:paraId="5239BC98" w14:textId="664723FB" w:rsidR="00532235" w:rsidRDefault="00000000">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6" w:history="1">
            <w:r w:rsidR="00532235" w:rsidRPr="00CF34AC">
              <w:rPr>
                <w:rStyle w:val="Hyperlink"/>
                <w:noProof/>
              </w:rPr>
              <w:t>4.3 Hedge against Risk</w:t>
            </w:r>
            <w:r w:rsidR="00532235">
              <w:rPr>
                <w:noProof/>
                <w:webHidden/>
              </w:rPr>
              <w:tab/>
            </w:r>
            <w:r w:rsidR="00532235">
              <w:rPr>
                <w:noProof/>
                <w:webHidden/>
              </w:rPr>
              <w:fldChar w:fldCharType="begin"/>
            </w:r>
            <w:r w:rsidR="00532235">
              <w:rPr>
                <w:noProof/>
                <w:webHidden/>
              </w:rPr>
              <w:instrText xml:space="preserve"> PAGEREF _Toc166705776 \h </w:instrText>
            </w:r>
            <w:r w:rsidR="00532235">
              <w:rPr>
                <w:noProof/>
                <w:webHidden/>
              </w:rPr>
            </w:r>
            <w:r w:rsidR="00532235">
              <w:rPr>
                <w:noProof/>
                <w:webHidden/>
              </w:rPr>
              <w:fldChar w:fldCharType="separate"/>
            </w:r>
            <w:r w:rsidR="0036481F">
              <w:rPr>
                <w:noProof/>
                <w:webHidden/>
              </w:rPr>
              <w:t>20</w:t>
            </w:r>
            <w:r w:rsidR="00532235">
              <w:rPr>
                <w:noProof/>
                <w:webHidden/>
              </w:rPr>
              <w:fldChar w:fldCharType="end"/>
            </w:r>
          </w:hyperlink>
        </w:p>
        <w:p w14:paraId="0C0502DE" w14:textId="6DF73D39" w:rsidR="00532235"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7" w:history="1">
            <w:r w:rsidR="00532235" w:rsidRPr="00CF34AC">
              <w:rPr>
                <w:rStyle w:val="Hyperlink"/>
                <w:noProof/>
              </w:rPr>
              <w:t>5. Conclusion</w:t>
            </w:r>
            <w:r w:rsidR="00532235">
              <w:rPr>
                <w:noProof/>
                <w:webHidden/>
              </w:rPr>
              <w:tab/>
            </w:r>
            <w:r w:rsidR="00532235">
              <w:rPr>
                <w:noProof/>
                <w:webHidden/>
              </w:rPr>
              <w:fldChar w:fldCharType="begin"/>
            </w:r>
            <w:r w:rsidR="00532235">
              <w:rPr>
                <w:noProof/>
                <w:webHidden/>
              </w:rPr>
              <w:instrText xml:space="preserve"> PAGEREF _Toc166705777 \h </w:instrText>
            </w:r>
            <w:r w:rsidR="00532235">
              <w:rPr>
                <w:noProof/>
                <w:webHidden/>
              </w:rPr>
            </w:r>
            <w:r w:rsidR="00532235">
              <w:rPr>
                <w:noProof/>
                <w:webHidden/>
              </w:rPr>
              <w:fldChar w:fldCharType="separate"/>
            </w:r>
            <w:r w:rsidR="0036481F">
              <w:rPr>
                <w:noProof/>
                <w:webHidden/>
              </w:rPr>
              <w:t>22</w:t>
            </w:r>
            <w:r w:rsidR="00532235">
              <w:rPr>
                <w:noProof/>
                <w:webHidden/>
              </w:rPr>
              <w:fldChar w:fldCharType="end"/>
            </w:r>
          </w:hyperlink>
        </w:p>
        <w:p w14:paraId="374BA47D" w14:textId="04569E09" w:rsidR="00532235"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8" w:history="1">
            <w:r w:rsidR="00532235" w:rsidRPr="00CF34AC">
              <w:rPr>
                <w:rStyle w:val="Hyperlink"/>
                <w:noProof/>
              </w:rPr>
              <w:t>Appendix</w:t>
            </w:r>
            <w:r w:rsidR="00532235">
              <w:rPr>
                <w:noProof/>
                <w:webHidden/>
              </w:rPr>
              <w:tab/>
            </w:r>
            <w:r w:rsidR="00532235">
              <w:rPr>
                <w:noProof/>
                <w:webHidden/>
              </w:rPr>
              <w:fldChar w:fldCharType="begin"/>
            </w:r>
            <w:r w:rsidR="00532235">
              <w:rPr>
                <w:noProof/>
                <w:webHidden/>
              </w:rPr>
              <w:instrText xml:space="preserve"> PAGEREF _Toc166705778 \h </w:instrText>
            </w:r>
            <w:r w:rsidR="00532235">
              <w:rPr>
                <w:noProof/>
                <w:webHidden/>
              </w:rPr>
            </w:r>
            <w:r w:rsidR="00532235">
              <w:rPr>
                <w:noProof/>
                <w:webHidden/>
              </w:rPr>
              <w:fldChar w:fldCharType="separate"/>
            </w:r>
            <w:r w:rsidR="0036481F">
              <w:rPr>
                <w:noProof/>
                <w:webHidden/>
              </w:rPr>
              <w:t>23</w:t>
            </w:r>
            <w:r w:rsidR="00532235">
              <w:rPr>
                <w:noProof/>
                <w:webHidden/>
              </w:rPr>
              <w:fldChar w:fldCharType="end"/>
            </w:r>
          </w:hyperlink>
        </w:p>
        <w:p w14:paraId="6BF21ED5" w14:textId="436BA746" w:rsidR="00532235" w:rsidRDefault="0000000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66705779" w:history="1">
            <w:r w:rsidR="00532235" w:rsidRPr="00CF34AC">
              <w:rPr>
                <w:rStyle w:val="Hyperlink"/>
                <w:noProof/>
              </w:rPr>
              <w:t>References</w:t>
            </w:r>
            <w:r w:rsidR="00532235">
              <w:rPr>
                <w:noProof/>
                <w:webHidden/>
              </w:rPr>
              <w:tab/>
            </w:r>
            <w:r w:rsidR="00532235">
              <w:rPr>
                <w:noProof/>
                <w:webHidden/>
              </w:rPr>
              <w:fldChar w:fldCharType="begin"/>
            </w:r>
            <w:r w:rsidR="00532235">
              <w:rPr>
                <w:noProof/>
                <w:webHidden/>
              </w:rPr>
              <w:instrText xml:space="preserve"> PAGEREF _Toc166705779 \h </w:instrText>
            </w:r>
            <w:r w:rsidR="00532235">
              <w:rPr>
                <w:noProof/>
                <w:webHidden/>
              </w:rPr>
            </w:r>
            <w:r w:rsidR="00532235">
              <w:rPr>
                <w:noProof/>
                <w:webHidden/>
              </w:rPr>
              <w:fldChar w:fldCharType="separate"/>
            </w:r>
            <w:r w:rsidR="0036481F">
              <w:rPr>
                <w:noProof/>
                <w:webHidden/>
              </w:rPr>
              <w:t>26</w:t>
            </w:r>
            <w:r w:rsidR="00532235">
              <w:rPr>
                <w:noProof/>
                <w:webHidden/>
              </w:rPr>
              <w:fldChar w:fldCharType="end"/>
            </w:r>
          </w:hyperlink>
        </w:p>
        <w:p w14:paraId="0F106371" w14:textId="4295BFE6" w:rsidR="00480E11" w:rsidRPr="00F97CD7" w:rsidRDefault="00532235" w:rsidP="00532235">
          <w:pPr>
            <w:pStyle w:val="TOC1"/>
            <w:tabs>
              <w:tab w:val="right" w:leader="dot" w:pos="9350"/>
            </w:tabs>
            <w:spacing w:line="260" w:lineRule="exact"/>
            <w:rPr>
              <w:rFonts w:ascii="Arial" w:eastAsia="Arial" w:hAnsi="Arial" w:cs="Arial"/>
              <w:b/>
              <w:color w:val="000000"/>
              <w:sz w:val="22"/>
              <w:szCs w:val="22"/>
            </w:rPr>
          </w:pPr>
          <w:r>
            <w:fldChar w:fldCharType="end"/>
          </w:r>
        </w:p>
      </w:sdtContent>
    </w:sdt>
    <w:bookmarkStart w:id="0" w:name="_1fhd9gaoblgg" w:colFirst="0" w:colLast="0" w:displacedByCustomXml="prev"/>
    <w:bookmarkEnd w:id="0" w:displacedByCustomXml="prev"/>
    <w:p w14:paraId="221D024D" w14:textId="77777777" w:rsidR="00962C4A" w:rsidRDefault="00962C4A">
      <w:pPr>
        <w:rPr>
          <w:sz w:val="48"/>
          <w:szCs w:val="48"/>
        </w:rPr>
      </w:pPr>
      <w:r>
        <w:br w:type="page"/>
      </w:r>
    </w:p>
    <w:p w14:paraId="4AF185E2" w14:textId="77777777" w:rsidR="004735EF" w:rsidRDefault="004735EF">
      <w:pPr>
        <w:pStyle w:val="Heading1"/>
        <w:keepNext w:val="0"/>
        <w:keepLines w:val="0"/>
        <w:jc w:val="both"/>
        <w:sectPr w:rsidR="004735EF" w:rsidSect="005864B6">
          <w:pgSz w:w="12240" w:h="15840"/>
          <w:pgMar w:top="1440" w:right="1440" w:bottom="1440" w:left="1440" w:header="720" w:footer="720" w:gutter="0"/>
          <w:pgNumType w:start="1"/>
          <w:cols w:space="720"/>
          <w:docGrid w:linePitch="326"/>
        </w:sectPr>
      </w:pPr>
    </w:p>
    <w:p w14:paraId="02C39C87" w14:textId="5D124CE6" w:rsidR="00480E11" w:rsidRDefault="00000000">
      <w:pPr>
        <w:pStyle w:val="Heading1"/>
        <w:keepNext w:val="0"/>
        <w:keepLines w:val="0"/>
        <w:jc w:val="both"/>
      </w:pPr>
      <w:bookmarkStart w:id="1" w:name="_Toc166705762"/>
      <w:r>
        <w:t>1. Introduction</w:t>
      </w:r>
      <w:bookmarkEnd w:id="1"/>
    </w:p>
    <w:p w14:paraId="25589C8B" w14:textId="2FA69E02" w:rsidR="00480E11" w:rsidRDefault="00000000">
      <w:pPr>
        <w:tabs>
          <w:tab w:val="left" w:pos="1165"/>
          <w:tab w:val="left" w:pos="1167"/>
        </w:tabs>
        <w:jc w:val="both"/>
      </w:pPr>
      <w:r>
        <w:t xml:space="preserve">Commodities are raw materials that can be classified as metal, energy, and agricultural products </w:t>
      </w:r>
      <w:hyperlink r:id="rId9">
        <w:r>
          <w:t>(see Forbes Advisor)</w:t>
        </w:r>
      </w:hyperlink>
      <w:r>
        <w:t xml:space="preserve">. Their prices are easily influenced by various factors. For example, energy commodities are influenced by heating while agricultural commodities are influenced by weather conditions and seasonal demand. In order to avoid the associated risk of these factors, the first commodity futures trading exchange was established in Japan for trading rice futures in 1730 </w:t>
      </w:r>
      <w:hyperlink r:id="rId10">
        <w:r>
          <w:t>(Dojima Rice Exchange)</w:t>
        </w:r>
      </w:hyperlink>
      <w:r>
        <w:t xml:space="preserve">. The original commodity trading of futures serves as a risk management tool for producers, allowing them to avoid the impact of price changes by transferring risks to speculators. In modern times, a third group of transactors has emerged and become increasingly important </w:t>
      </w:r>
      <w:hyperlink r:id="rId11">
        <w:r>
          <w:t>(Gilbert, 2008)</w:t>
        </w:r>
      </w:hyperlink>
      <w:r>
        <w:t xml:space="preserve">. These kinds of investors view commodity futures as one kind of asset based on the derivatives’ return and risk nature. The majority of these kinds of investors use commodity futures as a way of hedging the stock market </w:t>
      </w:r>
      <w:hyperlink r:id="rId12">
        <w:r>
          <w:t>(Alshammari &amp; Obeid, 2023)</w:t>
        </w:r>
      </w:hyperlink>
      <w:r>
        <w:t xml:space="preserve">, real estate risk </w:t>
      </w:r>
      <w:hyperlink r:id="rId13">
        <w:r>
          <w:t>(Raza et al., 2018)</w:t>
        </w:r>
      </w:hyperlink>
      <w:r>
        <w:t xml:space="preserve">, or Bitcoin </w:t>
      </w:r>
      <w:hyperlink r:id="rId14">
        <w:r>
          <w:t>(Joo &amp; Park, 2024)</w:t>
        </w:r>
      </w:hyperlink>
      <w:r>
        <w:t>. However, instead of using the commodity portfolios as a way of hedging, commodity futures alone can be the investment portfolios due to their volatile price.</w:t>
      </w:r>
    </w:p>
    <w:p w14:paraId="537A4E7F" w14:textId="7E70B9F4" w:rsidR="00480E11" w:rsidRDefault="00000000">
      <w:pPr>
        <w:tabs>
          <w:tab w:val="left" w:pos="1165"/>
          <w:tab w:val="left" w:pos="1167"/>
        </w:tabs>
        <w:jc w:val="both"/>
      </w:pPr>
      <w:r>
        <w:t xml:space="preserve">Our study focuses on commodity futures, despite other commodity trading ways such as physical commodity purchases, commodities stocks, commodities ETFs, </w:t>
      </w:r>
      <w:r w:rsidR="00532235">
        <w:t xml:space="preserve">and </w:t>
      </w:r>
      <w:r>
        <w:t xml:space="preserve">Mutual Funds </w:t>
      </w:r>
      <w:hyperlink r:id="rId15">
        <w:r>
          <w:t>(see Forbes Advisor)</w:t>
        </w:r>
      </w:hyperlink>
      <w:r>
        <w:t xml:space="preserve">. This is because commodity futures are now the most common way of trading commodities. Also, commodity futures have the advantage of their liquidity and standardized contracts, along with minimal counterparty risk </w:t>
      </w:r>
      <w:hyperlink r:id="rId16">
        <w:r>
          <w:t>(Ruano &amp; Barros, 2022)</w:t>
        </w:r>
      </w:hyperlink>
      <w:r>
        <w:t xml:space="preserve">. While there are commodity future indexes that can provide us with broader information about commodity sectors, we use the future prices of individual commodities. These can help us capture the potential relationship between </w:t>
      </w:r>
      <w:r w:rsidR="003F176E">
        <w:t>specific</w:t>
      </w:r>
      <w:r>
        <w:t xml:space="preserve"> commodit</w:t>
      </w:r>
      <w:r w:rsidR="003F176E">
        <w:t>y groups</w:t>
      </w:r>
      <w:r>
        <w:t xml:space="preserve"> </w:t>
      </w:r>
      <w:hyperlink r:id="rId17">
        <w:r>
          <w:t>(Daigler et al., 2017)</w:t>
        </w:r>
      </w:hyperlink>
      <w:r>
        <w:t xml:space="preserve">. By using the commodity future price as the representation of commodity price, we can analyze the dependence and interconnectedness among commodities. Apart from analyzing individual commodities, we can build portfolios </w:t>
      </w:r>
      <w:r w:rsidR="009C0229">
        <w:t>such as</w:t>
      </w:r>
      <w:r>
        <w:t xml:space="preserve"> equally weighted </w:t>
      </w:r>
      <w:r w:rsidR="009C0229" w:rsidRPr="009C0229">
        <w:t>portfolios</w:t>
      </w:r>
      <w:r>
        <w:t xml:space="preserve">, maximum </w:t>
      </w:r>
      <w:r w:rsidR="009C0229" w:rsidRPr="009C0229">
        <w:t>Sharpe</w:t>
      </w:r>
      <w:r>
        <w:t xml:space="preserve"> ratio </w:t>
      </w:r>
      <w:r w:rsidR="009C0229" w:rsidRPr="009C0229">
        <w:t>portfolios</w:t>
      </w:r>
      <w:r>
        <w:t xml:space="preserve">, and minimum CVaR </w:t>
      </w:r>
      <w:r w:rsidR="009C0229" w:rsidRPr="009C0229">
        <w:t>portfolios</w:t>
      </w:r>
      <w:r>
        <w:t xml:space="preserve">. Based on investment objectives and subjective preferences, investors can make commodity portfolio investment decisions. Additionally, by </w:t>
      </w:r>
      <w:r w:rsidR="00A962C3">
        <w:t>analyzing</w:t>
      </w:r>
      <w:r>
        <w:t xml:space="preserve"> the</w:t>
      </w:r>
      <w:r w:rsidR="00010EA4">
        <w:t xml:space="preserve"> time-varying</w:t>
      </w:r>
      <w:r>
        <w:t xml:space="preserve"> portfolio performance, investors can build on their portfolios differently based on </w:t>
      </w:r>
      <w:r w:rsidR="00B51E25">
        <w:t>market conditions</w:t>
      </w:r>
      <w:r>
        <w:t>.</w:t>
      </w:r>
    </w:p>
    <w:p w14:paraId="1622525A" w14:textId="3A399A41" w:rsidR="00480E11" w:rsidRDefault="00000000">
      <w:pPr>
        <w:tabs>
          <w:tab w:val="left" w:pos="1165"/>
          <w:tab w:val="left" w:pos="1167"/>
        </w:tabs>
        <w:jc w:val="both"/>
      </w:pPr>
      <w:r>
        <w:t xml:space="preserve">In order to build commodity portfolios, we begin by </w:t>
      </w:r>
      <w:r w:rsidR="003C4879">
        <w:t>analyzing</w:t>
      </w:r>
      <w:r>
        <w:t xml:space="preserve"> the </w:t>
      </w:r>
      <w:r w:rsidR="0038738F">
        <w:t xml:space="preserve">statistical </w:t>
      </w:r>
      <w:r w:rsidR="00F703CA">
        <w:t>characteristics</w:t>
      </w:r>
      <w:r>
        <w:t xml:space="preserve"> </w:t>
      </w:r>
      <w:r w:rsidR="00F703CA">
        <w:t xml:space="preserve">of the selected </w:t>
      </w:r>
      <w:r>
        <w:t>commodities, which are classified into three categories: metal, energy, and agricultural</w:t>
      </w:r>
      <w:r w:rsidR="008D49AC">
        <w:t xml:space="preserve"> groups</w:t>
      </w:r>
      <w:r>
        <w:t xml:space="preserve">. This is done by plotting the returns and </w:t>
      </w:r>
      <w:r w:rsidR="00315850" w:rsidRPr="00315850">
        <w:t>calculating</w:t>
      </w:r>
      <w:r>
        <w:t xml:space="preserve"> the descriptive statistics. </w:t>
      </w:r>
      <w:r w:rsidR="000E17CC">
        <w:t>Also, b</w:t>
      </w:r>
      <w:r>
        <w:t xml:space="preserve">y </w:t>
      </w:r>
      <w:r w:rsidR="008E14B0">
        <w:t>applying</w:t>
      </w:r>
      <w:r>
        <w:t xml:space="preserve"> the </w:t>
      </w:r>
      <w:r w:rsidR="001F2DB5" w:rsidRPr="001F2DB5">
        <w:t>statistical</w:t>
      </w:r>
      <w:r w:rsidR="00A52354">
        <w:t xml:space="preserve"> tests,</w:t>
      </w:r>
      <w:r>
        <w:t xml:space="preserve"> we </w:t>
      </w:r>
      <w:r w:rsidR="000E17CC" w:rsidRPr="000E17CC">
        <w:t>can</w:t>
      </w:r>
      <w:r w:rsidR="00315850">
        <w:t xml:space="preserve"> capture</w:t>
      </w:r>
      <w:r>
        <w:t xml:space="preserve"> the</w:t>
      </w:r>
      <w:r w:rsidR="00315850">
        <w:t xml:space="preserve"> commodity return</w:t>
      </w:r>
      <w:r>
        <w:t xml:space="preserve"> data features, which is crucial for the subsequent analysis. The empirical part of our thesis starts by </w:t>
      </w:r>
      <w:r w:rsidR="001F2DB5">
        <w:t>using</w:t>
      </w:r>
      <w:r>
        <w:t xml:space="preserve"> the multivariate GARCH model, which can help us get the time-varying correlation and covariance matrix during the period from 1991 to 2023. Next, we build seven portfolios of equal weight, mean-variance, minimum variance, minimum correlation, maximum </w:t>
      </w:r>
      <w:r w:rsidR="00917227">
        <w:t>S</w:t>
      </w:r>
      <w:r>
        <w:t xml:space="preserve">harpe ratio, maximum </w:t>
      </w:r>
      <w:r w:rsidR="00DF7188">
        <w:t>S</w:t>
      </w:r>
      <w:r>
        <w:t xml:space="preserve">ortino ratio, and mean-CVaR, which </w:t>
      </w:r>
      <w:r w:rsidR="00DC3CE0" w:rsidRPr="00DC3CE0">
        <w:t>focus</w:t>
      </w:r>
      <w:r w:rsidR="00F66009">
        <w:t xml:space="preserve"> on different risk objectives</w:t>
      </w:r>
      <w:r w:rsidR="00DC3CE0">
        <w:t xml:space="preserve"> and provide a comprehensive </w:t>
      </w:r>
      <w:r w:rsidR="00AB14DF" w:rsidRPr="00AB14DF">
        <w:t>framework</w:t>
      </w:r>
      <w:r w:rsidR="00DC3CE0">
        <w:t xml:space="preserve"> of </w:t>
      </w:r>
      <w:r w:rsidR="00AB14DF">
        <w:t>investment strategies</w:t>
      </w:r>
      <w:r>
        <w:t xml:space="preserve">. By </w:t>
      </w:r>
      <w:r w:rsidR="00484DF1">
        <w:t>considering</w:t>
      </w:r>
      <w:r>
        <w:t xml:space="preserve"> short-sell</w:t>
      </w:r>
      <w:r w:rsidR="00484DF1">
        <w:t xml:space="preserve"> and no short-sell</w:t>
      </w:r>
      <w:r>
        <w:t xml:space="preserve"> opportunities and thus using the optimization process, we get the time-varying weight for different portfolios. Based on the performance metrics of the seven portfolios under different times, we can make investment decisions and adjust accordingly based on </w:t>
      </w:r>
      <w:r w:rsidR="007545C7">
        <w:t>market</w:t>
      </w:r>
      <w:r>
        <w:t xml:space="preserve"> times.</w:t>
      </w:r>
    </w:p>
    <w:p w14:paraId="3DBE15F8" w14:textId="77777777" w:rsidR="00480E11" w:rsidRDefault="00000000">
      <w:pPr>
        <w:pStyle w:val="Heading1"/>
        <w:jc w:val="both"/>
      </w:pPr>
      <w:bookmarkStart w:id="2" w:name="_Toc166705763"/>
      <w:r>
        <w:t>2. Literature Review</w:t>
      </w:r>
      <w:bookmarkEnd w:id="2"/>
    </w:p>
    <w:p w14:paraId="405DABAD" w14:textId="77777777" w:rsidR="00480E11" w:rsidRDefault="00000000">
      <w:pPr>
        <w:pStyle w:val="Heading2"/>
        <w:jc w:val="both"/>
      </w:pPr>
      <w:bookmarkStart w:id="3" w:name="_Toc166705764"/>
      <w:r>
        <w:t>2.1 Interconnectedness among Commodities</w:t>
      </w:r>
      <w:bookmarkEnd w:id="3"/>
    </w:p>
    <w:p w14:paraId="648FEADB" w14:textId="77777777" w:rsidR="00480E11" w:rsidRDefault="00000000">
      <w:pPr>
        <w:jc w:val="both"/>
      </w:pPr>
      <w:r>
        <w:t xml:space="preserve">Commodity portfolios can be used for hedging purposes, as different commodities have varying levels of risk and returns. Therefore, analyzing the interconnections between commodity markets and implementing portfolio optimization strategies can help investors optimize their portfolio allocations and mitigate risks. We focus on three commodity portfolios: metal, energy, and agricultural commodities. Through our analysis, we aim to explore their interrelationships, including metal-energy, metal-agricultural, and energy-agricultural connections. </w:t>
      </w:r>
    </w:p>
    <w:p w14:paraId="0031B9B1" w14:textId="77777777" w:rsidR="00480E11" w:rsidRDefault="00000000">
      <w:pPr>
        <w:pStyle w:val="Heading3"/>
        <w:jc w:val="both"/>
      </w:pPr>
      <w:r>
        <w:t>2.1.1 Metal and Energy Commodities</w:t>
      </w:r>
    </w:p>
    <w:p w14:paraId="0EAD5E85" w14:textId="2AE16FA1" w:rsidR="00480E11" w:rsidRDefault="00000000">
      <w:pPr>
        <w:jc w:val="both"/>
      </w:pPr>
      <w:r>
        <w:t xml:space="preserve">Gold has been recognized as a safe haven asset in hedging against risk and serving as a reliable source of maintaining value during volatile times. Investors often use precious metals such as gold as a hedge to protect against currency depreciation during the slowing down economy which is indicated by the increasing oil price </w:t>
      </w:r>
      <w:hyperlink r:id="rId18">
        <w:r>
          <w:t>(Bedoui et al., 2023)</w:t>
        </w:r>
      </w:hyperlink>
      <w:r>
        <w:t xml:space="preserve">. </w:t>
      </w:r>
      <w:hyperlink r:id="rId19">
        <w:r>
          <w:t>Hammoudeh and Yuan (2008)</w:t>
        </w:r>
      </w:hyperlink>
      <w:r>
        <w:t xml:space="preserve"> find that gold and silver may be partial substitutes for hedgers under volatile times. Instead, copper is not suitable for hedging as the transitory volatility vanishes much more rapidly for copper commodities. Also, the comovement of metal and energy commodities becomes negative during financial booms, which brings out the possibility of portfolio diversification </w:t>
      </w:r>
      <w:hyperlink r:id="rId20">
        <w:r>
          <w:t>(Albulescu et al., 2020)</w:t>
        </w:r>
      </w:hyperlink>
      <w:r>
        <w:t xml:space="preserve">. In contrast, </w:t>
      </w:r>
      <w:hyperlink r:id="rId21">
        <w:r>
          <w:t>Reboredo (2013)</w:t>
        </w:r>
      </w:hyperlink>
      <w:r>
        <w:t xml:space="preserve"> finds that gold and oil show a strong positive dependence, suggesting that gold might not effectively hedge against oil price movements. However, they </w:t>
      </w:r>
      <w:r w:rsidR="00A8745B">
        <w:t xml:space="preserve">also </w:t>
      </w:r>
      <w:r>
        <w:t xml:space="preserve">find tail independence, which suggests that the hedge </w:t>
      </w:r>
      <w:r w:rsidR="004E07A8">
        <w:t xml:space="preserve">is </w:t>
      </w:r>
      <w:r>
        <w:t>effect</w:t>
      </w:r>
      <w:r w:rsidR="004E07A8">
        <w:t>ive</w:t>
      </w:r>
      <w:r w:rsidR="00D638E2">
        <w:t xml:space="preserve"> </w:t>
      </w:r>
      <w:r>
        <w:t xml:space="preserve">under bad market times. </w:t>
      </w:r>
      <w:hyperlink r:id="rId22">
        <w:r>
          <w:t>Sari et al. (2010)</w:t>
        </w:r>
      </w:hyperlink>
      <w:r>
        <w:t xml:space="preserve"> also find that there are minor but positive effects between precious metals and oil. Specifically, if the commodity price of silver increases, it may signal that the price of oil will also increase because silver is highly volatile like oil. Similarly, </w:t>
      </w:r>
      <w:hyperlink r:id="rId23">
        <w:r>
          <w:t>Rehman and Vo (2021)</w:t>
        </w:r>
      </w:hyperlink>
      <w:r>
        <w:t xml:space="preserve"> study the cointegration of precious metals and oil, and they find that precious metals and oil prices tend to move together in the long run under both bearish and normal market conditions. As a result, they suggest that investors should avoid building portfolios focusing solely on energy and precious metal commodities due to their high interdependence, especially during extreme market conditions.</w:t>
      </w:r>
    </w:p>
    <w:p w14:paraId="2C0FD608" w14:textId="77777777" w:rsidR="00480E11" w:rsidRDefault="00000000">
      <w:pPr>
        <w:pStyle w:val="Heading3"/>
        <w:jc w:val="both"/>
      </w:pPr>
      <w:r>
        <w:t>2.1.2 Metal and Agricultural Commodities</w:t>
      </w:r>
    </w:p>
    <w:p w14:paraId="7692BE36" w14:textId="77777777" w:rsidR="00480E11" w:rsidRDefault="00000000">
      <w:pPr>
        <w:jc w:val="both"/>
      </w:pPr>
      <w:r>
        <w:t xml:space="preserve">A large number of researchers study the relationship between metal and agricultural commodities. </w:t>
      </w:r>
      <w:hyperlink r:id="rId24">
        <w:r>
          <w:t>Hanif et al. (2023)</w:t>
        </w:r>
      </w:hyperlink>
      <w:r>
        <w:t xml:space="preserve"> study the time-varying relationship among commodity markets and find that the metal commodities portfolio is less risky compared to the agricultural commodities portfolio. According to their portfolio optimization result, investors in metal markets should allocate the majority of the commodities to gold, followed by aluminum, platinum, and lead. While for the agricultural market, the greatest amount should be allocated to timber, followed by wheat, cocoa, and soybeans. For energy and agricultural commodities, the prices of their futures are highly correlated and the increase in energy commodity prices will drive that of agricultural commodity prices </w:t>
      </w:r>
      <w:hyperlink r:id="rId25">
        <w:r>
          <w:t>(Koirala et al., 2015)</w:t>
        </w:r>
      </w:hyperlink>
      <w:r>
        <w:t xml:space="preserve">. </w:t>
      </w:r>
      <w:hyperlink r:id="rId26">
        <w:r>
          <w:t>Naeem et al.</w:t>
        </w:r>
      </w:hyperlink>
      <w:hyperlink r:id="rId27">
        <w:r>
          <w:t xml:space="preserve"> (</w:t>
        </w:r>
      </w:hyperlink>
      <w:hyperlink r:id="rId28">
        <w:r>
          <w:t>2022)</w:t>
        </w:r>
      </w:hyperlink>
      <w:r>
        <w:t xml:space="preserve"> also find that before the global financial crisis, oil is the safe-haven asset for the majority of agricultural products, except sugar. But after the volatile times, it loses this property. Apart from that, researchers also suggest contagion effects among the two commodity portfolios, which indicates that the two commodities might not be a suitable choice for portfolio diversification during financial volatile times (</w:t>
      </w:r>
      <w:hyperlink r:id="rId29">
        <w:r>
          <w:t>Khalfaoui et al., 2023</w:t>
        </w:r>
      </w:hyperlink>
      <w:r>
        <w:t xml:space="preserve">). </w:t>
      </w:r>
      <w:hyperlink r:id="rId30">
        <w:r>
          <w:t>Hernandez et al. (2019)</w:t>
        </w:r>
      </w:hyperlink>
      <w:r>
        <w:t xml:space="preserve"> also find that wheat and rice prices are slightly affected only in extreme downside oil price scenarios. However, corn stands out as the only commodity that can diversify and safeguard against extreme oil market risk.</w:t>
      </w:r>
    </w:p>
    <w:p w14:paraId="769810B4" w14:textId="77777777" w:rsidR="00480E11" w:rsidRDefault="00000000">
      <w:pPr>
        <w:pStyle w:val="Heading3"/>
        <w:jc w:val="both"/>
      </w:pPr>
      <w:r>
        <w:t>2.1.3 Energy and Agricultural Commodities</w:t>
      </w:r>
    </w:p>
    <w:p w14:paraId="42C5C998" w14:textId="1A925539" w:rsidR="00480E11" w:rsidRDefault="00000000">
      <w:pPr>
        <w:jc w:val="both"/>
      </w:pPr>
      <w:r>
        <w:t xml:space="preserve">In recent years, there has been significant cross-market linkage between energy and agricultural markets. This is due to the substitute of bio-fuel for the traditional fossil fuel. Studies show that energy-agricultural commodities connectedness is time-varying and thus there are times that exhibit limited causal effects, such as post-1980s </w:t>
      </w:r>
      <w:hyperlink r:id="rId31">
        <w:r>
          <w:t>(Shahzad et al., 2021)</w:t>
        </w:r>
      </w:hyperlink>
      <w:r>
        <w:t xml:space="preserve"> or during the COVID-19 pandemic times (</w:t>
      </w:r>
      <w:hyperlink r:id="rId32">
        <w:r>
          <w:t>Furuoka et al.</w:t>
        </w:r>
      </w:hyperlink>
      <w:hyperlink r:id="rId33">
        <w:r>
          <w:t xml:space="preserve">, </w:t>
        </w:r>
      </w:hyperlink>
      <w:hyperlink r:id="rId34">
        <w:r>
          <w:t>2023</w:t>
        </w:r>
      </w:hyperlink>
      <w:r>
        <w:t xml:space="preserve">). </w:t>
      </w:r>
      <w:r w:rsidR="00C07E4D">
        <w:t>By</w:t>
      </w:r>
      <w:r>
        <w:t xml:space="preserve"> analyzing the systematic risk across markets, </w:t>
      </w:r>
      <w:hyperlink r:id="rId35">
        <w:r>
          <w:t>Kumar et al. (2021)</w:t>
        </w:r>
      </w:hyperlink>
      <w:r>
        <w:t xml:space="preserve"> recommend that investors should consider </w:t>
      </w:r>
      <w:r w:rsidR="002E4745" w:rsidRPr="002E4745">
        <w:t>choosing</w:t>
      </w:r>
      <w:r>
        <w:t xml:space="preserve"> other commodities when the energy and agricultural commodity market collapse due to regime-switching risk spillovers. Moreover, when both oil and agricultural commodity markets are going up or </w:t>
      </w:r>
      <w:r w:rsidR="00E826EB">
        <w:t>decline</w:t>
      </w:r>
      <w:r>
        <w:t>, it's more likely to experience losses than gains simultaneously. As for the energy and agricultural commodity portfolios, researchers suggest that investors should allocate a lower proportion of energy commodities in order to achieve higher profits based on the performance of dynamic optimal portfolio weights for energy-agricultural commodities portfolios (</w:t>
      </w:r>
      <w:hyperlink r:id="rId36">
        <w:r>
          <w:t>Furuoka et al., 2023</w:t>
        </w:r>
      </w:hyperlink>
      <w:r>
        <w:t xml:space="preserve">). </w:t>
      </w:r>
      <w:hyperlink r:id="rId37">
        <w:r>
          <w:t>Shiferaw (2019)</w:t>
        </w:r>
      </w:hyperlink>
      <w:r>
        <w:t xml:space="preserve"> studies the relationship between energy prices and agricultural commodity prices </w:t>
      </w:r>
      <w:r w:rsidR="002E4745" w:rsidRPr="002E4745">
        <w:t>focusing</w:t>
      </w:r>
      <w:r>
        <w:t xml:space="preserve"> on South Africa and finds that the cost of agricultural products is directly impacted by the </w:t>
      </w:r>
      <w:r w:rsidR="002E4745" w:rsidRPr="002E4745">
        <w:t>volatile</w:t>
      </w:r>
      <w:r>
        <w:t xml:space="preserve"> global oil prices. As a result, the changing oil price causes fluctuations </w:t>
      </w:r>
      <w:r w:rsidR="00B45BC3" w:rsidRPr="00B45BC3">
        <w:t>in</w:t>
      </w:r>
      <w:r>
        <w:t xml:space="preserve"> agricultural commodity prices. Recently, </w:t>
      </w:r>
      <w:hyperlink r:id="rId38">
        <w:r>
          <w:t>Miljkovic and Vatsa (2023)</w:t>
        </w:r>
      </w:hyperlink>
      <w:r>
        <w:t xml:space="preserve"> have shown that crop prices typically exhibit lags to oil prices, although there are times that the reverse is observed. Also, they group similar commodity price movements, which helps them identify two major clusters: one is oil and agricultural commodity prices, and the other is coal and natural gas prices. </w:t>
      </w:r>
    </w:p>
    <w:p w14:paraId="38D39DF7" w14:textId="77777777" w:rsidR="00480E11" w:rsidRDefault="00000000">
      <w:pPr>
        <w:pStyle w:val="Heading2"/>
        <w:jc w:val="both"/>
      </w:pPr>
      <w:bookmarkStart w:id="4" w:name="_Toc166705765"/>
      <w:r>
        <w:t>2.2 Models for Studying the Commodities’ Interconnectedness</w:t>
      </w:r>
      <w:bookmarkEnd w:id="4"/>
      <w:r>
        <w:t xml:space="preserve"> </w:t>
      </w:r>
    </w:p>
    <w:p w14:paraId="295FED17" w14:textId="77777777" w:rsidR="00480E11" w:rsidRDefault="00000000">
      <w:pPr>
        <w:jc w:val="both"/>
      </w:pPr>
      <w:r>
        <w:t xml:space="preserve">Our analysis focuses on exploring the interconnections among energy, metal, and agricultural commodity markets. Existing articles generally have four empirical methods: GARCH, copula, granger causality, and quantile methods. </w:t>
      </w:r>
    </w:p>
    <w:p w14:paraId="60175575" w14:textId="77777777" w:rsidR="00480E11" w:rsidRDefault="00000000">
      <w:pPr>
        <w:pStyle w:val="Heading3"/>
        <w:jc w:val="both"/>
      </w:pPr>
      <w:r>
        <w:t>2.2.1 GARCH Models</w:t>
      </w:r>
    </w:p>
    <w:p w14:paraId="7A365BFE" w14:textId="30E9EDD0" w:rsidR="00480E11" w:rsidRDefault="00000000">
      <w:pPr>
        <w:jc w:val="both"/>
      </w:pPr>
      <w:r>
        <w:t xml:space="preserve">A wide range of researchers use different GARCH models such as DCC </w:t>
      </w:r>
      <w:hyperlink r:id="rId39">
        <w:r>
          <w:t>(Shiferaw, 2019)</w:t>
        </w:r>
      </w:hyperlink>
      <w:r>
        <w:t xml:space="preserve">, Asymmetric DCC </w:t>
      </w:r>
      <w:hyperlink r:id="rId40">
        <w:r>
          <w:t>(Raza et al., 2018;</w:t>
        </w:r>
      </w:hyperlink>
      <w:hyperlink r:id="rId41">
        <w:r>
          <w:t xml:space="preserve"> </w:t>
        </w:r>
      </w:hyperlink>
      <w:hyperlink r:id="rId42">
        <w:r>
          <w:t>Trabelsi et al., 2022)</w:t>
        </w:r>
      </w:hyperlink>
      <w:r>
        <w:t xml:space="preserve">, Beta-Skew-t-EGARCH </w:t>
      </w:r>
      <w:hyperlink r:id="rId43">
        <w:r>
          <w:t>(Gaete &amp; Herrera, 2023)</w:t>
        </w:r>
      </w:hyperlink>
      <w:r>
        <w:t xml:space="preserve">, GARCH-MIDAS-X Framework </w:t>
      </w:r>
      <w:hyperlink r:id="rId44">
        <w:r>
          <w:t>(Yaya et al., 2022)</w:t>
        </w:r>
      </w:hyperlink>
      <w:r>
        <w:t xml:space="preserve"> to study the correlation and spillover among commodity markets or their interactions with other markets. The core of these kinds of models is to capture the volatility patterns and study how the volatility of one commodity impacts the volatility of others, but they might not be helpful in analyzing the relationship between different commodities. In order to analyze the dependence structure between agricultural and energy </w:t>
      </w:r>
      <w:r w:rsidR="00ED1164">
        <w:t>commodities</w:t>
      </w:r>
      <w:r>
        <w:t xml:space="preserve">, </w:t>
      </w:r>
      <w:hyperlink r:id="rId45">
        <w:r>
          <w:t>Shiferaw</w:t>
        </w:r>
      </w:hyperlink>
      <w:hyperlink r:id="rId46">
        <w:r>
          <w:t xml:space="preserve"> (</w:t>
        </w:r>
      </w:hyperlink>
      <w:hyperlink r:id="rId47">
        <w:r>
          <w:t>2019)</w:t>
        </w:r>
      </w:hyperlink>
      <w:r>
        <w:t xml:space="preserve"> chooses eight commodities and applies </w:t>
      </w:r>
      <w:r w:rsidR="001A0756">
        <w:t xml:space="preserve">the </w:t>
      </w:r>
      <w:r>
        <w:t xml:space="preserve">Bayesian multivariate GARCH model with skewness and heavy tails. The researcher finds that the DCC model with the error skewed-mvt distribution assumption performed better than other competitive methods, such as the CCC model with various distributions based on its AIC, BIC, and DIC values.  Additionally, </w:t>
      </w:r>
      <w:hyperlink r:id="rId48">
        <w:r>
          <w:t>Gaete and Herrera (2023)</w:t>
        </w:r>
      </w:hyperlink>
      <w:r>
        <w:t xml:space="preserve"> use the Beta-Skew-t-EGARCH model to capture the volatility between equities and commodities. By modeling the volatility and the standardized residuals, they can get the score-driven dynamics for solving the </w:t>
      </w:r>
      <w:r w:rsidR="006021AE" w:rsidRPr="006021AE">
        <w:t>mean-variance</w:t>
      </w:r>
      <w:r>
        <w:t xml:space="preserve"> optimization problem. Similarly, the DCC-MIDAS framework applied by </w:t>
      </w:r>
      <w:hyperlink r:id="rId49">
        <w:r>
          <w:t>Yaya et al. (2022)</w:t>
        </w:r>
      </w:hyperlink>
      <w:r>
        <w:t xml:space="preserve"> helps investigate the conditional correlations and volatility between oil and precious metal prices. The DCC-MIDAS means the dynamic conditional correlation with mixed data sampling. This framework incorporates information from different frequencies of data, which is efficient when one variable is observed at a higher frequency than the others. </w:t>
      </w:r>
    </w:p>
    <w:p w14:paraId="12740E18" w14:textId="77777777" w:rsidR="00480E11" w:rsidRDefault="00000000">
      <w:pPr>
        <w:pStyle w:val="Heading3"/>
        <w:jc w:val="both"/>
      </w:pPr>
      <w:r>
        <w:t>2.2.2 Copula Models</w:t>
      </w:r>
    </w:p>
    <w:p w14:paraId="094D7B13" w14:textId="1B86D259" w:rsidR="00480E11" w:rsidRDefault="00000000">
      <w:pPr>
        <w:jc w:val="both"/>
      </w:pPr>
      <w:r>
        <w:t>Copula models can characterize the tail dependence structure between returns or risks of different commodities (</w:t>
      </w:r>
      <w:hyperlink r:id="rId50">
        <w:r>
          <w:t>Albulescu et al., 2020</w:t>
        </w:r>
      </w:hyperlink>
      <w:r>
        <w:t xml:space="preserve">; </w:t>
      </w:r>
      <w:hyperlink r:id="rId51">
        <w:r>
          <w:t>Kumar et al., 2021</w:t>
        </w:r>
      </w:hyperlink>
      <w:r>
        <w:t xml:space="preserve">; </w:t>
      </w:r>
      <w:hyperlink r:id="rId52">
        <w:r>
          <w:t>Koirala et al., 2015</w:t>
        </w:r>
      </w:hyperlink>
      <w:r>
        <w:t xml:space="preserve">; </w:t>
      </w:r>
      <w:hyperlink r:id="rId53">
        <w:r>
          <w:t>Adhikari &amp; Putnam, 2020</w:t>
        </w:r>
      </w:hyperlink>
      <w:r>
        <w:t xml:space="preserve">; </w:t>
      </w:r>
      <w:hyperlink r:id="rId54">
        <w:r>
          <w:t>Fousekis &amp; Grigoriadis, 2017</w:t>
        </w:r>
      </w:hyperlink>
      <w:r>
        <w:t xml:space="preserve">; </w:t>
      </w:r>
      <w:hyperlink r:id="rId55">
        <w:r>
          <w:t>Hanif et al., 2023</w:t>
        </w:r>
      </w:hyperlink>
      <w:r>
        <w:t xml:space="preserve">). The copula models have flexibility in modeling different types of dependencies and are particularly effective for handling tail risk which is helpful for understanding how extreme movements in one commodity affect other commodities (see </w:t>
      </w:r>
      <w:hyperlink r:id="rId56">
        <w:r>
          <w:t>Albulescu et al., 2020</w:t>
        </w:r>
      </w:hyperlink>
      <w:r>
        <w:t xml:space="preserve">). To model the asymmetric dependencies in the tails, </w:t>
      </w:r>
      <w:hyperlink r:id="rId57">
        <w:r>
          <w:t>Albulescu et al. (2020</w:t>
        </w:r>
      </w:hyperlink>
      <w:r>
        <w:t>)</w:t>
      </w:r>
      <w:r w:rsidR="006021AE" w:rsidRPr="006021AE">
        <w:t xml:space="preserve"> use</w:t>
      </w:r>
      <w:r>
        <w:t xml:space="preserve"> the Gumbel copula for upper-tail and </w:t>
      </w:r>
      <w:r w:rsidR="006021AE" w:rsidRPr="006021AE">
        <w:t xml:space="preserve">the </w:t>
      </w:r>
      <w:r>
        <w:t xml:space="preserve">Clayton copula for lower-tail dependence. Also, the rotated versions of both Gumbel and Clayton copulas are also considered to capture different dependency structures. Similar to them, </w:t>
      </w:r>
      <w:hyperlink r:id="rId58">
        <w:r>
          <w:t>Koirala et al. (2015</w:t>
        </w:r>
      </w:hyperlink>
      <w:r>
        <w:t xml:space="preserve">) also </w:t>
      </w:r>
      <w:r w:rsidR="006021AE" w:rsidRPr="006021AE">
        <w:t>use</w:t>
      </w:r>
      <w:r>
        <w:t xml:space="preserve"> </w:t>
      </w:r>
      <w:r w:rsidR="006021AE" w:rsidRPr="006021AE">
        <w:t>a</w:t>
      </w:r>
      <w:r>
        <w:t xml:space="preserve"> mixture of Clayton and Gumbel copulas. For the dependence parameters estimation, the researchers use the maximum likelihood method. The parameter is then translated into Kendall’s tau to provide a measure of correlation. There </w:t>
      </w:r>
      <w:r w:rsidR="006021AE" w:rsidRPr="006021AE">
        <w:t>exist</w:t>
      </w:r>
      <w:r>
        <w:t xml:space="preserve"> various copula models. </w:t>
      </w:r>
      <w:hyperlink r:id="rId59">
        <w:r>
          <w:t>Kumar et al.(2021</w:t>
        </w:r>
      </w:hyperlink>
      <w:r>
        <w:t xml:space="preserve">) </w:t>
      </w:r>
      <w:r w:rsidR="006021AE" w:rsidRPr="006021AE">
        <w:t>apply</w:t>
      </w:r>
      <w:r>
        <w:t xml:space="preserve"> a regime-switching copula approach to model the dependence between oil and agricultural commodity returns. The model considers two regimes of positive and negative correlation. By </w:t>
      </w:r>
      <w:r w:rsidR="006021AE" w:rsidRPr="006021AE">
        <w:t>calculating</w:t>
      </w:r>
      <w:r>
        <w:t xml:space="preserve"> the transition probabilities between positive and negative correlation regimes, the model helps </w:t>
      </w:r>
      <w:r w:rsidR="006021AE" w:rsidRPr="006021AE">
        <w:t>capture</w:t>
      </w:r>
      <w:r>
        <w:t xml:space="preserve"> the dynamic and asymmetric nature of market relationships, particularly under extreme conditions. </w:t>
      </w:r>
    </w:p>
    <w:p w14:paraId="7C773EE5" w14:textId="77777777" w:rsidR="00480E11" w:rsidRDefault="00000000">
      <w:pPr>
        <w:pStyle w:val="Heading3"/>
        <w:jc w:val="both"/>
      </w:pPr>
      <w:r>
        <w:t>2.2.3 Granger Causality Test</w:t>
      </w:r>
    </w:p>
    <w:p w14:paraId="05B4E3D6" w14:textId="6CDB317A" w:rsidR="00480E11" w:rsidRDefault="00000000">
      <w:pPr>
        <w:jc w:val="both"/>
      </w:pPr>
      <w:r>
        <w:t xml:space="preserve">The time-varying Granger causality test is another way to analyze how commodities impact each other's returns and volatility over different time periods. To identify the time-varying causal relationships, </w:t>
      </w:r>
      <w:hyperlink r:id="rId60">
        <w:r>
          <w:t>Mohamad and Fromentin (2023)</w:t>
        </w:r>
      </w:hyperlink>
      <w:r>
        <w:t xml:space="preserve"> apply the time-varying Granger causality methods to energy commodities and ethical investment indices. Additionally, in order to find the instability in causal relationships, forward expanding (FE), rolling (RO), and recursive evolving (RE) are also employed to incorporate the recursive estimation of Wald statistics from the Vector Autoregressive model, which helps in detecting changes in the intensity and direction of causality over time. Similarly, </w:t>
      </w:r>
      <w:hyperlink r:id="rId61">
        <w:r>
          <w:t>Shahzad et al. (2021)</w:t>
        </w:r>
      </w:hyperlink>
      <w:r>
        <w:t xml:space="preserve"> observe significant fluctuations in causal relationships as time changes and those variations are not always in line with stress time periods. Based on the basic Granger causality model, Meta-Granger addresses the heterogeneity by considering commodity type, sample period, and control variables </w:t>
      </w:r>
      <w:hyperlink r:id="rId62">
        <w:r>
          <w:t>(Wimmer et al., 2021)</w:t>
        </w:r>
      </w:hyperlink>
      <w:r>
        <w:t xml:space="preserve">. </w:t>
      </w:r>
      <w:r w:rsidR="006021AE" w:rsidRPr="006021AE">
        <w:t>Focusing</w:t>
      </w:r>
      <w:r>
        <w:t xml:space="preserve"> on the relationship between future and spot prices, </w:t>
      </w:r>
      <w:hyperlink r:id="rId63">
        <w:r>
          <w:t>Joseph et al.</w:t>
        </w:r>
      </w:hyperlink>
      <w:hyperlink r:id="rId64">
        <w:r>
          <w:t xml:space="preserve"> </w:t>
        </w:r>
      </w:hyperlink>
      <w:hyperlink r:id="rId65">
        <w:r>
          <w:t>(2014)</w:t>
        </w:r>
      </w:hyperlink>
      <w:r>
        <w:t xml:space="preserve"> study the bi-directional causalities between futures and spot prices of </w:t>
      </w:r>
      <w:r w:rsidR="00D341D1">
        <w:t>g</w:t>
      </w:r>
      <w:r>
        <w:t xml:space="preserve">old, </w:t>
      </w:r>
      <w:r w:rsidR="00D341D1">
        <w:t>s</w:t>
      </w:r>
      <w:r>
        <w:t xml:space="preserve">ilver, and </w:t>
      </w:r>
      <w:r w:rsidR="00D341D1">
        <w:t>c</w:t>
      </w:r>
      <w:r>
        <w:t xml:space="preserve">rude </w:t>
      </w:r>
      <w:r w:rsidR="00D341D1">
        <w:t>o</w:t>
      </w:r>
      <w:r>
        <w:t>il commodities. They use the frequency domain analysis to decompose the causality across different frequencies to capture the dynamics of causality over short, medium, and long-term periods.</w:t>
      </w:r>
    </w:p>
    <w:p w14:paraId="079539F9" w14:textId="77777777" w:rsidR="00480E11" w:rsidRDefault="00000000">
      <w:pPr>
        <w:pStyle w:val="Heading3"/>
        <w:jc w:val="both"/>
      </w:pPr>
      <w:r>
        <w:t>2.2.4 Quantile Methods</w:t>
      </w:r>
    </w:p>
    <w:p w14:paraId="02DDC5E6" w14:textId="388385BB" w:rsidR="00480E11" w:rsidRDefault="00000000">
      <w:pPr>
        <w:jc w:val="both"/>
      </w:pPr>
      <w:r>
        <w:t xml:space="preserve">Various quantile methods are available for assessing interconnectedness. In order to examine the directional influence between crude oil and precious metal prices across different quantiles, </w:t>
      </w:r>
      <w:hyperlink r:id="rId66">
        <w:r>
          <w:t>Shafiullah et al. (2021)</w:t>
        </w:r>
      </w:hyperlink>
      <w:r>
        <w:t xml:space="preserve"> </w:t>
      </w:r>
      <w:r w:rsidR="002223B6" w:rsidRPr="002223B6">
        <w:t>combine</w:t>
      </w:r>
      <w:r>
        <w:t xml:space="preserve"> the Granger </w:t>
      </w:r>
      <w:r w:rsidR="002223B6" w:rsidRPr="002223B6">
        <w:t>causality</w:t>
      </w:r>
      <w:r>
        <w:t xml:space="preserve"> with </w:t>
      </w:r>
      <w:r w:rsidR="002223B6" w:rsidRPr="002223B6">
        <w:t xml:space="preserve">the </w:t>
      </w:r>
      <w:r>
        <w:t xml:space="preserve">quantile method. The </w:t>
      </w:r>
      <w:r w:rsidR="002223B6" w:rsidRPr="002223B6">
        <w:t>researchers</w:t>
      </w:r>
      <w:r>
        <w:t xml:space="preserve"> first test for unit roots using the quantile unit root test as introduced by </w:t>
      </w:r>
      <w:hyperlink r:id="rId67">
        <w:r>
          <w:t>Galvao (2009)</w:t>
        </w:r>
      </w:hyperlink>
      <w:r>
        <w:t xml:space="preserve"> and then use the </w:t>
      </w:r>
      <w:hyperlink r:id="rId68">
        <w:r>
          <w:t>Kuriyama (2016)</w:t>
        </w:r>
      </w:hyperlink>
      <w:r>
        <w:t xml:space="preserve"> test to analyze the distributional aspects of quantile cointegration. Finally, they apply the </w:t>
      </w:r>
      <w:hyperlink r:id="rId69">
        <w:r>
          <w:t>Troster (2018)</w:t>
        </w:r>
      </w:hyperlink>
      <w:r>
        <w:t xml:space="preserve"> method to examine Granger causality in quantiles. These series of quintiles are helpful for enhancing robustness against outliers, nonlinearities, and distributional dynamics. Also, a widely used quantile method is </w:t>
      </w:r>
      <w:r w:rsidR="002223B6">
        <w:t xml:space="preserve">the </w:t>
      </w:r>
      <w:r>
        <w:t xml:space="preserve">quantile-on-quantile regression, which is useful for estimating correlation in divergent return quantiles </w:t>
      </w:r>
      <w:hyperlink r:id="rId70">
        <w:r>
          <w:t>(Duan et al., 2023; Naeem et al., 2022)</w:t>
        </w:r>
      </w:hyperlink>
      <w:r>
        <w:t xml:space="preserve">. </w:t>
      </w:r>
      <w:hyperlink r:id="rId71">
        <w:r>
          <w:t>Duan et al. (2023</w:t>
        </w:r>
      </w:hyperlink>
      <w:r>
        <w:t xml:space="preserve">) investigate the linkage between Shanghai crude oil futures prices and WTI crude oil futures prices. The researchers use nonparametric estimation to examine how the quantiles of independent variables affect the conditional quantiles of dependent variables. This quantile-on-quantile regression approach incorporates cross-validation to find a suitable bandwidth, which helps balance the </w:t>
      </w:r>
      <w:r w:rsidR="00437481">
        <w:t>residuals</w:t>
      </w:r>
      <w:r>
        <w:t xml:space="preserve"> and variance during the estimation and thus increases the robustness to capture dynamic patterns of information transmission between markets. Similar to them, </w:t>
      </w:r>
      <w:hyperlink r:id="rId72">
        <w:r>
          <w:t>Naeem et al. (2022)</w:t>
        </w:r>
      </w:hyperlink>
      <w:r>
        <w:t xml:space="preserve"> employ a bivariate quantile-on-quantile regression model to analyze the relationship between oil and gold prices on industrial metals and agricultural commodities across different time periods. The model captures the relationship during bearish, normal, and bullish market phases, representing lower, median, and higher quantiles respectively.</w:t>
      </w:r>
    </w:p>
    <w:p w14:paraId="10FDC420" w14:textId="77777777" w:rsidR="00480E11" w:rsidRDefault="00000000">
      <w:pPr>
        <w:jc w:val="both"/>
      </w:pPr>
      <w:r>
        <w:br w:type="page"/>
      </w:r>
    </w:p>
    <w:p w14:paraId="788BDA59" w14:textId="77777777" w:rsidR="00480E11" w:rsidRDefault="00000000">
      <w:pPr>
        <w:pStyle w:val="Heading1"/>
        <w:jc w:val="both"/>
      </w:pPr>
      <w:bookmarkStart w:id="5" w:name="_Toc166705766"/>
      <w:r>
        <w:t>3. Methodology</w:t>
      </w:r>
      <w:bookmarkEnd w:id="5"/>
    </w:p>
    <w:p w14:paraId="284475F4" w14:textId="7F445600" w:rsidR="00480E11" w:rsidRDefault="00000000">
      <w:pPr>
        <w:jc w:val="both"/>
      </w:pPr>
      <w:r>
        <w:t xml:space="preserve">In this section, we present our study's methodologies. First, we consider using the normal and student-t distribution to take into account the error features. Second, we construct multivariate GARCH models of diagonal VECH, diagonal BEKK, and CCC, which can help us model the time-varying volatility and correlation. Finally, we find the optimal investment weight based on seven portfolios: equal weight, mean-variance, minimum variance, minimum correlation, maximum </w:t>
      </w:r>
      <w:r w:rsidR="00D12A77" w:rsidRPr="00D12A77">
        <w:t>Sharpe</w:t>
      </w:r>
      <w:r>
        <w:t xml:space="preserve"> ratio, maximum </w:t>
      </w:r>
      <w:r w:rsidR="00D12A77">
        <w:t>S</w:t>
      </w:r>
      <w:r>
        <w:t xml:space="preserve">ortino ratio, </w:t>
      </w:r>
      <w:r w:rsidR="00D12A77" w:rsidRPr="00D12A77">
        <w:t xml:space="preserve">and </w:t>
      </w:r>
      <w:r>
        <w:t>m</w:t>
      </w:r>
      <w:r w:rsidR="00D12A77">
        <w:t>ea</w:t>
      </w:r>
      <w:r>
        <w:t xml:space="preserve">n-CVaR. By analyzing their performance, we can find the fittest portfolio </w:t>
      </w:r>
      <w:r w:rsidR="00F574B4">
        <w:t>over time</w:t>
      </w:r>
      <w:r>
        <w:t>.</w:t>
      </w:r>
    </w:p>
    <w:p w14:paraId="656DE196" w14:textId="77777777" w:rsidR="00480E11" w:rsidRDefault="00000000">
      <w:pPr>
        <w:pStyle w:val="Heading2"/>
        <w:jc w:val="both"/>
      </w:pPr>
      <w:bookmarkStart w:id="6" w:name="_Toc166705767"/>
      <w:r>
        <w:t>3.1 Data</w:t>
      </w:r>
      <w:bookmarkEnd w:id="6"/>
    </w:p>
    <w:p w14:paraId="4374306D" w14:textId="0B3DF228" w:rsidR="00480E11" w:rsidRDefault="00000000">
      <w:pPr>
        <w:jc w:val="both"/>
      </w:pPr>
      <w:r>
        <w:t>This study uses the daily</w:t>
      </w:r>
      <w:r w:rsidR="00C43584">
        <w:t xml:space="preserve"> commodity</w:t>
      </w:r>
      <w:r>
        <w:t xml:space="preserve"> closing price groups </w:t>
      </w:r>
      <w:r w:rsidR="004F1F57">
        <w:t xml:space="preserve">of </w:t>
      </w:r>
      <w:r>
        <w:t>metal, energy, and agricultural from 1991 to 2023 as shown in Table 1. There are 14 individual commodities, including gold, silver, palladium, platinum, copper, WTI crude oil, Brent crude oil, natural gas, corn, cocoa, cotton, coffee, lean hogs, and soybeans. The price data is obtained from Refinitiv Eikon. The commodity products are traded on different commodity markets and each market has its own unique focus. The New York Mercantile Exchange serves as the primary trading market for Palladium, Platinum, WTI Crude Oil, and Natural Gas, focusing on energy and precious metal sectors. Meanwhile, the Intercontinental Exchange</w:t>
      </w:r>
      <w:r w:rsidR="00B47617">
        <w:t xml:space="preserve"> </w:t>
      </w:r>
      <w:r w:rsidR="00E72094" w:rsidRPr="00E72094">
        <w:t>Europe</w:t>
      </w:r>
      <w:r>
        <w:t xml:space="preserve"> mainly exchanges Brent Crude Oil, Cocoa, Cotton, and Coffee, which is related to the global energy and agricultural markets. Corn and Soybeans are the center products </w:t>
      </w:r>
      <w:r w:rsidR="004F1F57" w:rsidRPr="004F1F57">
        <w:t>of</w:t>
      </w:r>
      <w:r>
        <w:t xml:space="preserve"> the Chicago Board of Trade, which focuses on food and fuel industries. Additionally, the Chicago Mercantile Exchange concentrates on the Lean Hogs trading.</w:t>
      </w:r>
    </w:p>
    <w:p w14:paraId="5B72A5E1" w14:textId="77777777" w:rsidR="00480E11" w:rsidRDefault="00000000" w:rsidP="00EF72A3">
      <w:pPr>
        <w:jc w:val="center"/>
      </w:pPr>
      <w:r>
        <w:t>Table 1: Commodity Data</w:t>
      </w:r>
    </w:p>
    <w:tbl>
      <w:tblPr>
        <w:tblStyle w:val="a"/>
        <w:tblW w:w="11520" w:type="dxa"/>
        <w:tblInd w:w="-990" w:type="dxa"/>
        <w:tblBorders>
          <w:top w:val="nil"/>
          <w:left w:val="nil"/>
          <w:bottom w:val="nil"/>
          <w:right w:val="nil"/>
          <w:insideH w:val="nil"/>
          <w:insideV w:val="nil"/>
        </w:tblBorders>
        <w:tblLayout w:type="fixed"/>
        <w:tblLook w:val="0600" w:firstRow="0" w:lastRow="0" w:firstColumn="0" w:lastColumn="0" w:noHBand="1" w:noVBand="1"/>
      </w:tblPr>
      <w:tblGrid>
        <w:gridCol w:w="1170"/>
        <w:gridCol w:w="1530"/>
        <w:gridCol w:w="1530"/>
        <w:gridCol w:w="7290"/>
      </w:tblGrid>
      <w:tr w:rsidR="00480E11" w14:paraId="54100976" w14:textId="77777777">
        <w:trPr>
          <w:trHeight w:val="315"/>
        </w:trPr>
        <w:tc>
          <w:tcPr>
            <w:tcW w:w="117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5852923C" w14:textId="77777777" w:rsidR="00480E11" w:rsidRDefault="00000000">
            <w:pPr>
              <w:widowControl w:val="0"/>
              <w:spacing w:after="0" w:line="276" w:lineRule="auto"/>
              <w:rPr>
                <w:rFonts w:ascii="Arial" w:eastAsia="Arial" w:hAnsi="Arial" w:cs="Arial"/>
                <w:sz w:val="20"/>
                <w:szCs w:val="20"/>
              </w:rPr>
            </w:pPr>
            <w:r>
              <w:rPr>
                <w:b/>
                <w:sz w:val="22"/>
                <w:szCs w:val="22"/>
              </w:rPr>
              <w:t>Group</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72C0FE68" w14:textId="77777777" w:rsidR="00480E11" w:rsidRDefault="00000000">
            <w:pPr>
              <w:widowControl w:val="0"/>
              <w:spacing w:after="0" w:line="276" w:lineRule="auto"/>
              <w:rPr>
                <w:rFonts w:ascii="Arial" w:eastAsia="Arial" w:hAnsi="Arial" w:cs="Arial"/>
                <w:sz w:val="20"/>
                <w:szCs w:val="20"/>
              </w:rPr>
            </w:pPr>
            <w:r>
              <w:rPr>
                <w:b/>
                <w:sz w:val="22"/>
                <w:szCs w:val="22"/>
              </w:rPr>
              <w:t>Commodity</w:t>
            </w:r>
          </w:p>
        </w:tc>
        <w:tc>
          <w:tcPr>
            <w:tcW w:w="153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70ECCA39" w14:textId="77777777" w:rsidR="00480E11" w:rsidRDefault="00000000">
            <w:pPr>
              <w:widowControl w:val="0"/>
              <w:spacing w:after="0" w:line="276" w:lineRule="auto"/>
              <w:rPr>
                <w:rFonts w:ascii="Arial" w:eastAsia="Arial" w:hAnsi="Arial" w:cs="Arial"/>
                <w:sz w:val="20"/>
                <w:szCs w:val="20"/>
              </w:rPr>
            </w:pPr>
            <w:r>
              <w:rPr>
                <w:b/>
                <w:sz w:val="22"/>
                <w:szCs w:val="22"/>
              </w:rPr>
              <w:t>Market</w:t>
            </w:r>
          </w:p>
        </w:tc>
        <w:tc>
          <w:tcPr>
            <w:tcW w:w="7290"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4716E305" w14:textId="77777777" w:rsidR="00480E11" w:rsidRDefault="00000000">
            <w:pPr>
              <w:widowControl w:val="0"/>
              <w:spacing w:after="0" w:line="276" w:lineRule="auto"/>
              <w:rPr>
                <w:rFonts w:ascii="Arial" w:eastAsia="Arial" w:hAnsi="Arial" w:cs="Arial"/>
                <w:sz w:val="20"/>
                <w:szCs w:val="20"/>
              </w:rPr>
            </w:pPr>
            <w:r>
              <w:rPr>
                <w:b/>
                <w:sz w:val="22"/>
                <w:szCs w:val="22"/>
              </w:rPr>
              <w:t>Full Name</w:t>
            </w:r>
          </w:p>
        </w:tc>
      </w:tr>
      <w:tr w:rsidR="00480E11" w14:paraId="504DA984" w14:textId="77777777">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0647DB1F" w14:textId="77777777" w:rsidR="00480E11" w:rsidRDefault="00000000">
            <w:pPr>
              <w:widowControl w:val="0"/>
              <w:spacing w:after="0" w:line="276" w:lineRule="auto"/>
              <w:rPr>
                <w:sz w:val="22"/>
                <w:szCs w:val="22"/>
              </w:rPr>
            </w:pPr>
            <w:r>
              <w:rPr>
                <w:sz w:val="22"/>
                <w:szCs w:val="22"/>
              </w:rPr>
              <w:t>Metal</w:t>
            </w:r>
          </w:p>
        </w:tc>
        <w:tc>
          <w:tcPr>
            <w:tcW w:w="1530" w:type="dxa"/>
            <w:tcBorders>
              <w:top w:val="nil"/>
              <w:left w:val="nil"/>
              <w:bottom w:val="nil"/>
              <w:right w:val="nil"/>
            </w:tcBorders>
            <w:tcMar>
              <w:top w:w="40" w:type="dxa"/>
              <w:left w:w="40" w:type="dxa"/>
              <w:bottom w:w="40" w:type="dxa"/>
              <w:right w:w="40" w:type="dxa"/>
            </w:tcMar>
            <w:vAlign w:val="center"/>
          </w:tcPr>
          <w:p w14:paraId="0DADF348" w14:textId="77777777" w:rsidR="00480E11" w:rsidRDefault="00000000">
            <w:pPr>
              <w:widowControl w:val="0"/>
              <w:spacing w:after="0" w:line="276" w:lineRule="auto"/>
              <w:rPr>
                <w:rFonts w:ascii="Arial" w:eastAsia="Arial" w:hAnsi="Arial" w:cs="Arial"/>
                <w:sz w:val="20"/>
                <w:szCs w:val="20"/>
              </w:rPr>
            </w:pPr>
            <w:r>
              <w:rPr>
                <w:sz w:val="22"/>
                <w:szCs w:val="22"/>
              </w:rPr>
              <w:t>Gold</w:t>
            </w:r>
          </w:p>
        </w:tc>
        <w:tc>
          <w:tcPr>
            <w:tcW w:w="1530" w:type="dxa"/>
            <w:tcBorders>
              <w:top w:val="nil"/>
              <w:left w:val="nil"/>
              <w:bottom w:val="nil"/>
              <w:right w:val="nil"/>
            </w:tcBorders>
            <w:tcMar>
              <w:top w:w="40" w:type="dxa"/>
              <w:left w:w="40" w:type="dxa"/>
              <w:bottom w:w="40" w:type="dxa"/>
              <w:right w:w="40" w:type="dxa"/>
            </w:tcMar>
            <w:vAlign w:val="center"/>
          </w:tcPr>
          <w:p w14:paraId="655ABB6A" w14:textId="77777777" w:rsidR="00480E11" w:rsidRDefault="00000000">
            <w:pPr>
              <w:widowControl w:val="0"/>
              <w:spacing w:after="0"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tcMar>
              <w:top w:w="40" w:type="dxa"/>
              <w:left w:w="40" w:type="dxa"/>
              <w:bottom w:w="40" w:type="dxa"/>
              <w:right w:w="40" w:type="dxa"/>
            </w:tcMar>
            <w:vAlign w:val="center"/>
          </w:tcPr>
          <w:p w14:paraId="64D4BC6E" w14:textId="77777777" w:rsidR="00480E11" w:rsidRDefault="00000000">
            <w:pPr>
              <w:widowControl w:val="0"/>
              <w:spacing w:after="0" w:line="276" w:lineRule="auto"/>
              <w:rPr>
                <w:rFonts w:ascii="Arial" w:eastAsia="Arial" w:hAnsi="Arial" w:cs="Arial"/>
                <w:sz w:val="20"/>
                <w:szCs w:val="20"/>
              </w:rPr>
            </w:pPr>
            <w:r>
              <w:rPr>
                <w:sz w:val="22"/>
                <w:szCs w:val="22"/>
              </w:rPr>
              <w:t>COMEX Gold Composite Commodity Future Continuation 1</w:t>
            </w:r>
          </w:p>
        </w:tc>
      </w:tr>
      <w:tr w:rsidR="00480E11" w14:paraId="5F883727" w14:textId="77777777">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4E6D19D3"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A848A92" w14:textId="77777777" w:rsidR="00480E11" w:rsidRDefault="00000000">
            <w:pPr>
              <w:widowControl w:val="0"/>
              <w:spacing w:after="0" w:line="276" w:lineRule="auto"/>
              <w:rPr>
                <w:rFonts w:ascii="Arial" w:eastAsia="Arial" w:hAnsi="Arial" w:cs="Arial"/>
                <w:sz w:val="20"/>
                <w:szCs w:val="20"/>
              </w:rPr>
            </w:pPr>
            <w:r>
              <w:rPr>
                <w:sz w:val="22"/>
                <w:szCs w:val="22"/>
              </w:rPr>
              <w:t>Silver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9C4D17D" w14:textId="77777777" w:rsidR="00480E11" w:rsidRDefault="00000000">
            <w:pPr>
              <w:widowControl w:val="0"/>
              <w:spacing w:after="0"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EA58911" w14:textId="77777777" w:rsidR="00480E11" w:rsidRDefault="00000000">
            <w:pPr>
              <w:widowControl w:val="0"/>
              <w:spacing w:after="0" w:line="276" w:lineRule="auto"/>
              <w:rPr>
                <w:rFonts w:ascii="Arial" w:eastAsia="Arial" w:hAnsi="Arial" w:cs="Arial"/>
                <w:sz w:val="20"/>
                <w:szCs w:val="20"/>
              </w:rPr>
            </w:pPr>
            <w:r>
              <w:rPr>
                <w:sz w:val="22"/>
                <w:szCs w:val="22"/>
              </w:rPr>
              <w:t>COMEX Silver Composite Commodity Future</w:t>
            </w:r>
          </w:p>
        </w:tc>
      </w:tr>
      <w:tr w:rsidR="00480E11" w14:paraId="6611E5EB" w14:textId="77777777">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07B8B541"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40E292C" w14:textId="77777777" w:rsidR="00480E11" w:rsidRDefault="00000000">
            <w:pPr>
              <w:widowControl w:val="0"/>
              <w:spacing w:after="0" w:line="276" w:lineRule="auto"/>
              <w:rPr>
                <w:rFonts w:ascii="Arial" w:eastAsia="Arial" w:hAnsi="Arial" w:cs="Arial"/>
                <w:sz w:val="20"/>
                <w:szCs w:val="20"/>
              </w:rPr>
            </w:pPr>
            <w:r>
              <w:rPr>
                <w:sz w:val="22"/>
                <w:szCs w:val="22"/>
              </w:rPr>
              <w:t>Palladium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3E4E5D6B" w14:textId="77777777" w:rsidR="00480E11" w:rsidRDefault="00000000">
            <w:pPr>
              <w:widowControl w:val="0"/>
              <w:spacing w:after="0"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5F62A2F1" w14:textId="77777777" w:rsidR="00480E11" w:rsidRDefault="00000000">
            <w:pPr>
              <w:widowControl w:val="0"/>
              <w:spacing w:after="0" w:line="276" w:lineRule="auto"/>
              <w:rPr>
                <w:rFonts w:ascii="Arial" w:eastAsia="Arial" w:hAnsi="Arial" w:cs="Arial"/>
                <w:sz w:val="20"/>
                <w:szCs w:val="20"/>
              </w:rPr>
            </w:pPr>
            <w:r>
              <w:rPr>
                <w:sz w:val="22"/>
                <w:szCs w:val="22"/>
              </w:rPr>
              <w:t>NYMEX Palladium Electronic Commodity Future Continuation 1</w:t>
            </w:r>
          </w:p>
        </w:tc>
      </w:tr>
      <w:tr w:rsidR="00480E11" w14:paraId="250BDAF3" w14:textId="77777777">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57AE5790"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6621E6E" w14:textId="77777777" w:rsidR="00480E11" w:rsidRDefault="00000000">
            <w:pPr>
              <w:widowControl w:val="0"/>
              <w:spacing w:after="0" w:line="276" w:lineRule="auto"/>
              <w:rPr>
                <w:rFonts w:ascii="Arial" w:eastAsia="Arial" w:hAnsi="Arial" w:cs="Arial"/>
                <w:sz w:val="20"/>
                <w:szCs w:val="20"/>
              </w:rPr>
            </w:pPr>
            <w:r>
              <w:rPr>
                <w:sz w:val="22"/>
                <w:szCs w:val="22"/>
              </w:rPr>
              <w:t>Platinum</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D364A1D" w14:textId="77777777" w:rsidR="00480E11" w:rsidRDefault="00000000">
            <w:pPr>
              <w:widowControl w:val="0"/>
              <w:spacing w:after="0" w:line="276" w:lineRule="auto"/>
              <w:rPr>
                <w:rFonts w:ascii="Arial" w:eastAsia="Arial" w:hAnsi="Arial" w:cs="Arial"/>
                <w:sz w:val="20"/>
                <w:szCs w:val="20"/>
              </w:rPr>
            </w:pPr>
            <w:r>
              <w:rPr>
                <w:sz w:val="22"/>
                <w:szCs w:val="22"/>
              </w:rPr>
              <w:t>ICE Europe</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76C60071" w14:textId="77777777" w:rsidR="00480E11" w:rsidRDefault="00000000">
            <w:pPr>
              <w:widowControl w:val="0"/>
              <w:spacing w:after="0" w:line="276" w:lineRule="auto"/>
              <w:rPr>
                <w:rFonts w:ascii="Arial" w:eastAsia="Arial" w:hAnsi="Arial" w:cs="Arial"/>
                <w:sz w:val="20"/>
                <w:szCs w:val="20"/>
              </w:rPr>
            </w:pPr>
            <w:r>
              <w:rPr>
                <w:sz w:val="22"/>
                <w:szCs w:val="22"/>
              </w:rPr>
              <w:t>ICE Europe Brent Crude Electronic Energy Future</w:t>
            </w:r>
          </w:p>
        </w:tc>
      </w:tr>
      <w:tr w:rsidR="00480E11" w14:paraId="68095C88" w14:textId="77777777">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52DB6555"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5CB4B8A" w14:textId="77777777" w:rsidR="00480E11" w:rsidRDefault="00000000">
            <w:pPr>
              <w:widowControl w:val="0"/>
              <w:spacing w:after="0" w:line="276" w:lineRule="auto"/>
              <w:rPr>
                <w:rFonts w:ascii="Arial" w:eastAsia="Arial" w:hAnsi="Arial" w:cs="Arial"/>
                <w:sz w:val="20"/>
                <w:szCs w:val="20"/>
              </w:rPr>
            </w:pPr>
            <w:r>
              <w:rPr>
                <w:sz w:val="22"/>
                <w:szCs w:val="22"/>
              </w:rPr>
              <w:t>Copper</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31DC8EC" w14:textId="77777777" w:rsidR="00480E11" w:rsidRDefault="00000000">
            <w:pPr>
              <w:widowControl w:val="0"/>
              <w:spacing w:after="0" w:line="276" w:lineRule="auto"/>
              <w:rPr>
                <w:rFonts w:ascii="Arial" w:eastAsia="Arial" w:hAnsi="Arial" w:cs="Arial"/>
                <w:sz w:val="20"/>
                <w:szCs w:val="20"/>
              </w:rPr>
            </w:pPr>
            <w:r>
              <w:rPr>
                <w:sz w:val="22"/>
                <w:szCs w:val="22"/>
              </w:rPr>
              <w:t>CBoT</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48B1CCC4" w14:textId="77777777" w:rsidR="00480E11" w:rsidRDefault="00000000">
            <w:pPr>
              <w:widowControl w:val="0"/>
              <w:spacing w:after="0" w:line="276" w:lineRule="auto"/>
              <w:rPr>
                <w:rFonts w:ascii="Arial" w:eastAsia="Arial" w:hAnsi="Arial" w:cs="Arial"/>
                <w:sz w:val="20"/>
                <w:szCs w:val="20"/>
              </w:rPr>
            </w:pPr>
            <w:r>
              <w:rPr>
                <w:sz w:val="22"/>
                <w:szCs w:val="22"/>
              </w:rPr>
              <w:t>CBoT Corn Composite Commodity Future</w:t>
            </w:r>
          </w:p>
        </w:tc>
      </w:tr>
      <w:tr w:rsidR="00480E11" w14:paraId="68DFE6D5" w14:textId="77777777">
        <w:trPr>
          <w:trHeight w:val="315"/>
        </w:trPr>
        <w:tc>
          <w:tcPr>
            <w:tcW w:w="1170" w:type="dxa"/>
            <w:vMerge w:val="restart"/>
            <w:tcBorders>
              <w:top w:val="nil"/>
              <w:left w:val="nil"/>
              <w:bottom w:val="nil"/>
              <w:right w:val="nil"/>
            </w:tcBorders>
            <w:shd w:val="clear" w:color="auto" w:fill="auto"/>
            <w:tcMar>
              <w:top w:w="40" w:type="dxa"/>
              <w:left w:w="40" w:type="dxa"/>
              <w:bottom w:w="40" w:type="dxa"/>
              <w:right w:w="40" w:type="dxa"/>
            </w:tcMar>
          </w:tcPr>
          <w:p w14:paraId="4A2FCBBC" w14:textId="77777777" w:rsidR="00480E11" w:rsidRDefault="00000000">
            <w:pPr>
              <w:widowControl w:val="0"/>
              <w:spacing w:after="0" w:line="276" w:lineRule="auto"/>
              <w:rPr>
                <w:sz w:val="22"/>
                <w:szCs w:val="22"/>
              </w:rPr>
            </w:pPr>
            <w:r>
              <w:rPr>
                <w:sz w:val="22"/>
                <w:szCs w:val="22"/>
              </w:rPr>
              <w:t>Energy</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6A7CE94" w14:textId="77777777" w:rsidR="00480E11" w:rsidRDefault="00000000">
            <w:pPr>
              <w:widowControl w:val="0"/>
              <w:spacing w:after="0" w:line="276" w:lineRule="auto"/>
              <w:rPr>
                <w:rFonts w:ascii="Arial" w:eastAsia="Arial" w:hAnsi="Arial" w:cs="Arial"/>
                <w:sz w:val="20"/>
                <w:szCs w:val="20"/>
              </w:rPr>
            </w:pPr>
            <w:r>
              <w:rPr>
                <w:sz w:val="22"/>
                <w:szCs w:val="22"/>
              </w:rPr>
              <w:t>WTI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EACD118" w14:textId="77777777" w:rsidR="00480E11" w:rsidRDefault="00000000">
            <w:pPr>
              <w:widowControl w:val="0"/>
              <w:spacing w:after="0"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16DE4A95" w14:textId="77777777" w:rsidR="00480E11" w:rsidRDefault="00000000">
            <w:pPr>
              <w:widowControl w:val="0"/>
              <w:spacing w:after="0" w:line="276" w:lineRule="auto"/>
              <w:rPr>
                <w:rFonts w:ascii="Arial" w:eastAsia="Arial" w:hAnsi="Arial" w:cs="Arial"/>
                <w:sz w:val="20"/>
                <w:szCs w:val="20"/>
              </w:rPr>
            </w:pPr>
            <w:r>
              <w:rPr>
                <w:sz w:val="22"/>
                <w:szCs w:val="22"/>
              </w:rPr>
              <w:t>NYMEX Light Sweet Crude Oil (WTI) Electronic Energy Future Continuation 1</w:t>
            </w:r>
          </w:p>
        </w:tc>
      </w:tr>
      <w:tr w:rsidR="00480E11" w14:paraId="0FC761F7" w14:textId="77777777">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70A755C3"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E92189E" w14:textId="77777777" w:rsidR="00480E11" w:rsidRDefault="00000000">
            <w:pPr>
              <w:widowControl w:val="0"/>
              <w:spacing w:after="0" w:line="276" w:lineRule="auto"/>
              <w:rPr>
                <w:rFonts w:ascii="Arial" w:eastAsia="Arial" w:hAnsi="Arial" w:cs="Arial"/>
                <w:sz w:val="20"/>
                <w:szCs w:val="20"/>
              </w:rPr>
            </w:pPr>
            <w:r>
              <w:rPr>
                <w:sz w:val="22"/>
                <w:szCs w:val="22"/>
              </w:rPr>
              <w:t>Brent Crude Oil</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5C74C21" w14:textId="77777777" w:rsidR="00480E11" w:rsidRDefault="00000000">
            <w:pPr>
              <w:widowControl w:val="0"/>
              <w:spacing w:after="0" w:line="276" w:lineRule="auto"/>
              <w:rPr>
                <w:rFonts w:ascii="Arial" w:eastAsia="Arial" w:hAnsi="Arial" w:cs="Arial"/>
                <w:sz w:val="20"/>
                <w:szCs w:val="20"/>
              </w:rPr>
            </w:pPr>
            <w:r>
              <w:rPr>
                <w:sz w:val="22"/>
                <w:szCs w:val="22"/>
              </w:rPr>
              <w:t>CBoT</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9C04296" w14:textId="77777777" w:rsidR="00480E11" w:rsidRDefault="00000000">
            <w:pPr>
              <w:widowControl w:val="0"/>
              <w:spacing w:after="0" w:line="276" w:lineRule="auto"/>
              <w:rPr>
                <w:rFonts w:ascii="Arial" w:eastAsia="Arial" w:hAnsi="Arial" w:cs="Arial"/>
                <w:sz w:val="20"/>
                <w:szCs w:val="20"/>
              </w:rPr>
            </w:pPr>
            <w:r>
              <w:rPr>
                <w:sz w:val="22"/>
                <w:szCs w:val="22"/>
              </w:rPr>
              <w:t>CBoT Soybeans Composite Commodity Future Continuation 1</w:t>
            </w:r>
          </w:p>
        </w:tc>
      </w:tr>
      <w:tr w:rsidR="00480E11" w14:paraId="301AC913" w14:textId="77777777">
        <w:trPr>
          <w:trHeight w:val="315"/>
        </w:trPr>
        <w:tc>
          <w:tcPr>
            <w:tcW w:w="1170" w:type="dxa"/>
            <w:vMerge/>
            <w:tcBorders>
              <w:top w:val="nil"/>
              <w:left w:val="nil"/>
              <w:bottom w:val="nil"/>
              <w:right w:val="nil"/>
            </w:tcBorders>
            <w:shd w:val="clear" w:color="auto" w:fill="auto"/>
            <w:tcMar>
              <w:top w:w="100" w:type="dxa"/>
              <w:left w:w="100" w:type="dxa"/>
              <w:bottom w:w="100" w:type="dxa"/>
              <w:right w:w="100" w:type="dxa"/>
            </w:tcMar>
          </w:tcPr>
          <w:p w14:paraId="6F0602AA"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54A12DF7" w14:textId="77777777" w:rsidR="00480E11" w:rsidRDefault="00000000">
            <w:pPr>
              <w:widowControl w:val="0"/>
              <w:spacing w:after="0" w:line="276" w:lineRule="auto"/>
              <w:rPr>
                <w:rFonts w:ascii="Arial" w:eastAsia="Arial" w:hAnsi="Arial" w:cs="Arial"/>
                <w:sz w:val="20"/>
                <w:szCs w:val="20"/>
              </w:rPr>
            </w:pPr>
            <w:r>
              <w:rPr>
                <w:sz w:val="22"/>
                <w:szCs w:val="22"/>
              </w:rPr>
              <w:t>Natural Gas</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66D4076" w14:textId="77777777" w:rsidR="00480E11" w:rsidRDefault="00000000">
            <w:pPr>
              <w:widowControl w:val="0"/>
              <w:spacing w:after="0" w:line="276" w:lineRule="auto"/>
              <w:rPr>
                <w:rFonts w:ascii="Arial" w:eastAsia="Arial" w:hAnsi="Arial" w:cs="Arial"/>
                <w:sz w:val="20"/>
                <w:szCs w:val="20"/>
              </w:rPr>
            </w:pPr>
            <w:r>
              <w:rPr>
                <w:sz w:val="22"/>
                <w:szCs w:val="22"/>
              </w:rPr>
              <w:t>COMEX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684EBFA3" w14:textId="77777777" w:rsidR="00480E11" w:rsidRDefault="00000000">
            <w:pPr>
              <w:widowControl w:val="0"/>
              <w:spacing w:after="0" w:line="276" w:lineRule="auto"/>
              <w:rPr>
                <w:rFonts w:ascii="Arial" w:eastAsia="Arial" w:hAnsi="Arial" w:cs="Arial"/>
                <w:sz w:val="20"/>
                <w:szCs w:val="20"/>
              </w:rPr>
            </w:pPr>
            <w:r>
              <w:rPr>
                <w:sz w:val="22"/>
                <w:szCs w:val="22"/>
              </w:rPr>
              <w:t>COMEX Copper Composite Commodity Future Continuation 1</w:t>
            </w:r>
          </w:p>
        </w:tc>
      </w:tr>
      <w:tr w:rsidR="00480E11" w14:paraId="33D1DF3C" w14:textId="77777777">
        <w:trPr>
          <w:trHeight w:val="315"/>
        </w:trPr>
        <w:tc>
          <w:tcPr>
            <w:tcW w:w="1170" w:type="dxa"/>
            <w:vMerge w:val="restart"/>
            <w:tcBorders>
              <w:top w:val="nil"/>
              <w:left w:val="nil"/>
              <w:bottom w:val="single" w:sz="4" w:space="0" w:color="000000"/>
              <w:right w:val="nil"/>
            </w:tcBorders>
            <w:shd w:val="clear" w:color="auto" w:fill="auto"/>
            <w:tcMar>
              <w:top w:w="40" w:type="dxa"/>
              <w:left w:w="40" w:type="dxa"/>
              <w:bottom w:w="40" w:type="dxa"/>
              <w:right w:w="40" w:type="dxa"/>
            </w:tcMar>
          </w:tcPr>
          <w:p w14:paraId="0EA0B738" w14:textId="77777777" w:rsidR="00480E11" w:rsidRDefault="00000000">
            <w:pPr>
              <w:widowControl w:val="0"/>
              <w:spacing w:after="0" w:line="276" w:lineRule="auto"/>
              <w:rPr>
                <w:sz w:val="22"/>
                <w:szCs w:val="22"/>
              </w:rPr>
            </w:pPr>
            <w:r>
              <w:rPr>
                <w:sz w:val="22"/>
                <w:szCs w:val="22"/>
              </w:rPr>
              <w:t>Agriculture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6A1A69A" w14:textId="77777777" w:rsidR="00480E11" w:rsidRDefault="00000000">
            <w:pPr>
              <w:widowControl w:val="0"/>
              <w:spacing w:after="0" w:line="276" w:lineRule="auto"/>
              <w:rPr>
                <w:rFonts w:ascii="Arial" w:eastAsia="Arial" w:hAnsi="Arial" w:cs="Arial"/>
                <w:sz w:val="20"/>
                <w:szCs w:val="20"/>
              </w:rPr>
            </w:pPr>
            <w:r>
              <w:rPr>
                <w:sz w:val="22"/>
                <w:szCs w:val="22"/>
              </w:rPr>
              <w:t>Corn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428131D2" w14:textId="77777777" w:rsidR="00480E11" w:rsidRDefault="00000000">
            <w:pPr>
              <w:widowControl w:val="0"/>
              <w:spacing w:after="0"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716110E4" w14:textId="77777777" w:rsidR="00480E11" w:rsidRDefault="00000000">
            <w:pPr>
              <w:widowControl w:val="0"/>
              <w:spacing w:after="0" w:line="276" w:lineRule="auto"/>
              <w:rPr>
                <w:rFonts w:ascii="Arial" w:eastAsia="Arial" w:hAnsi="Arial" w:cs="Arial"/>
                <w:sz w:val="20"/>
                <w:szCs w:val="20"/>
              </w:rPr>
            </w:pPr>
            <w:r>
              <w:rPr>
                <w:sz w:val="22"/>
                <w:szCs w:val="22"/>
              </w:rPr>
              <w:t>ICE-US Cocoa Futures Electronic Commodity Future Continuation 1</w:t>
            </w:r>
          </w:p>
        </w:tc>
      </w:tr>
      <w:tr w:rsidR="00480E11" w14:paraId="4658451F" w14:textId="77777777">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156DC390"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2EF418B8" w14:textId="77777777" w:rsidR="00480E11" w:rsidRDefault="00000000">
            <w:pPr>
              <w:widowControl w:val="0"/>
              <w:spacing w:after="0" w:line="276" w:lineRule="auto"/>
              <w:rPr>
                <w:rFonts w:ascii="Arial" w:eastAsia="Arial" w:hAnsi="Arial" w:cs="Arial"/>
                <w:sz w:val="20"/>
                <w:szCs w:val="20"/>
              </w:rPr>
            </w:pPr>
            <w:r>
              <w:rPr>
                <w:sz w:val="22"/>
                <w:szCs w:val="22"/>
              </w:rPr>
              <w:t>Cocoa</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5652787" w14:textId="77777777" w:rsidR="00480E11" w:rsidRDefault="00000000">
            <w:pPr>
              <w:widowControl w:val="0"/>
              <w:spacing w:after="0"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74AA5A54" w14:textId="77777777" w:rsidR="00480E11" w:rsidRDefault="00000000">
            <w:pPr>
              <w:widowControl w:val="0"/>
              <w:spacing w:after="0" w:line="276" w:lineRule="auto"/>
              <w:rPr>
                <w:rFonts w:ascii="Arial" w:eastAsia="Arial" w:hAnsi="Arial" w:cs="Arial"/>
                <w:sz w:val="20"/>
                <w:szCs w:val="20"/>
              </w:rPr>
            </w:pPr>
            <w:r>
              <w:rPr>
                <w:sz w:val="22"/>
                <w:szCs w:val="22"/>
              </w:rPr>
              <w:t>ICE-US Coffee C Futures Electronic Commodity Future Continuation 1</w:t>
            </w:r>
          </w:p>
        </w:tc>
      </w:tr>
      <w:tr w:rsidR="00480E11" w14:paraId="6B059314" w14:textId="77777777">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436092CC"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6AEC8276" w14:textId="77777777" w:rsidR="00480E11" w:rsidRDefault="00000000">
            <w:pPr>
              <w:widowControl w:val="0"/>
              <w:spacing w:after="0" w:line="276" w:lineRule="auto"/>
              <w:rPr>
                <w:rFonts w:ascii="Arial" w:eastAsia="Arial" w:hAnsi="Arial" w:cs="Arial"/>
                <w:sz w:val="20"/>
                <w:szCs w:val="20"/>
              </w:rPr>
            </w:pPr>
            <w:r>
              <w:rPr>
                <w:sz w:val="22"/>
                <w:szCs w:val="22"/>
              </w:rPr>
              <w:t>Cotton</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0E55C75B" w14:textId="77777777" w:rsidR="00480E11" w:rsidRDefault="00000000">
            <w:pPr>
              <w:widowControl w:val="0"/>
              <w:spacing w:after="0" w:line="276" w:lineRule="auto"/>
              <w:rPr>
                <w:rFonts w:ascii="Arial" w:eastAsia="Arial" w:hAnsi="Arial" w:cs="Arial"/>
                <w:sz w:val="20"/>
                <w:szCs w:val="20"/>
              </w:rPr>
            </w:pPr>
            <w:r>
              <w:rPr>
                <w:sz w:val="22"/>
                <w:szCs w:val="22"/>
              </w:rPr>
              <w:t>ICE-US</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0BCDA37C" w14:textId="77777777" w:rsidR="00480E11" w:rsidRDefault="00000000">
            <w:pPr>
              <w:widowControl w:val="0"/>
              <w:spacing w:after="0" w:line="276" w:lineRule="auto"/>
              <w:rPr>
                <w:rFonts w:ascii="Arial" w:eastAsia="Arial" w:hAnsi="Arial" w:cs="Arial"/>
                <w:sz w:val="20"/>
                <w:szCs w:val="20"/>
              </w:rPr>
            </w:pPr>
            <w:r>
              <w:rPr>
                <w:sz w:val="22"/>
                <w:szCs w:val="22"/>
              </w:rPr>
              <w:t>ICE-US Cotton No. 2 Futures Electronic Commodity Future Continuation 1</w:t>
            </w:r>
          </w:p>
        </w:tc>
      </w:tr>
      <w:tr w:rsidR="00480E11" w14:paraId="01BBF2EC" w14:textId="77777777">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4FE84799"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1D0F90A0" w14:textId="77777777" w:rsidR="00480E11" w:rsidRDefault="00000000">
            <w:pPr>
              <w:widowControl w:val="0"/>
              <w:spacing w:after="0" w:line="276" w:lineRule="auto"/>
              <w:rPr>
                <w:rFonts w:ascii="Arial" w:eastAsia="Arial" w:hAnsi="Arial" w:cs="Arial"/>
                <w:sz w:val="20"/>
                <w:szCs w:val="20"/>
              </w:rPr>
            </w:pPr>
            <w:r>
              <w:rPr>
                <w:sz w:val="22"/>
                <w:szCs w:val="22"/>
              </w:rPr>
              <w:t>Coffee</w:t>
            </w:r>
          </w:p>
        </w:tc>
        <w:tc>
          <w:tcPr>
            <w:tcW w:w="1530" w:type="dxa"/>
            <w:tcBorders>
              <w:top w:val="nil"/>
              <w:left w:val="nil"/>
              <w:bottom w:val="nil"/>
              <w:right w:val="nil"/>
            </w:tcBorders>
            <w:shd w:val="clear" w:color="auto" w:fill="auto"/>
            <w:tcMar>
              <w:top w:w="40" w:type="dxa"/>
              <w:left w:w="40" w:type="dxa"/>
              <w:bottom w:w="40" w:type="dxa"/>
              <w:right w:w="40" w:type="dxa"/>
            </w:tcMar>
            <w:vAlign w:val="center"/>
          </w:tcPr>
          <w:p w14:paraId="792C0E02" w14:textId="77777777" w:rsidR="00480E11" w:rsidRDefault="00000000">
            <w:pPr>
              <w:widowControl w:val="0"/>
              <w:spacing w:after="0"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center"/>
          </w:tcPr>
          <w:p w14:paraId="2A22524C" w14:textId="77777777" w:rsidR="00480E11" w:rsidRDefault="00000000">
            <w:pPr>
              <w:widowControl w:val="0"/>
              <w:spacing w:after="0" w:line="276" w:lineRule="auto"/>
              <w:rPr>
                <w:rFonts w:ascii="Arial" w:eastAsia="Arial" w:hAnsi="Arial" w:cs="Arial"/>
                <w:sz w:val="20"/>
                <w:szCs w:val="20"/>
              </w:rPr>
            </w:pPr>
            <w:r>
              <w:rPr>
                <w:sz w:val="22"/>
                <w:szCs w:val="22"/>
              </w:rPr>
              <w:t>NYMEX Platinum Electronic Commodity Future Continuation 1</w:t>
            </w:r>
          </w:p>
        </w:tc>
      </w:tr>
      <w:tr w:rsidR="00480E11" w14:paraId="120EAE8B" w14:textId="77777777">
        <w:trPr>
          <w:trHeight w:val="315"/>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2262FBE3"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4A65F721" w14:textId="77777777" w:rsidR="00480E11" w:rsidRDefault="00000000">
            <w:pPr>
              <w:widowControl w:val="0"/>
              <w:spacing w:after="0" w:line="276" w:lineRule="auto"/>
              <w:rPr>
                <w:rFonts w:ascii="Arial" w:eastAsia="Arial" w:hAnsi="Arial" w:cs="Arial"/>
                <w:sz w:val="20"/>
                <w:szCs w:val="20"/>
              </w:rPr>
            </w:pPr>
            <w:r>
              <w:rPr>
                <w:sz w:val="22"/>
                <w:szCs w:val="22"/>
              </w:rPr>
              <w:t>Lean Hogs</w:t>
            </w:r>
          </w:p>
        </w:tc>
        <w:tc>
          <w:tcPr>
            <w:tcW w:w="1530" w:type="dxa"/>
            <w:tcBorders>
              <w:top w:val="nil"/>
              <w:left w:val="nil"/>
              <w:bottom w:val="nil"/>
              <w:right w:val="nil"/>
            </w:tcBorders>
            <w:shd w:val="clear" w:color="auto" w:fill="auto"/>
            <w:tcMar>
              <w:top w:w="40" w:type="dxa"/>
              <w:left w:w="40" w:type="dxa"/>
              <w:bottom w:w="40" w:type="dxa"/>
              <w:right w:w="40" w:type="dxa"/>
            </w:tcMar>
            <w:vAlign w:val="bottom"/>
          </w:tcPr>
          <w:p w14:paraId="44C6784B" w14:textId="77777777" w:rsidR="00480E11" w:rsidRDefault="00000000">
            <w:pPr>
              <w:widowControl w:val="0"/>
              <w:spacing w:after="0" w:line="276" w:lineRule="auto"/>
              <w:rPr>
                <w:rFonts w:ascii="Arial" w:eastAsia="Arial" w:hAnsi="Arial" w:cs="Arial"/>
                <w:sz w:val="20"/>
                <w:szCs w:val="20"/>
              </w:rPr>
            </w:pPr>
            <w:r>
              <w:rPr>
                <w:sz w:val="22"/>
                <w:szCs w:val="22"/>
              </w:rPr>
              <w:t>NYMEX</w:t>
            </w:r>
          </w:p>
        </w:tc>
        <w:tc>
          <w:tcPr>
            <w:tcW w:w="7290" w:type="dxa"/>
            <w:tcBorders>
              <w:top w:val="nil"/>
              <w:left w:val="nil"/>
              <w:bottom w:val="nil"/>
              <w:right w:val="nil"/>
            </w:tcBorders>
            <w:shd w:val="clear" w:color="auto" w:fill="auto"/>
            <w:tcMar>
              <w:top w:w="40" w:type="dxa"/>
              <w:left w:w="40" w:type="dxa"/>
              <w:bottom w:w="40" w:type="dxa"/>
              <w:right w:w="40" w:type="dxa"/>
            </w:tcMar>
            <w:vAlign w:val="bottom"/>
          </w:tcPr>
          <w:p w14:paraId="0D019DC8" w14:textId="77777777" w:rsidR="00480E11" w:rsidRDefault="00000000">
            <w:pPr>
              <w:widowControl w:val="0"/>
              <w:spacing w:after="0" w:line="276" w:lineRule="auto"/>
              <w:rPr>
                <w:rFonts w:ascii="Arial" w:eastAsia="Arial" w:hAnsi="Arial" w:cs="Arial"/>
                <w:sz w:val="20"/>
                <w:szCs w:val="20"/>
              </w:rPr>
            </w:pPr>
            <w:r>
              <w:rPr>
                <w:sz w:val="22"/>
                <w:szCs w:val="22"/>
              </w:rPr>
              <w:t>NYMEX Henry Hub Natural Gas Electronic Energy Future Continuation 1</w:t>
            </w:r>
          </w:p>
        </w:tc>
      </w:tr>
      <w:tr w:rsidR="00480E11" w14:paraId="3DF39DCA" w14:textId="77777777">
        <w:trPr>
          <w:trHeight w:val="330"/>
        </w:trPr>
        <w:tc>
          <w:tcPr>
            <w:tcW w:w="1170" w:type="dxa"/>
            <w:vMerge/>
            <w:tcBorders>
              <w:top w:val="nil"/>
              <w:left w:val="nil"/>
              <w:bottom w:val="single" w:sz="4" w:space="0" w:color="000000"/>
              <w:right w:val="nil"/>
            </w:tcBorders>
            <w:shd w:val="clear" w:color="auto" w:fill="auto"/>
            <w:tcMar>
              <w:top w:w="100" w:type="dxa"/>
              <w:left w:w="100" w:type="dxa"/>
              <w:bottom w:w="100" w:type="dxa"/>
              <w:right w:w="100" w:type="dxa"/>
            </w:tcMar>
          </w:tcPr>
          <w:p w14:paraId="584AB667"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5447831" w14:textId="77777777" w:rsidR="00480E11" w:rsidRDefault="00000000">
            <w:pPr>
              <w:widowControl w:val="0"/>
              <w:spacing w:after="0" w:line="276" w:lineRule="auto"/>
              <w:rPr>
                <w:rFonts w:ascii="Arial" w:eastAsia="Arial" w:hAnsi="Arial" w:cs="Arial"/>
                <w:sz w:val="20"/>
                <w:szCs w:val="20"/>
              </w:rPr>
            </w:pPr>
            <w:r>
              <w:rPr>
                <w:sz w:val="22"/>
                <w:szCs w:val="22"/>
              </w:rPr>
              <w:t>Soybeans</w:t>
            </w:r>
          </w:p>
        </w:tc>
        <w:tc>
          <w:tcPr>
            <w:tcW w:w="153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EC3C36B" w14:textId="77777777" w:rsidR="00480E11" w:rsidRDefault="00000000">
            <w:pPr>
              <w:widowControl w:val="0"/>
              <w:spacing w:after="0" w:line="276" w:lineRule="auto"/>
              <w:rPr>
                <w:rFonts w:ascii="Arial" w:eastAsia="Arial" w:hAnsi="Arial" w:cs="Arial"/>
                <w:sz w:val="20"/>
                <w:szCs w:val="20"/>
              </w:rPr>
            </w:pPr>
            <w:r>
              <w:rPr>
                <w:sz w:val="22"/>
                <w:szCs w:val="22"/>
              </w:rPr>
              <w:t>CME</w:t>
            </w:r>
          </w:p>
        </w:tc>
        <w:tc>
          <w:tcPr>
            <w:tcW w:w="7290"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72CD4FB" w14:textId="77777777" w:rsidR="00480E11" w:rsidRDefault="00000000">
            <w:pPr>
              <w:widowControl w:val="0"/>
              <w:spacing w:after="0" w:line="276" w:lineRule="auto"/>
              <w:rPr>
                <w:rFonts w:ascii="Arial" w:eastAsia="Arial" w:hAnsi="Arial" w:cs="Arial"/>
                <w:sz w:val="20"/>
                <w:szCs w:val="20"/>
              </w:rPr>
            </w:pPr>
            <w:r>
              <w:rPr>
                <w:sz w:val="22"/>
                <w:szCs w:val="22"/>
              </w:rPr>
              <w:t>CME Lean Hogs Electronic Commodity Future Continuation 1</w:t>
            </w:r>
          </w:p>
        </w:tc>
      </w:tr>
      <w:tr w:rsidR="00480E11" w14:paraId="02ED7FDB" w14:textId="77777777">
        <w:trPr>
          <w:trHeight w:val="1290"/>
        </w:trPr>
        <w:tc>
          <w:tcPr>
            <w:tcW w:w="11520" w:type="dxa"/>
            <w:gridSpan w:val="4"/>
            <w:tcBorders>
              <w:top w:val="nil"/>
              <w:left w:val="nil"/>
              <w:bottom w:val="nil"/>
              <w:right w:val="nil"/>
            </w:tcBorders>
            <w:shd w:val="clear" w:color="auto" w:fill="auto"/>
            <w:tcMar>
              <w:top w:w="40" w:type="dxa"/>
              <w:left w:w="40" w:type="dxa"/>
              <w:bottom w:w="40" w:type="dxa"/>
              <w:right w:w="40" w:type="dxa"/>
            </w:tcMar>
          </w:tcPr>
          <w:p w14:paraId="45F92AD8" w14:textId="77777777" w:rsidR="00480E11" w:rsidRDefault="00000000">
            <w:pPr>
              <w:widowControl w:val="0"/>
              <w:spacing w:after="0" w:line="276" w:lineRule="auto"/>
              <w:rPr>
                <w:rFonts w:ascii="Arial" w:eastAsia="Arial" w:hAnsi="Arial" w:cs="Arial"/>
                <w:sz w:val="20"/>
                <w:szCs w:val="20"/>
              </w:rPr>
            </w:pPr>
            <w:r>
              <w:rPr>
                <w:sz w:val="22"/>
                <w:szCs w:val="22"/>
              </w:rPr>
              <w:t>Note: The table includes 14 commodity futures grouped into metal, energy, and agricultural. Market denotes the place where the commodities are traded. COMEX is the Commodities Exchange, which is now part of the New York Mercantile Exchange. NYMEX is the New York Mercantile Exchange. ICE Europe is the Intercontinental Exchange Europe. CBoT is the Chicago Board of Trade, which is now part of the Chicago Mercantile Exchange Group. ICE-US is the Intercontinental Exchange US. CME is the Chicago Mercantile Exchange. Continuation 1 means that the selected futures contract is the first continuation contract.</w:t>
            </w:r>
          </w:p>
        </w:tc>
      </w:tr>
    </w:tbl>
    <w:p w14:paraId="6C4EB0CC" w14:textId="77777777" w:rsidR="00480E11" w:rsidRDefault="00480E11">
      <w:pPr>
        <w:jc w:val="both"/>
      </w:pPr>
    </w:p>
    <w:p w14:paraId="21E183D1" w14:textId="77777777" w:rsidR="00480E11" w:rsidRDefault="00000000">
      <w:pPr>
        <w:jc w:val="both"/>
      </w:pPr>
      <w:r>
        <w:t xml:space="preserve">There are high correlations between commodity futures and spot prices </w:t>
      </w:r>
      <w:hyperlink r:id="rId73">
        <w:r>
          <w:t>(Gulley &amp; Tilton, 2014)</w:t>
        </w:r>
      </w:hyperlink>
      <w:r>
        <w:t xml:space="preserve">, and particularly a strong unidirectional relationship from futures to spots for both metal and agricultural commodities </w:t>
      </w:r>
      <w:hyperlink r:id="rId74">
        <w:r>
          <w:t>(Joseph et al., 2014)</w:t>
        </w:r>
      </w:hyperlink>
      <w:r>
        <w:t xml:space="preserve">. However, the choice of commodity price is often the commodity futures rather than the spot price considering the absence of arbitrage </w:t>
      </w:r>
      <w:hyperlink r:id="rId75">
        <w:r>
          <w:t>(Rad et al., 2022)</w:t>
        </w:r>
      </w:hyperlink>
      <w:r>
        <w:t xml:space="preserve">. After acquiring the daily prices of the commodities of the chosen period, we get the continuously compounded daily returns by taking the difference in the log of two consecutive prices. The log returns can provide us with a normalized measure of returns and can help reduce the problem of non-stationarity or unit roots during the estimation. The daily return of the commodities is defined as: </w:t>
      </w:r>
    </w:p>
    <w:p w14:paraId="638A9D26" w14:textId="77777777" w:rsidR="00480E11" w:rsidRDefault="00000000">
      <w:pPr>
        <w:ind w:left="360"/>
        <w:jc w:val="center"/>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=ln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num>
            <m:den>
              <m:sSub>
                <m:sSubPr>
                  <m:ctrlPr>
                    <w:rPr>
                      <w:rFonts w:ascii="Cambria Math" w:hAnsi="Cambria Math"/>
                    </w:rPr>
                  </m:ctrlPr>
                </m:sSubPr>
                <m:e>
                  <m:r>
                    <w:rPr>
                      <w:rFonts w:ascii="Cambria Math" w:hAnsi="Cambria Math"/>
                    </w:rPr>
                    <m:t>P</m:t>
                  </m:r>
                </m:e>
                <m:sub>
                  <m:r>
                    <w:rPr>
                      <w:rFonts w:ascii="Cambria Math" w:hAnsi="Cambria Math"/>
                    </w:rPr>
                    <m:t>t-1</m:t>
                  </m:r>
                </m:sub>
              </m:sSub>
            </m:den>
          </m:f>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lnP</m:t>
              </m:r>
            </m:e>
            <m:sub>
              <m:r>
                <w:rPr>
                  <w:rFonts w:ascii="Cambria Math" w:hAnsi="Cambria Math"/>
                </w:rPr>
                <m:t>t-1</m:t>
              </m:r>
            </m:sub>
          </m:sSub>
        </m:oMath>
      </m:oMathPara>
    </w:p>
    <w:p w14:paraId="57BBABCC" w14:textId="77777777" w:rsidR="00480E11" w:rsidRDefault="00000000">
      <w:pPr>
        <w:jc w:val="both"/>
      </w:pPr>
      <w:r>
        <w:t xml:space="preserve">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the closing price at time t. By taking the average of the individual metal, energy, and agricultural products, we can get the 3 groups of return data for different commodity markets.  Through grouping, we can better understand different market dynamics by studying the interconnectedness among these sectors using the multivariate GARCH models. This approach helps us identify common dependencies and risk factors across related commodities, which is useful for building optimal portfolios. </w:t>
      </w:r>
    </w:p>
    <w:p w14:paraId="55BA87A7" w14:textId="77777777" w:rsidR="00480E11" w:rsidRDefault="00000000">
      <w:pPr>
        <w:pStyle w:val="Heading2"/>
        <w:jc w:val="both"/>
      </w:pPr>
      <w:bookmarkStart w:id="7" w:name="_Toc166705768"/>
      <w:r>
        <w:t>3.2 Descriptive Statistic</w:t>
      </w:r>
      <w:bookmarkEnd w:id="7"/>
    </w:p>
    <w:p w14:paraId="6FF2E3A3" w14:textId="2CA5CC5F" w:rsidR="00480E11" w:rsidRDefault="00000000">
      <w:pPr>
        <w:jc w:val="both"/>
      </w:pPr>
      <w:r>
        <w:t xml:space="preserve">We have </w:t>
      </w:r>
      <w:r w:rsidR="00023958">
        <w:t>thre</w:t>
      </w:r>
      <w:r w:rsidR="006E35CC">
        <w:t>e</w:t>
      </w:r>
      <w:r>
        <w:t xml:space="preserve"> groups of metal, energy, and agricultural commodities. Figure 1 shows the daily returns of the metal, energy, and agriculture commodities, in a total of 14 commodities. Metal commodities experienced a significant decline in 2008, which might be caused by the global financial crisis. Also, the primary factor driving the silver price in 2005 is likely to be the investment demand of the successful launch of Barclays’ Global Investors iShares Silver Trust Exchange Traded Fund </w:t>
      </w:r>
      <w:hyperlink r:id="rId76">
        <w:r>
          <w:t>(Silver Institute)</w:t>
        </w:r>
      </w:hyperlink>
      <w:r>
        <w:t>. For the energy commodities, the variations at the beginning of 1991 and 2020 might be due to the early 1990s recession and the COVID-19 pandemic, respectively. Additionally, the energy commodities show significant variations around 2022. These are most likely attributed to the economic impact of the Russia-Ukraine War. The war's influence on global energy supplies, especially oil and natural gas, caused volatility in the energy markets. The agricultural commodities show a pattern of seasonal volatility. These variations are caused by seasonal factors such as weather conditions, which can have a significant impact on agricultural yields.</w:t>
      </w:r>
    </w:p>
    <w:p w14:paraId="5413D97A" w14:textId="77777777" w:rsidR="00480E11" w:rsidRDefault="00000000" w:rsidP="009B5314">
      <w:pPr>
        <w:ind w:left="360"/>
        <w:jc w:val="center"/>
      </w:pPr>
      <w:r>
        <w:rPr>
          <w:noProof/>
        </w:rPr>
        <w:drawing>
          <wp:inline distT="114300" distB="114300" distL="114300" distR="114300" wp14:anchorId="1B143717" wp14:editId="71923A14">
            <wp:extent cx="5943600" cy="35433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7"/>
                    <a:srcRect/>
                    <a:stretch>
                      <a:fillRect/>
                    </a:stretch>
                  </pic:blipFill>
                  <pic:spPr>
                    <a:xfrm>
                      <a:off x="0" y="0"/>
                      <a:ext cx="5943600" cy="3543300"/>
                    </a:xfrm>
                    <a:prstGeom prst="rect">
                      <a:avLst/>
                    </a:prstGeom>
                    <a:ln/>
                  </pic:spPr>
                </pic:pic>
              </a:graphicData>
            </a:graphic>
          </wp:inline>
        </w:drawing>
      </w:r>
    </w:p>
    <w:p w14:paraId="188B0181" w14:textId="77777777" w:rsidR="00480E11" w:rsidRDefault="00000000" w:rsidP="009B5314">
      <w:pPr>
        <w:jc w:val="center"/>
      </w:pPr>
      <w:r>
        <w:t>Figure 1: Commodity Return from 1991 to 2023</w:t>
      </w:r>
    </w:p>
    <w:p w14:paraId="27C55FB9" w14:textId="3CCCCE1D" w:rsidR="00E44F81" w:rsidRDefault="00000000">
      <w:pPr>
        <w:jc w:val="both"/>
      </w:pPr>
      <w:r>
        <w:t xml:space="preserve">Table 2 presents descriptive statistics for the returns of the 3 commodity future return groups. For the commodity groups, metal and energy commodities exhibit higher returns, with metal having the highest at 0.02%, followed by metal at 0.01%, and agricultural with the lowest at 0.00%. Additionally, energy commodity shows the highest standard deviation of 2.07%, which corresponds to its highest mean return. Conversely, agricultural commodity displays the lowest volatility at 0.94%. All the commodities groups exhibit slightly negative skewness, which indicates that our data is left-skewed and has asymmetry features. Also, the metal commodity shows an extremely high kurtosis of 44.61, which suggests the presence of heavy tails and implies a higher risk of extreme values. Energy also has a high kurtosis of 11.27. Different from metal and energy commodities, agricultural commodities have a kurtosis of 2.63, which indicates that it approximates a normal distribution. </w:t>
      </w:r>
    </w:p>
    <w:p w14:paraId="180C0B39" w14:textId="77777777" w:rsidR="00E44F81" w:rsidRDefault="00E44F81">
      <w:r>
        <w:br w:type="page"/>
      </w:r>
    </w:p>
    <w:p w14:paraId="59F5F5FA" w14:textId="77777777" w:rsidR="00480E11" w:rsidRDefault="00000000" w:rsidP="000D40E9">
      <w:pPr>
        <w:jc w:val="center"/>
      </w:pPr>
      <w:r>
        <w:t>Table 2: Descriptive Statistics</w:t>
      </w:r>
    </w:p>
    <w:tbl>
      <w:tblPr>
        <w:tblStyle w:val="a0"/>
        <w:tblW w:w="5000" w:type="pct"/>
        <w:tblBorders>
          <w:top w:val="nil"/>
          <w:left w:val="nil"/>
          <w:bottom w:val="nil"/>
          <w:right w:val="nil"/>
          <w:insideH w:val="nil"/>
          <w:insideV w:val="nil"/>
        </w:tblBorders>
        <w:tblLook w:val="0600" w:firstRow="0" w:lastRow="0" w:firstColumn="0" w:lastColumn="0" w:noHBand="1" w:noVBand="1"/>
      </w:tblPr>
      <w:tblGrid>
        <w:gridCol w:w="2140"/>
        <w:gridCol w:w="1189"/>
        <w:gridCol w:w="1340"/>
        <w:gridCol w:w="973"/>
        <w:gridCol w:w="865"/>
        <w:gridCol w:w="1535"/>
        <w:gridCol w:w="1318"/>
      </w:tblGrid>
      <w:tr w:rsidR="00480E11" w14:paraId="07449081" w14:textId="77777777" w:rsidTr="00902698">
        <w:trPr>
          <w:trHeight w:val="345"/>
        </w:trPr>
        <w:tc>
          <w:tcPr>
            <w:tcW w:w="1143"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4BEA5362" w14:textId="77777777" w:rsidR="00480E11" w:rsidRDefault="00480E11">
            <w:pPr>
              <w:widowControl w:val="0"/>
              <w:spacing w:after="0" w:line="276" w:lineRule="auto"/>
              <w:rPr>
                <w:rFonts w:ascii="Arial" w:eastAsia="Arial" w:hAnsi="Arial" w:cs="Arial"/>
                <w:sz w:val="20"/>
                <w:szCs w:val="20"/>
              </w:rPr>
            </w:pPr>
          </w:p>
        </w:tc>
        <w:tc>
          <w:tcPr>
            <w:tcW w:w="635"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778DAF17" w14:textId="77777777" w:rsidR="00480E11" w:rsidRDefault="00000000">
            <w:pPr>
              <w:widowControl w:val="0"/>
              <w:spacing w:after="0" w:line="276" w:lineRule="auto"/>
              <w:jc w:val="center"/>
              <w:rPr>
                <w:rFonts w:ascii="Arial" w:eastAsia="Arial" w:hAnsi="Arial" w:cs="Arial"/>
                <w:sz w:val="20"/>
                <w:szCs w:val="20"/>
              </w:rPr>
            </w:pPr>
            <w:r>
              <w:rPr>
                <w:b/>
                <w:sz w:val="22"/>
                <w:szCs w:val="22"/>
              </w:rPr>
              <w:t>Mean</w:t>
            </w:r>
          </w:p>
        </w:tc>
        <w:tc>
          <w:tcPr>
            <w:tcW w:w="716"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1182F30E" w14:textId="77777777" w:rsidR="00480E11" w:rsidRDefault="00000000">
            <w:pPr>
              <w:widowControl w:val="0"/>
              <w:spacing w:after="0" w:line="276" w:lineRule="auto"/>
              <w:jc w:val="center"/>
              <w:rPr>
                <w:rFonts w:ascii="Arial" w:eastAsia="Arial" w:hAnsi="Arial" w:cs="Arial"/>
                <w:sz w:val="20"/>
                <w:szCs w:val="20"/>
              </w:rPr>
            </w:pPr>
            <w:r>
              <w:rPr>
                <w:b/>
                <w:sz w:val="22"/>
                <w:szCs w:val="22"/>
              </w:rPr>
              <w:t>Std.</w:t>
            </w:r>
          </w:p>
        </w:tc>
        <w:tc>
          <w:tcPr>
            <w:tcW w:w="520"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67B31090" w14:textId="77777777" w:rsidR="00480E11" w:rsidRDefault="00000000">
            <w:pPr>
              <w:widowControl w:val="0"/>
              <w:spacing w:after="0" w:line="276" w:lineRule="auto"/>
              <w:jc w:val="center"/>
              <w:rPr>
                <w:rFonts w:ascii="Arial" w:eastAsia="Arial" w:hAnsi="Arial" w:cs="Arial"/>
                <w:sz w:val="20"/>
                <w:szCs w:val="20"/>
              </w:rPr>
            </w:pPr>
            <w:r>
              <w:rPr>
                <w:b/>
                <w:sz w:val="22"/>
                <w:szCs w:val="22"/>
              </w:rPr>
              <w:t>Min.</w:t>
            </w:r>
          </w:p>
        </w:tc>
        <w:tc>
          <w:tcPr>
            <w:tcW w:w="462"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5B8F5228" w14:textId="77777777" w:rsidR="00480E11" w:rsidRDefault="00000000">
            <w:pPr>
              <w:widowControl w:val="0"/>
              <w:spacing w:after="0" w:line="276" w:lineRule="auto"/>
              <w:jc w:val="center"/>
              <w:rPr>
                <w:rFonts w:ascii="Arial" w:eastAsia="Arial" w:hAnsi="Arial" w:cs="Arial"/>
                <w:sz w:val="20"/>
                <w:szCs w:val="20"/>
              </w:rPr>
            </w:pPr>
            <w:r>
              <w:rPr>
                <w:b/>
                <w:sz w:val="22"/>
                <w:szCs w:val="22"/>
              </w:rPr>
              <w:t>Max.</w:t>
            </w:r>
          </w:p>
        </w:tc>
        <w:tc>
          <w:tcPr>
            <w:tcW w:w="820"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244FAD50" w14:textId="77777777" w:rsidR="00480E11" w:rsidRDefault="00000000">
            <w:pPr>
              <w:widowControl w:val="0"/>
              <w:spacing w:after="0" w:line="276" w:lineRule="auto"/>
              <w:jc w:val="center"/>
              <w:rPr>
                <w:rFonts w:ascii="Arial" w:eastAsia="Arial" w:hAnsi="Arial" w:cs="Arial"/>
                <w:sz w:val="20"/>
                <w:szCs w:val="20"/>
              </w:rPr>
            </w:pPr>
            <w:r>
              <w:rPr>
                <w:b/>
                <w:sz w:val="22"/>
                <w:szCs w:val="22"/>
              </w:rPr>
              <w:t>Skewness</w:t>
            </w:r>
          </w:p>
        </w:tc>
        <w:tc>
          <w:tcPr>
            <w:tcW w:w="704" w:type="pct"/>
            <w:tcBorders>
              <w:top w:val="single" w:sz="4" w:space="0" w:color="000000"/>
              <w:left w:val="nil"/>
              <w:bottom w:val="single" w:sz="4" w:space="0" w:color="000000"/>
              <w:right w:val="nil"/>
            </w:tcBorders>
            <w:tcMar>
              <w:top w:w="40" w:type="dxa"/>
              <w:left w:w="40" w:type="dxa"/>
              <w:bottom w:w="40" w:type="dxa"/>
              <w:right w:w="40" w:type="dxa"/>
            </w:tcMar>
            <w:vAlign w:val="center"/>
          </w:tcPr>
          <w:p w14:paraId="1FB8954E" w14:textId="77777777" w:rsidR="00480E11" w:rsidRDefault="00000000">
            <w:pPr>
              <w:widowControl w:val="0"/>
              <w:spacing w:after="0" w:line="276" w:lineRule="auto"/>
              <w:jc w:val="center"/>
              <w:rPr>
                <w:rFonts w:ascii="Arial" w:eastAsia="Arial" w:hAnsi="Arial" w:cs="Arial"/>
                <w:sz w:val="20"/>
                <w:szCs w:val="20"/>
              </w:rPr>
            </w:pPr>
            <w:r>
              <w:rPr>
                <w:b/>
                <w:sz w:val="22"/>
                <w:szCs w:val="22"/>
              </w:rPr>
              <w:t>Kurtosis</w:t>
            </w:r>
          </w:p>
        </w:tc>
      </w:tr>
      <w:tr w:rsidR="00480E11" w14:paraId="5424EDF9" w14:textId="77777777" w:rsidTr="00902698">
        <w:trPr>
          <w:trHeight w:val="315"/>
        </w:trPr>
        <w:tc>
          <w:tcPr>
            <w:tcW w:w="1143" w:type="pct"/>
            <w:tcBorders>
              <w:top w:val="nil"/>
              <w:left w:val="nil"/>
              <w:bottom w:val="nil"/>
              <w:right w:val="nil"/>
            </w:tcBorders>
            <w:tcMar>
              <w:top w:w="40" w:type="dxa"/>
              <w:left w:w="40" w:type="dxa"/>
              <w:bottom w:w="40" w:type="dxa"/>
              <w:right w:w="40" w:type="dxa"/>
            </w:tcMar>
            <w:vAlign w:val="center"/>
          </w:tcPr>
          <w:p w14:paraId="6C685D0F" w14:textId="77777777" w:rsidR="00480E11" w:rsidRDefault="00000000">
            <w:pPr>
              <w:widowControl w:val="0"/>
              <w:spacing w:after="0" w:line="276" w:lineRule="auto"/>
              <w:rPr>
                <w:rFonts w:ascii="Arial" w:eastAsia="Arial" w:hAnsi="Arial" w:cs="Arial"/>
                <w:sz w:val="20"/>
                <w:szCs w:val="20"/>
              </w:rPr>
            </w:pPr>
            <w:r>
              <w:rPr>
                <w:sz w:val="22"/>
                <w:szCs w:val="22"/>
              </w:rPr>
              <w:t>Metal</w:t>
            </w:r>
          </w:p>
        </w:tc>
        <w:tc>
          <w:tcPr>
            <w:tcW w:w="635" w:type="pct"/>
            <w:tcBorders>
              <w:top w:val="nil"/>
              <w:left w:val="nil"/>
              <w:bottom w:val="nil"/>
              <w:right w:val="nil"/>
            </w:tcBorders>
            <w:tcMar>
              <w:top w:w="40" w:type="dxa"/>
              <w:left w:w="40" w:type="dxa"/>
              <w:bottom w:w="40" w:type="dxa"/>
              <w:right w:w="40" w:type="dxa"/>
            </w:tcMar>
            <w:vAlign w:val="center"/>
          </w:tcPr>
          <w:p w14:paraId="7AC6EB20" w14:textId="77777777" w:rsidR="00480E11" w:rsidRDefault="00000000">
            <w:pPr>
              <w:widowControl w:val="0"/>
              <w:spacing w:after="0" w:line="276" w:lineRule="auto"/>
              <w:jc w:val="center"/>
              <w:rPr>
                <w:rFonts w:ascii="Arial" w:eastAsia="Arial" w:hAnsi="Arial" w:cs="Arial"/>
                <w:sz w:val="20"/>
                <w:szCs w:val="20"/>
              </w:rPr>
            </w:pPr>
            <w:r>
              <w:rPr>
                <w:sz w:val="22"/>
                <w:szCs w:val="22"/>
              </w:rPr>
              <w:t>0.01%</w:t>
            </w:r>
          </w:p>
        </w:tc>
        <w:tc>
          <w:tcPr>
            <w:tcW w:w="716" w:type="pct"/>
            <w:tcBorders>
              <w:top w:val="nil"/>
              <w:left w:val="nil"/>
              <w:bottom w:val="nil"/>
              <w:right w:val="nil"/>
            </w:tcBorders>
            <w:tcMar>
              <w:top w:w="40" w:type="dxa"/>
              <w:left w:w="40" w:type="dxa"/>
              <w:bottom w:w="40" w:type="dxa"/>
              <w:right w:w="40" w:type="dxa"/>
            </w:tcMar>
            <w:vAlign w:val="center"/>
          </w:tcPr>
          <w:p w14:paraId="3C37335F" w14:textId="77777777" w:rsidR="00480E11" w:rsidRDefault="00000000">
            <w:pPr>
              <w:widowControl w:val="0"/>
              <w:spacing w:after="0" w:line="276" w:lineRule="auto"/>
              <w:jc w:val="center"/>
              <w:rPr>
                <w:rFonts w:ascii="Arial" w:eastAsia="Arial" w:hAnsi="Arial" w:cs="Arial"/>
                <w:sz w:val="20"/>
                <w:szCs w:val="20"/>
              </w:rPr>
            </w:pPr>
            <w:r>
              <w:rPr>
                <w:sz w:val="22"/>
                <w:szCs w:val="22"/>
              </w:rPr>
              <w:t>1.26%</w:t>
            </w:r>
          </w:p>
        </w:tc>
        <w:tc>
          <w:tcPr>
            <w:tcW w:w="520" w:type="pct"/>
            <w:tcBorders>
              <w:top w:val="nil"/>
              <w:left w:val="nil"/>
              <w:bottom w:val="nil"/>
              <w:right w:val="nil"/>
            </w:tcBorders>
            <w:tcMar>
              <w:top w:w="40" w:type="dxa"/>
              <w:left w:w="40" w:type="dxa"/>
              <w:bottom w:w="40" w:type="dxa"/>
              <w:right w:w="40" w:type="dxa"/>
            </w:tcMar>
            <w:vAlign w:val="center"/>
          </w:tcPr>
          <w:p w14:paraId="2CBA8A05" w14:textId="77777777" w:rsidR="00480E11" w:rsidRDefault="00000000">
            <w:pPr>
              <w:widowControl w:val="0"/>
              <w:spacing w:after="0" w:line="276" w:lineRule="auto"/>
              <w:jc w:val="center"/>
              <w:rPr>
                <w:rFonts w:ascii="Arial" w:eastAsia="Arial" w:hAnsi="Arial" w:cs="Arial"/>
                <w:sz w:val="20"/>
                <w:szCs w:val="20"/>
              </w:rPr>
            </w:pPr>
            <w:r>
              <w:rPr>
                <w:sz w:val="22"/>
                <w:szCs w:val="22"/>
              </w:rPr>
              <w:t>-0.22</w:t>
            </w:r>
          </w:p>
        </w:tc>
        <w:tc>
          <w:tcPr>
            <w:tcW w:w="462" w:type="pct"/>
            <w:tcBorders>
              <w:top w:val="nil"/>
              <w:left w:val="nil"/>
              <w:bottom w:val="nil"/>
              <w:right w:val="nil"/>
            </w:tcBorders>
            <w:tcMar>
              <w:top w:w="40" w:type="dxa"/>
              <w:left w:w="40" w:type="dxa"/>
              <w:bottom w:w="40" w:type="dxa"/>
              <w:right w:w="40" w:type="dxa"/>
            </w:tcMar>
            <w:vAlign w:val="center"/>
          </w:tcPr>
          <w:p w14:paraId="0B4DB8BD" w14:textId="77777777" w:rsidR="00480E11" w:rsidRDefault="00000000">
            <w:pPr>
              <w:widowControl w:val="0"/>
              <w:spacing w:after="0" w:line="276" w:lineRule="auto"/>
              <w:jc w:val="center"/>
              <w:rPr>
                <w:rFonts w:ascii="Arial" w:eastAsia="Arial" w:hAnsi="Arial" w:cs="Arial"/>
                <w:sz w:val="20"/>
                <w:szCs w:val="20"/>
              </w:rPr>
            </w:pPr>
            <w:r>
              <w:rPr>
                <w:sz w:val="22"/>
                <w:szCs w:val="22"/>
              </w:rPr>
              <w:t>0.23</w:t>
            </w:r>
          </w:p>
        </w:tc>
        <w:tc>
          <w:tcPr>
            <w:tcW w:w="820" w:type="pct"/>
            <w:tcBorders>
              <w:top w:val="nil"/>
              <w:left w:val="nil"/>
              <w:bottom w:val="nil"/>
              <w:right w:val="nil"/>
            </w:tcBorders>
            <w:tcMar>
              <w:top w:w="40" w:type="dxa"/>
              <w:left w:w="40" w:type="dxa"/>
              <w:bottom w:w="40" w:type="dxa"/>
              <w:right w:w="40" w:type="dxa"/>
            </w:tcMar>
            <w:vAlign w:val="center"/>
          </w:tcPr>
          <w:p w14:paraId="3FB4D2BF" w14:textId="77777777" w:rsidR="00480E11" w:rsidRDefault="00000000">
            <w:pPr>
              <w:widowControl w:val="0"/>
              <w:spacing w:after="0" w:line="276" w:lineRule="auto"/>
              <w:jc w:val="center"/>
              <w:rPr>
                <w:rFonts w:ascii="Arial" w:eastAsia="Arial" w:hAnsi="Arial" w:cs="Arial"/>
                <w:sz w:val="20"/>
                <w:szCs w:val="20"/>
              </w:rPr>
            </w:pPr>
            <w:r>
              <w:rPr>
                <w:sz w:val="22"/>
                <w:szCs w:val="22"/>
              </w:rPr>
              <w:t>-0.36</w:t>
            </w:r>
          </w:p>
        </w:tc>
        <w:tc>
          <w:tcPr>
            <w:tcW w:w="704" w:type="pct"/>
            <w:tcBorders>
              <w:top w:val="nil"/>
              <w:left w:val="nil"/>
              <w:bottom w:val="nil"/>
              <w:right w:val="nil"/>
            </w:tcBorders>
            <w:tcMar>
              <w:top w:w="40" w:type="dxa"/>
              <w:left w:w="40" w:type="dxa"/>
              <w:bottom w:w="40" w:type="dxa"/>
              <w:right w:w="40" w:type="dxa"/>
            </w:tcMar>
            <w:vAlign w:val="center"/>
          </w:tcPr>
          <w:p w14:paraId="1705CA0C" w14:textId="77777777" w:rsidR="00480E11" w:rsidRDefault="00000000">
            <w:pPr>
              <w:widowControl w:val="0"/>
              <w:spacing w:after="0" w:line="276" w:lineRule="auto"/>
              <w:jc w:val="center"/>
              <w:rPr>
                <w:rFonts w:ascii="Arial" w:eastAsia="Arial" w:hAnsi="Arial" w:cs="Arial"/>
                <w:sz w:val="20"/>
                <w:szCs w:val="20"/>
              </w:rPr>
            </w:pPr>
            <w:r>
              <w:rPr>
                <w:sz w:val="22"/>
                <w:szCs w:val="22"/>
              </w:rPr>
              <w:t>44.61</w:t>
            </w:r>
          </w:p>
        </w:tc>
      </w:tr>
      <w:tr w:rsidR="00480E11" w14:paraId="4FFBA721" w14:textId="77777777" w:rsidTr="00902698">
        <w:trPr>
          <w:trHeight w:val="315"/>
        </w:trPr>
        <w:tc>
          <w:tcPr>
            <w:tcW w:w="1143" w:type="pct"/>
            <w:tcBorders>
              <w:top w:val="nil"/>
              <w:left w:val="nil"/>
              <w:bottom w:val="nil"/>
              <w:right w:val="nil"/>
            </w:tcBorders>
            <w:tcMar>
              <w:top w:w="40" w:type="dxa"/>
              <w:left w:w="40" w:type="dxa"/>
              <w:bottom w:w="40" w:type="dxa"/>
              <w:right w:w="40" w:type="dxa"/>
            </w:tcMar>
            <w:vAlign w:val="center"/>
          </w:tcPr>
          <w:p w14:paraId="27CA4B77" w14:textId="77777777" w:rsidR="00480E11" w:rsidRDefault="00000000">
            <w:pPr>
              <w:widowControl w:val="0"/>
              <w:spacing w:after="0" w:line="276" w:lineRule="auto"/>
              <w:rPr>
                <w:rFonts w:ascii="Arial" w:eastAsia="Arial" w:hAnsi="Arial" w:cs="Arial"/>
                <w:sz w:val="20"/>
                <w:szCs w:val="20"/>
              </w:rPr>
            </w:pPr>
            <w:r>
              <w:rPr>
                <w:sz w:val="22"/>
                <w:szCs w:val="22"/>
              </w:rPr>
              <w:t>Energy</w:t>
            </w:r>
          </w:p>
        </w:tc>
        <w:tc>
          <w:tcPr>
            <w:tcW w:w="635" w:type="pct"/>
            <w:tcBorders>
              <w:top w:val="nil"/>
              <w:left w:val="nil"/>
              <w:bottom w:val="nil"/>
              <w:right w:val="nil"/>
            </w:tcBorders>
            <w:tcMar>
              <w:top w:w="40" w:type="dxa"/>
              <w:left w:w="40" w:type="dxa"/>
              <w:bottom w:w="40" w:type="dxa"/>
              <w:right w:w="40" w:type="dxa"/>
            </w:tcMar>
            <w:vAlign w:val="bottom"/>
          </w:tcPr>
          <w:p w14:paraId="16BDDE30" w14:textId="77777777" w:rsidR="00480E11" w:rsidRDefault="00000000">
            <w:pPr>
              <w:widowControl w:val="0"/>
              <w:spacing w:after="0" w:line="276" w:lineRule="auto"/>
              <w:jc w:val="center"/>
              <w:rPr>
                <w:rFonts w:ascii="Arial" w:eastAsia="Arial" w:hAnsi="Arial" w:cs="Arial"/>
                <w:sz w:val="20"/>
                <w:szCs w:val="20"/>
              </w:rPr>
            </w:pPr>
            <w:r>
              <w:rPr>
                <w:sz w:val="22"/>
                <w:szCs w:val="22"/>
              </w:rPr>
              <w:t>0.02%</w:t>
            </w:r>
          </w:p>
        </w:tc>
        <w:tc>
          <w:tcPr>
            <w:tcW w:w="716" w:type="pct"/>
            <w:tcBorders>
              <w:top w:val="nil"/>
              <w:left w:val="nil"/>
              <w:bottom w:val="nil"/>
              <w:right w:val="nil"/>
            </w:tcBorders>
            <w:tcMar>
              <w:top w:w="40" w:type="dxa"/>
              <w:left w:w="40" w:type="dxa"/>
              <w:bottom w:w="40" w:type="dxa"/>
              <w:right w:w="40" w:type="dxa"/>
            </w:tcMar>
            <w:vAlign w:val="bottom"/>
          </w:tcPr>
          <w:p w14:paraId="0D0195A2" w14:textId="77777777" w:rsidR="00480E11" w:rsidRDefault="00000000">
            <w:pPr>
              <w:widowControl w:val="0"/>
              <w:spacing w:after="0" w:line="276" w:lineRule="auto"/>
              <w:jc w:val="center"/>
              <w:rPr>
                <w:rFonts w:ascii="Arial" w:eastAsia="Arial" w:hAnsi="Arial" w:cs="Arial"/>
                <w:sz w:val="20"/>
                <w:szCs w:val="20"/>
              </w:rPr>
            </w:pPr>
            <w:r>
              <w:rPr>
                <w:sz w:val="22"/>
                <w:szCs w:val="22"/>
              </w:rPr>
              <w:t>2.07%</w:t>
            </w:r>
          </w:p>
        </w:tc>
        <w:tc>
          <w:tcPr>
            <w:tcW w:w="520" w:type="pct"/>
            <w:tcBorders>
              <w:top w:val="nil"/>
              <w:left w:val="nil"/>
              <w:bottom w:val="nil"/>
              <w:right w:val="nil"/>
            </w:tcBorders>
            <w:tcMar>
              <w:top w:w="40" w:type="dxa"/>
              <w:left w:w="40" w:type="dxa"/>
              <w:bottom w:w="40" w:type="dxa"/>
              <w:right w:w="40" w:type="dxa"/>
            </w:tcMar>
            <w:vAlign w:val="bottom"/>
          </w:tcPr>
          <w:p w14:paraId="10D61230" w14:textId="77777777" w:rsidR="00480E11" w:rsidRDefault="00000000">
            <w:pPr>
              <w:widowControl w:val="0"/>
              <w:spacing w:after="0" w:line="276" w:lineRule="auto"/>
              <w:jc w:val="center"/>
              <w:rPr>
                <w:rFonts w:ascii="Arial" w:eastAsia="Arial" w:hAnsi="Arial" w:cs="Arial"/>
                <w:sz w:val="20"/>
                <w:szCs w:val="20"/>
              </w:rPr>
            </w:pPr>
            <w:r>
              <w:rPr>
                <w:sz w:val="22"/>
                <w:szCs w:val="22"/>
              </w:rPr>
              <w:t>-0.30</w:t>
            </w:r>
          </w:p>
        </w:tc>
        <w:tc>
          <w:tcPr>
            <w:tcW w:w="462" w:type="pct"/>
            <w:tcBorders>
              <w:top w:val="nil"/>
              <w:left w:val="nil"/>
              <w:bottom w:val="nil"/>
              <w:right w:val="nil"/>
            </w:tcBorders>
            <w:tcMar>
              <w:top w:w="40" w:type="dxa"/>
              <w:left w:w="40" w:type="dxa"/>
              <w:bottom w:w="40" w:type="dxa"/>
              <w:right w:w="40" w:type="dxa"/>
            </w:tcMar>
            <w:vAlign w:val="bottom"/>
          </w:tcPr>
          <w:p w14:paraId="7F8486F6" w14:textId="77777777" w:rsidR="00480E11" w:rsidRDefault="00000000">
            <w:pPr>
              <w:widowControl w:val="0"/>
              <w:spacing w:after="0" w:line="276" w:lineRule="auto"/>
              <w:jc w:val="center"/>
              <w:rPr>
                <w:rFonts w:ascii="Arial" w:eastAsia="Arial" w:hAnsi="Arial" w:cs="Arial"/>
                <w:sz w:val="20"/>
                <w:szCs w:val="20"/>
              </w:rPr>
            </w:pPr>
            <w:r>
              <w:rPr>
                <w:sz w:val="22"/>
                <w:szCs w:val="22"/>
              </w:rPr>
              <w:t>0.14</w:t>
            </w:r>
          </w:p>
        </w:tc>
        <w:tc>
          <w:tcPr>
            <w:tcW w:w="820" w:type="pct"/>
            <w:tcBorders>
              <w:top w:val="nil"/>
              <w:left w:val="nil"/>
              <w:bottom w:val="nil"/>
              <w:right w:val="nil"/>
            </w:tcBorders>
            <w:tcMar>
              <w:top w:w="40" w:type="dxa"/>
              <w:left w:w="40" w:type="dxa"/>
              <w:bottom w:w="40" w:type="dxa"/>
              <w:right w:w="40" w:type="dxa"/>
            </w:tcMar>
            <w:vAlign w:val="bottom"/>
          </w:tcPr>
          <w:p w14:paraId="1A3A8F2B" w14:textId="77777777" w:rsidR="00480E11" w:rsidRDefault="00000000">
            <w:pPr>
              <w:widowControl w:val="0"/>
              <w:spacing w:after="0" w:line="276" w:lineRule="auto"/>
              <w:jc w:val="center"/>
              <w:rPr>
                <w:rFonts w:ascii="Arial" w:eastAsia="Arial" w:hAnsi="Arial" w:cs="Arial"/>
                <w:sz w:val="20"/>
                <w:szCs w:val="20"/>
              </w:rPr>
            </w:pPr>
            <w:r>
              <w:rPr>
                <w:sz w:val="22"/>
                <w:szCs w:val="22"/>
              </w:rPr>
              <w:t>-0.53</w:t>
            </w:r>
          </w:p>
        </w:tc>
        <w:tc>
          <w:tcPr>
            <w:tcW w:w="704" w:type="pct"/>
            <w:tcBorders>
              <w:top w:val="nil"/>
              <w:left w:val="nil"/>
              <w:bottom w:val="nil"/>
              <w:right w:val="nil"/>
            </w:tcBorders>
            <w:tcMar>
              <w:top w:w="40" w:type="dxa"/>
              <w:left w:w="40" w:type="dxa"/>
              <w:bottom w:w="40" w:type="dxa"/>
              <w:right w:w="40" w:type="dxa"/>
            </w:tcMar>
            <w:vAlign w:val="bottom"/>
          </w:tcPr>
          <w:p w14:paraId="53932B94" w14:textId="77777777" w:rsidR="00480E11" w:rsidRDefault="00000000">
            <w:pPr>
              <w:widowControl w:val="0"/>
              <w:spacing w:after="0" w:line="276" w:lineRule="auto"/>
              <w:jc w:val="center"/>
              <w:rPr>
                <w:rFonts w:ascii="Arial" w:eastAsia="Arial" w:hAnsi="Arial" w:cs="Arial"/>
                <w:sz w:val="20"/>
                <w:szCs w:val="20"/>
              </w:rPr>
            </w:pPr>
            <w:r>
              <w:rPr>
                <w:sz w:val="22"/>
                <w:szCs w:val="22"/>
              </w:rPr>
              <w:t>11.27</w:t>
            </w:r>
          </w:p>
        </w:tc>
      </w:tr>
      <w:tr w:rsidR="00480E11" w14:paraId="6B4E9C7D" w14:textId="77777777" w:rsidTr="00902698">
        <w:trPr>
          <w:trHeight w:val="330"/>
        </w:trPr>
        <w:tc>
          <w:tcPr>
            <w:tcW w:w="1143" w:type="pct"/>
            <w:tcBorders>
              <w:top w:val="nil"/>
              <w:left w:val="nil"/>
              <w:bottom w:val="single" w:sz="4" w:space="0" w:color="000000"/>
              <w:right w:val="nil"/>
            </w:tcBorders>
            <w:tcMar>
              <w:top w:w="40" w:type="dxa"/>
              <w:left w:w="40" w:type="dxa"/>
              <w:bottom w:w="40" w:type="dxa"/>
              <w:right w:w="40" w:type="dxa"/>
            </w:tcMar>
            <w:vAlign w:val="center"/>
          </w:tcPr>
          <w:p w14:paraId="04477914" w14:textId="77777777" w:rsidR="00480E11" w:rsidRDefault="00000000">
            <w:pPr>
              <w:widowControl w:val="0"/>
              <w:spacing w:after="0" w:line="276" w:lineRule="auto"/>
              <w:rPr>
                <w:rFonts w:ascii="Arial" w:eastAsia="Arial" w:hAnsi="Arial" w:cs="Arial"/>
                <w:sz w:val="20"/>
                <w:szCs w:val="20"/>
              </w:rPr>
            </w:pPr>
            <w:r>
              <w:rPr>
                <w:sz w:val="22"/>
                <w:szCs w:val="22"/>
              </w:rPr>
              <w:t>Agricultural</w:t>
            </w:r>
          </w:p>
        </w:tc>
        <w:tc>
          <w:tcPr>
            <w:tcW w:w="635" w:type="pct"/>
            <w:tcBorders>
              <w:top w:val="nil"/>
              <w:left w:val="nil"/>
              <w:bottom w:val="single" w:sz="4" w:space="0" w:color="000000"/>
              <w:right w:val="nil"/>
            </w:tcBorders>
            <w:tcMar>
              <w:top w:w="40" w:type="dxa"/>
              <w:left w:w="40" w:type="dxa"/>
              <w:bottom w:w="40" w:type="dxa"/>
              <w:right w:w="40" w:type="dxa"/>
            </w:tcMar>
            <w:vAlign w:val="bottom"/>
          </w:tcPr>
          <w:p w14:paraId="44FCB0CF" w14:textId="77777777" w:rsidR="00480E11" w:rsidRDefault="00000000">
            <w:pPr>
              <w:widowControl w:val="0"/>
              <w:spacing w:after="0" w:line="276" w:lineRule="auto"/>
              <w:jc w:val="center"/>
              <w:rPr>
                <w:rFonts w:ascii="Arial" w:eastAsia="Arial" w:hAnsi="Arial" w:cs="Arial"/>
                <w:sz w:val="20"/>
                <w:szCs w:val="20"/>
              </w:rPr>
            </w:pPr>
            <w:r>
              <w:rPr>
                <w:sz w:val="22"/>
                <w:szCs w:val="22"/>
              </w:rPr>
              <w:t>0.00%</w:t>
            </w:r>
          </w:p>
        </w:tc>
        <w:tc>
          <w:tcPr>
            <w:tcW w:w="716" w:type="pct"/>
            <w:tcBorders>
              <w:top w:val="nil"/>
              <w:left w:val="nil"/>
              <w:bottom w:val="single" w:sz="4" w:space="0" w:color="000000"/>
              <w:right w:val="nil"/>
            </w:tcBorders>
            <w:tcMar>
              <w:top w:w="40" w:type="dxa"/>
              <w:left w:w="40" w:type="dxa"/>
              <w:bottom w:w="40" w:type="dxa"/>
              <w:right w:w="40" w:type="dxa"/>
            </w:tcMar>
            <w:vAlign w:val="bottom"/>
          </w:tcPr>
          <w:p w14:paraId="2D17C60C" w14:textId="77777777" w:rsidR="00480E11" w:rsidRDefault="00000000">
            <w:pPr>
              <w:widowControl w:val="0"/>
              <w:spacing w:after="0" w:line="276" w:lineRule="auto"/>
              <w:jc w:val="center"/>
              <w:rPr>
                <w:rFonts w:ascii="Arial" w:eastAsia="Arial" w:hAnsi="Arial" w:cs="Arial"/>
                <w:sz w:val="20"/>
                <w:szCs w:val="20"/>
              </w:rPr>
            </w:pPr>
            <w:r>
              <w:rPr>
                <w:sz w:val="22"/>
                <w:szCs w:val="22"/>
              </w:rPr>
              <w:t>0.94%</w:t>
            </w:r>
          </w:p>
        </w:tc>
        <w:tc>
          <w:tcPr>
            <w:tcW w:w="520" w:type="pct"/>
            <w:tcBorders>
              <w:top w:val="nil"/>
              <w:left w:val="nil"/>
              <w:bottom w:val="single" w:sz="4" w:space="0" w:color="000000"/>
              <w:right w:val="nil"/>
            </w:tcBorders>
            <w:tcMar>
              <w:top w:w="40" w:type="dxa"/>
              <w:left w:w="40" w:type="dxa"/>
              <w:bottom w:w="40" w:type="dxa"/>
              <w:right w:w="40" w:type="dxa"/>
            </w:tcMar>
            <w:vAlign w:val="bottom"/>
          </w:tcPr>
          <w:p w14:paraId="041593D4" w14:textId="77777777" w:rsidR="00480E11" w:rsidRDefault="00000000">
            <w:pPr>
              <w:widowControl w:val="0"/>
              <w:spacing w:after="0" w:line="276" w:lineRule="auto"/>
              <w:jc w:val="center"/>
              <w:rPr>
                <w:rFonts w:ascii="Arial" w:eastAsia="Arial" w:hAnsi="Arial" w:cs="Arial"/>
                <w:sz w:val="20"/>
                <w:szCs w:val="20"/>
              </w:rPr>
            </w:pPr>
            <w:r>
              <w:rPr>
                <w:sz w:val="22"/>
                <w:szCs w:val="22"/>
              </w:rPr>
              <w:t>-0.06</w:t>
            </w:r>
          </w:p>
        </w:tc>
        <w:tc>
          <w:tcPr>
            <w:tcW w:w="462" w:type="pct"/>
            <w:tcBorders>
              <w:top w:val="nil"/>
              <w:left w:val="nil"/>
              <w:bottom w:val="single" w:sz="4" w:space="0" w:color="000000"/>
              <w:right w:val="nil"/>
            </w:tcBorders>
            <w:tcMar>
              <w:top w:w="40" w:type="dxa"/>
              <w:left w:w="40" w:type="dxa"/>
              <w:bottom w:w="40" w:type="dxa"/>
              <w:right w:w="40" w:type="dxa"/>
            </w:tcMar>
            <w:vAlign w:val="bottom"/>
          </w:tcPr>
          <w:p w14:paraId="4AD4DAD8" w14:textId="77777777" w:rsidR="00480E11" w:rsidRDefault="00000000">
            <w:pPr>
              <w:widowControl w:val="0"/>
              <w:spacing w:after="0" w:line="276" w:lineRule="auto"/>
              <w:jc w:val="center"/>
              <w:rPr>
                <w:rFonts w:ascii="Arial" w:eastAsia="Arial" w:hAnsi="Arial" w:cs="Arial"/>
                <w:sz w:val="20"/>
                <w:szCs w:val="20"/>
              </w:rPr>
            </w:pPr>
            <w:r>
              <w:rPr>
                <w:sz w:val="22"/>
                <w:szCs w:val="22"/>
              </w:rPr>
              <w:t>0.04</w:t>
            </w:r>
          </w:p>
        </w:tc>
        <w:tc>
          <w:tcPr>
            <w:tcW w:w="820" w:type="pct"/>
            <w:tcBorders>
              <w:top w:val="nil"/>
              <w:left w:val="nil"/>
              <w:bottom w:val="single" w:sz="4" w:space="0" w:color="000000"/>
              <w:right w:val="nil"/>
            </w:tcBorders>
            <w:tcMar>
              <w:top w:w="40" w:type="dxa"/>
              <w:left w:w="40" w:type="dxa"/>
              <w:bottom w:w="40" w:type="dxa"/>
              <w:right w:w="40" w:type="dxa"/>
            </w:tcMar>
            <w:vAlign w:val="bottom"/>
          </w:tcPr>
          <w:p w14:paraId="62DC7E76" w14:textId="77777777" w:rsidR="00480E11" w:rsidRDefault="00000000">
            <w:pPr>
              <w:widowControl w:val="0"/>
              <w:spacing w:after="0" w:line="276" w:lineRule="auto"/>
              <w:jc w:val="center"/>
              <w:rPr>
                <w:rFonts w:ascii="Arial" w:eastAsia="Arial" w:hAnsi="Arial" w:cs="Arial"/>
                <w:sz w:val="20"/>
                <w:szCs w:val="20"/>
              </w:rPr>
            </w:pPr>
            <w:r>
              <w:rPr>
                <w:sz w:val="22"/>
                <w:szCs w:val="22"/>
              </w:rPr>
              <w:t>-0.41</w:t>
            </w:r>
          </w:p>
        </w:tc>
        <w:tc>
          <w:tcPr>
            <w:tcW w:w="704" w:type="pct"/>
            <w:tcBorders>
              <w:top w:val="nil"/>
              <w:left w:val="nil"/>
              <w:bottom w:val="single" w:sz="4" w:space="0" w:color="000000"/>
              <w:right w:val="nil"/>
            </w:tcBorders>
            <w:tcMar>
              <w:top w:w="40" w:type="dxa"/>
              <w:left w:w="40" w:type="dxa"/>
              <w:bottom w:w="40" w:type="dxa"/>
              <w:right w:w="40" w:type="dxa"/>
            </w:tcMar>
            <w:vAlign w:val="bottom"/>
          </w:tcPr>
          <w:p w14:paraId="3FEC6795" w14:textId="77777777" w:rsidR="00480E11" w:rsidRDefault="00000000">
            <w:pPr>
              <w:widowControl w:val="0"/>
              <w:spacing w:after="0" w:line="276" w:lineRule="auto"/>
              <w:jc w:val="center"/>
              <w:rPr>
                <w:rFonts w:ascii="Arial" w:eastAsia="Arial" w:hAnsi="Arial" w:cs="Arial"/>
                <w:sz w:val="20"/>
                <w:szCs w:val="20"/>
              </w:rPr>
            </w:pPr>
            <w:r>
              <w:rPr>
                <w:sz w:val="22"/>
                <w:szCs w:val="22"/>
              </w:rPr>
              <w:t>2.63</w:t>
            </w:r>
          </w:p>
        </w:tc>
      </w:tr>
      <w:tr w:rsidR="00480E11" w14:paraId="556F3087" w14:textId="77777777" w:rsidTr="00341444">
        <w:trPr>
          <w:trHeight w:val="1415"/>
        </w:trPr>
        <w:tc>
          <w:tcPr>
            <w:tcW w:w="5000" w:type="pct"/>
            <w:gridSpan w:val="7"/>
            <w:tcBorders>
              <w:top w:val="nil"/>
              <w:left w:val="nil"/>
              <w:bottom w:val="nil"/>
              <w:right w:val="nil"/>
            </w:tcBorders>
            <w:shd w:val="clear" w:color="auto" w:fill="auto"/>
            <w:tcMar>
              <w:top w:w="40" w:type="dxa"/>
              <w:left w:w="40" w:type="dxa"/>
              <w:bottom w:w="40" w:type="dxa"/>
              <w:right w:w="40" w:type="dxa"/>
            </w:tcMar>
          </w:tcPr>
          <w:p w14:paraId="41D64DB0" w14:textId="77777777" w:rsidR="00480E11" w:rsidRDefault="00000000">
            <w:pPr>
              <w:widowControl w:val="0"/>
              <w:spacing w:after="0" w:line="276" w:lineRule="auto"/>
              <w:rPr>
                <w:rFonts w:ascii="Arial" w:eastAsia="Arial" w:hAnsi="Arial" w:cs="Arial"/>
                <w:sz w:val="20"/>
                <w:szCs w:val="20"/>
              </w:rPr>
            </w:pPr>
            <w:r>
              <w:rPr>
                <w:b/>
                <w:sz w:val="22"/>
                <w:szCs w:val="22"/>
              </w:rPr>
              <w:t xml:space="preserve">Note: </w:t>
            </w:r>
            <w:r>
              <w:rPr>
                <w:sz w:val="22"/>
                <w:szCs w:val="22"/>
              </w:rPr>
              <w:t>This is the descriptive statistics of metal, energy, and agricultural commodity future returns. A skewness value around 0 indicates symmetry, with a negative skewness indicating left-skewed and a positive skewness indicating right-skewed. A kurtosis value around 3 indicates normal distribution, with a lower value indicating lighter tails and a higher value indicating heavy tails.</w:t>
            </w:r>
          </w:p>
        </w:tc>
      </w:tr>
    </w:tbl>
    <w:p w14:paraId="5BD8ED66" w14:textId="1B779A50" w:rsidR="00480E11" w:rsidRDefault="00000000">
      <w:pPr>
        <w:jc w:val="both"/>
      </w:pPr>
      <w:r>
        <w:t xml:space="preserve">We conduct some statistical tests for the </w:t>
      </w:r>
      <w:r w:rsidR="00067155" w:rsidRPr="00067155">
        <w:t>three</w:t>
      </w:r>
      <w:r>
        <w:t xml:space="preserve"> commodity group</w:t>
      </w:r>
      <w:r w:rsidR="00561E2A">
        <w:t>s of</w:t>
      </w:r>
      <w:r>
        <w:t xml:space="preserve"> return data. We do Jarque-Bera tests, and the extremely high JB test statistics for all the commodities indicate that there is no normality for our dataset. Furthermore, we applied the Augmented Dickey-Fuller test to test for stationarity. The significant negative values of the ADF statistics suggest that our data is stationary, </w:t>
      </w:r>
      <w:r w:rsidR="00067155">
        <w:t>reflecting</w:t>
      </w:r>
      <w:r>
        <w:t xml:space="preserve"> that it does not have significant trends over time. Similarly, the supplementary KPSS tests with a p-value of 0.1 can reject the null hypothesis, indicating that the data series is stationary. We use the Ljung-Box test to diagnose if there is autocorrelation for the commodities. The LBQ results for lag 15 show that metal and energy commodities have autocorrelation at a 10% significance level, while agricultural commodity has autocorrelation at a 1% significance level, indicating the presence of dependence over time for these commodities. To test if the GARCH model is fit for our dataset, we conduct Engle’s Lagrange Multiplier test </w:t>
      </w:r>
      <w:hyperlink r:id="rId78">
        <w:r>
          <w:t>(Engle, 1982)</w:t>
        </w:r>
      </w:hyperlink>
      <w:r>
        <w:t xml:space="preserve"> to see if our data has ARCH effects. The p-value of the LM test strongly rejects the null hypotheses, which show the conditional heteroscedasticity features of commodity returns. In summary, our data generally shows no normality, stationary, heteroscedasticity, and autocorrelation characteristics. </w:t>
      </w:r>
    </w:p>
    <w:p w14:paraId="2C184B68" w14:textId="77777777" w:rsidR="00480E11" w:rsidRDefault="00000000" w:rsidP="00AC1339">
      <w:pPr>
        <w:jc w:val="center"/>
      </w:pPr>
      <w:r>
        <w:t>Table 3: Statistical Tests</w:t>
      </w:r>
    </w:p>
    <w:tbl>
      <w:tblPr>
        <w:tblStyle w:val="a1"/>
        <w:tblW w:w="9345" w:type="dxa"/>
        <w:tblBorders>
          <w:top w:val="nil"/>
          <w:left w:val="nil"/>
          <w:bottom w:val="nil"/>
          <w:right w:val="nil"/>
          <w:insideH w:val="nil"/>
          <w:insideV w:val="nil"/>
        </w:tblBorders>
        <w:tblLayout w:type="fixed"/>
        <w:tblLook w:val="0600" w:firstRow="0" w:lastRow="0" w:firstColumn="0" w:lastColumn="0" w:noHBand="1" w:noVBand="1"/>
      </w:tblPr>
      <w:tblGrid>
        <w:gridCol w:w="1275"/>
        <w:gridCol w:w="1395"/>
        <w:gridCol w:w="1335"/>
        <w:gridCol w:w="1335"/>
        <w:gridCol w:w="1335"/>
        <w:gridCol w:w="1335"/>
        <w:gridCol w:w="1335"/>
      </w:tblGrid>
      <w:tr w:rsidR="00480E11" w14:paraId="5C8C7798" w14:textId="77777777">
        <w:trPr>
          <w:trHeight w:val="345"/>
        </w:trPr>
        <w:tc>
          <w:tcPr>
            <w:tcW w:w="127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3B119718" w14:textId="77777777" w:rsidR="00480E11" w:rsidRDefault="00480E11">
            <w:pPr>
              <w:widowControl w:val="0"/>
              <w:spacing w:after="0" w:line="276" w:lineRule="auto"/>
              <w:rPr>
                <w:rFonts w:ascii="Arial" w:eastAsia="Arial" w:hAnsi="Arial" w:cs="Arial"/>
                <w:sz w:val="20"/>
                <w:szCs w:val="20"/>
              </w:rPr>
            </w:pPr>
          </w:p>
        </w:tc>
        <w:tc>
          <w:tcPr>
            <w:tcW w:w="139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2CDE440B" w14:textId="77777777" w:rsidR="00480E11" w:rsidRDefault="00000000">
            <w:pPr>
              <w:widowControl w:val="0"/>
              <w:spacing w:after="0" w:line="276" w:lineRule="auto"/>
              <w:jc w:val="center"/>
              <w:rPr>
                <w:rFonts w:ascii="Arial" w:eastAsia="Arial" w:hAnsi="Arial" w:cs="Arial"/>
                <w:sz w:val="20"/>
                <w:szCs w:val="20"/>
              </w:rPr>
            </w:pPr>
            <w:r>
              <w:rPr>
                <w:b/>
                <w:sz w:val="22"/>
                <w:szCs w:val="22"/>
              </w:rPr>
              <w:t>JB</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65E5290B" w14:textId="77777777" w:rsidR="00480E11" w:rsidRDefault="00000000">
            <w:pPr>
              <w:widowControl w:val="0"/>
              <w:spacing w:after="0" w:line="276" w:lineRule="auto"/>
              <w:jc w:val="center"/>
              <w:rPr>
                <w:rFonts w:ascii="Arial" w:eastAsia="Arial" w:hAnsi="Arial" w:cs="Arial"/>
                <w:sz w:val="20"/>
                <w:szCs w:val="20"/>
              </w:rPr>
            </w:pPr>
            <w:r>
              <w:rPr>
                <w:b/>
                <w:sz w:val="22"/>
                <w:szCs w:val="22"/>
              </w:rPr>
              <w:t>ADF</w:t>
            </w:r>
          </w:p>
        </w:tc>
        <w:tc>
          <w:tcPr>
            <w:tcW w:w="1335" w:type="dxa"/>
            <w:tcBorders>
              <w:top w:val="single" w:sz="4" w:space="0" w:color="000000"/>
              <w:left w:val="nil"/>
              <w:bottom w:val="single" w:sz="4" w:space="0" w:color="000000"/>
              <w:right w:val="nil"/>
            </w:tcBorders>
            <w:tcMar>
              <w:top w:w="40" w:type="dxa"/>
              <w:left w:w="40" w:type="dxa"/>
              <w:bottom w:w="40" w:type="dxa"/>
              <w:right w:w="40" w:type="dxa"/>
            </w:tcMar>
            <w:vAlign w:val="center"/>
          </w:tcPr>
          <w:p w14:paraId="23647D0A" w14:textId="77777777" w:rsidR="00480E11" w:rsidRDefault="00000000">
            <w:pPr>
              <w:widowControl w:val="0"/>
              <w:spacing w:after="0" w:line="276" w:lineRule="auto"/>
              <w:jc w:val="center"/>
              <w:rPr>
                <w:rFonts w:ascii="Arial" w:eastAsia="Arial" w:hAnsi="Arial" w:cs="Arial"/>
                <w:sz w:val="20"/>
                <w:szCs w:val="20"/>
              </w:rPr>
            </w:pPr>
            <w:r>
              <w:rPr>
                <w:b/>
                <w:sz w:val="22"/>
                <w:szCs w:val="22"/>
              </w:rPr>
              <w:t>PP</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611DADA4" w14:textId="77777777" w:rsidR="00480E11" w:rsidRDefault="00000000">
            <w:pPr>
              <w:widowControl w:val="0"/>
              <w:spacing w:after="0" w:line="276" w:lineRule="auto"/>
              <w:jc w:val="center"/>
              <w:rPr>
                <w:rFonts w:ascii="Arial" w:eastAsia="Arial" w:hAnsi="Arial" w:cs="Arial"/>
                <w:sz w:val="20"/>
                <w:szCs w:val="20"/>
              </w:rPr>
            </w:pPr>
            <w:r>
              <w:rPr>
                <w:b/>
                <w:sz w:val="22"/>
                <w:szCs w:val="22"/>
              </w:rPr>
              <w:t>KPSS</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4A9B5195" w14:textId="77777777" w:rsidR="00480E11" w:rsidRDefault="00000000">
            <w:pPr>
              <w:widowControl w:val="0"/>
              <w:spacing w:after="0" w:line="276" w:lineRule="auto"/>
              <w:rPr>
                <w:rFonts w:ascii="Arial" w:eastAsia="Arial" w:hAnsi="Arial" w:cs="Arial"/>
                <w:sz w:val="20"/>
                <w:szCs w:val="20"/>
              </w:rPr>
            </w:pPr>
            <w:r>
              <w:rPr>
                <w:b/>
                <w:sz w:val="22"/>
                <w:szCs w:val="22"/>
              </w:rPr>
              <w:t>LBQ</w:t>
            </w:r>
          </w:p>
        </w:tc>
        <w:tc>
          <w:tcPr>
            <w:tcW w:w="1335" w:type="dxa"/>
            <w:tcBorders>
              <w:top w:val="single" w:sz="4" w:space="0" w:color="000000"/>
              <w:left w:val="nil"/>
              <w:bottom w:val="single" w:sz="4" w:space="0" w:color="000000"/>
              <w:right w:val="nil"/>
            </w:tcBorders>
            <w:shd w:val="clear" w:color="auto" w:fill="auto"/>
            <w:tcMar>
              <w:top w:w="40" w:type="dxa"/>
              <w:left w:w="40" w:type="dxa"/>
              <w:bottom w:w="40" w:type="dxa"/>
              <w:right w:w="40" w:type="dxa"/>
            </w:tcMar>
            <w:vAlign w:val="center"/>
          </w:tcPr>
          <w:p w14:paraId="43959546" w14:textId="77777777" w:rsidR="00480E11" w:rsidRDefault="00000000">
            <w:pPr>
              <w:widowControl w:val="0"/>
              <w:spacing w:after="0" w:line="276" w:lineRule="auto"/>
              <w:jc w:val="center"/>
              <w:rPr>
                <w:rFonts w:ascii="Arial" w:eastAsia="Arial" w:hAnsi="Arial" w:cs="Arial"/>
                <w:sz w:val="20"/>
                <w:szCs w:val="20"/>
              </w:rPr>
            </w:pPr>
            <w:r>
              <w:rPr>
                <w:b/>
                <w:sz w:val="22"/>
                <w:szCs w:val="22"/>
              </w:rPr>
              <w:t>LM</w:t>
            </w:r>
          </w:p>
        </w:tc>
      </w:tr>
      <w:tr w:rsidR="00480E11" w14:paraId="77958BB6"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13D4E1E8" w14:textId="77777777" w:rsidR="00480E11" w:rsidRDefault="00000000">
            <w:pPr>
              <w:widowControl w:val="0"/>
              <w:spacing w:after="0" w:line="276" w:lineRule="auto"/>
              <w:rPr>
                <w:rFonts w:ascii="Arial" w:eastAsia="Arial" w:hAnsi="Arial" w:cs="Arial"/>
                <w:sz w:val="20"/>
                <w:szCs w:val="20"/>
              </w:rPr>
            </w:pPr>
            <w:r>
              <w:rPr>
                <w:sz w:val="22"/>
                <w:szCs w:val="22"/>
              </w:rPr>
              <w:t>Metal</w:t>
            </w:r>
          </w:p>
        </w:tc>
        <w:tc>
          <w:tcPr>
            <w:tcW w:w="1395" w:type="dxa"/>
            <w:tcBorders>
              <w:top w:val="nil"/>
              <w:left w:val="nil"/>
              <w:bottom w:val="nil"/>
              <w:right w:val="nil"/>
            </w:tcBorders>
            <w:shd w:val="clear" w:color="auto" w:fill="auto"/>
            <w:tcMar>
              <w:top w:w="40" w:type="dxa"/>
              <w:left w:w="40" w:type="dxa"/>
              <w:bottom w:w="40" w:type="dxa"/>
              <w:right w:w="40" w:type="dxa"/>
            </w:tcMar>
            <w:vAlign w:val="center"/>
          </w:tcPr>
          <w:p w14:paraId="68EB3308" w14:textId="77777777" w:rsidR="00480E11" w:rsidRDefault="00000000">
            <w:pPr>
              <w:widowControl w:val="0"/>
              <w:spacing w:after="0" w:line="276" w:lineRule="auto"/>
              <w:jc w:val="right"/>
              <w:rPr>
                <w:rFonts w:ascii="Arial" w:eastAsia="Arial" w:hAnsi="Arial" w:cs="Arial"/>
                <w:sz w:val="20"/>
                <w:szCs w:val="20"/>
              </w:rPr>
            </w:pPr>
            <w:r>
              <w:rPr>
                <w:sz w:val="22"/>
                <w:szCs w:val="22"/>
              </w:rPr>
              <w:t>524814.92***</w:t>
            </w:r>
          </w:p>
        </w:tc>
        <w:tc>
          <w:tcPr>
            <w:tcW w:w="1335" w:type="dxa"/>
            <w:tcBorders>
              <w:top w:val="nil"/>
              <w:left w:val="nil"/>
              <w:bottom w:val="nil"/>
              <w:right w:val="nil"/>
            </w:tcBorders>
            <w:tcMar>
              <w:top w:w="40" w:type="dxa"/>
              <w:left w:w="40" w:type="dxa"/>
              <w:bottom w:w="40" w:type="dxa"/>
              <w:right w:w="40" w:type="dxa"/>
            </w:tcMar>
            <w:vAlign w:val="center"/>
          </w:tcPr>
          <w:p w14:paraId="2211AB20" w14:textId="77777777" w:rsidR="00480E11" w:rsidRDefault="00000000">
            <w:pPr>
              <w:widowControl w:val="0"/>
              <w:spacing w:after="0" w:line="276" w:lineRule="auto"/>
              <w:jc w:val="center"/>
              <w:rPr>
                <w:rFonts w:ascii="Arial" w:eastAsia="Arial" w:hAnsi="Arial" w:cs="Arial"/>
                <w:sz w:val="20"/>
                <w:szCs w:val="20"/>
              </w:rPr>
            </w:pPr>
            <w:r>
              <w:rPr>
                <w:sz w:val="22"/>
                <w:szCs w:val="22"/>
              </w:rPr>
              <w:t>-83.47***</w:t>
            </w:r>
          </w:p>
        </w:tc>
        <w:tc>
          <w:tcPr>
            <w:tcW w:w="1335" w:type="dxa"/>
            <w:tcBorders>
              <w:top w:val="nil"/>
              <w:left w:val="nil"/>
              <w:bottom w:val="nil"/>
              <w:right w:val="nil"/>
            </w:tcBorders>
            <w:tcMar>
              <w:top w:w="40" w:type="dxa"/>
              <w:left w:w="40" w:type="dxa"/>
              <w:bottom w:w="40" w:type="dxa"/>
              <w:right w:w="40" w:type="dxa"/>
            </w:tcMar>
            <w:vAlign w:val="center"/>
          </w:tcPr>
          <w:p w14:paraId="1ADEAFB6" w14:textId="77777777" w:rsidR="00480E11" w:rsidRDefault="00000000">
            <w:pPr>
              <w:widowControl w:val="0"/>
              <w:spacing w:after="0" w:line="276" w:lineRule="auto"/>
              <w:jc w:val="center"/>
              <w:rPr>
                <w:rFonts w:ascii="Arial" w:eastAsia="Arial" w:hAnsi="Arial" w:cs="Arial"/>
                <w:sz w:val="20"/>
                <w:szCs w:val="20"/>
              </w:rPr>
            </w:pPr>
            <w:r>
              <w:rPr>
                <w:sz w:val="22"/>
                <w:szCs w:val="22"/>
              </w:rPr>
              <w:t>-84.54***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6C079EB9" w14:textId="77777777" w:rsidR="00480E11" w:rsidRDefault="00000000">
            <w:pPr>
              <w:widowControl w:val="0"/>
              <w:spacing w:after="0" w:line="276" w:lineRule="auto"/>
              <w:jc w:val="center"/>
              <w:rPr>
                <w:rFonts w:ascii="Arial" w:eastAsia="Arial" w:hAnsi="Arial" w:cs="Arial"/>
                <w:sz w:val="20"/>
                <w:szCs w:val="20"/>
              </w:rPr>
            </w:pPr>
            <w:r>
              <w:rPr>
                <w:sz w:val="22"/>
                <w:szCs w:val="22"/>
              </w:rPr>
              <w:t>0.02</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7B611597" w14:textId="77777777" w:rsidR="00480E11" w:rsidRDefault="00000000">
            <w:pPr>
              <w:widowControl w:val="0"/>
              <w:spacing w:after="0" w:line="276" w:lineRule="auto"/>
              <w:rPr>
                <w:rFonts w:ascii="Arial" w:eastAsia="Arial" w:hAnsi="Arial" w:cs="Arial"/>
                <w:sz w:val="20"/>
                <w:szCs w:val="20"/>
              </w:rPr>
            </w:pPr>
            <w:r>
              <w:rPr>
                <w:sz w:val="22"/>
                <w:szCs w:val="22"/>
              </w:rPr>
              <w:t>22.74*</w:t>
            </w:r>
          </w:p>
        </w:tc>
        <w:tc>
          <w:tcPr>
            <w:tcW w:w="1335" w:type="dxa"/>
            <w:tcBorders>
              <w:top w:val="nil"/>
              <w:left w:val="nil"/>
              <w:bottom w:val="nil"/>
              <w:right w:val="nil"/>
            </w:tcBorders>
            <w:shd w:val="clear" w:color="auto" w:fill="auto"/>
            <w:tcMar>
              <w:top w:w="40" w:type="dxa"/>
              <w:left w:w="40" w:type="dxa"/>
              <w:bottom w:w="40" w:type="dxa"/>
              <w:right w:w="40" w:type="dxa"/>
            </w:tcMar>
            <w:vAlign w:val="center"/>
          </w:tcPr>
          <w:p w14:paraId="568641C2" w14:textId="77777777" w:rsidR="00480E11" w:rsidRDefault="00000000">
            <w:pPr>
              <w:widowControl w:val="0"/>
              <w:spacing w:after="0" w:line="276" w:lineRule="auto"/>
              <w:jc w:val="right"/>
              <w:rPr>
                <w:rFonts w:ascii="Arial" w:eastAsia="Arial" w:hAnsi="Arial" w:cs="Arial"/>
                <w:sz w:val="20"/>
                <w:szCs w:val="20"/>
              </w:rPr>
            </w:pPr>
            <w:r>
              <w:rPr>
                <w:sz w:val="22"/>
                <w:szCs w:val="22"/>
              </w:rPr>
              <w:t>1952.31***</w:t>
            </w:r>
          </w:p>
        </w:tc>
      </w:tr>
      <w:tr w:rsidR="00480E11" w14:paraId="6A2360F1" w14:textId="77777777">
        <w:trPr>
          <w:trHeight w:val="315"/>
        </w:trPr>
        <w:tc>
          <w:tcPr>
            <w:tcW w:w="1275" w:type="dxa"/>
            <w:tcBorders>
              <w:top w:val="nil"/>
              <w:left w:val="nil"/>
              <w:bottom w:val="nil"/>
              <w:right w:val="nil"/>
            </w:tcBorders>
            <w:tcMar>
              <w:top w:w="40" w:type="dxa"/>
              <w:left w:w="40" w:type="dxa"/>
              <w:bottom w:w="40" w:type="dxa"/>
              <w:right w:w="40" w:type="dxa"/>
            </w:tcMar>
            <w:vAlign w:val="center"/>
          </w:tcPr>
          <w:p w14:paraId="3F1DB5F6" w14:textId="77777777" w:rsidR="00480E11" w:rsidRDefault="00000000">
            <w:pPr>
              <w:widowControl w:val="0"/>
              <w:spacing w:after="0" w:line="276" w:lineRule="auto"/>
              <w:rPr>
                <w:rFonts w:ascii="Arial" w:eastAsia="Arial" w:hAnsi="Arial" w:cs="Arial"/>
                <w:sz w:val="20"/>
                <w:szCs w:val="20"/>
              </w:rPr>
            </w:pPr>
            <w:r>
              <w:rPr>
                <w:sz w:val="22"/>
                <w:szCs w:val="22"/>
              </w:rPr>
              <w:t>Energy</w:t>
            </w:r>
          </w:p>
        </w:tc>
        <w:tc>
          <w:tcPr>
            <w:tcW w:w="1395" w:type="dxa"/>
            <w:tcBorders>
              <w:top w:val="nil"/>
              <w:left w:val="nil"/>
              <w:bottom w:val="nil"/>
              <w:right w:val="nil"/>
            </w:tcBorders>
            <w:shd w:val="clear" w:color="auto" w:fill="auto"/>
            <w:tcMar>
              <w:top w:w="40" w:type="dxa"/>
              <w:left w:w="40" w:type="dxa"/>
              <w:bottom w:w="40" w:type="dxa"/>
              <w:right w:w="40" w:type="dxa"/>
            </w:tcMar>
            <w:vAlign w:val="bottom"/>
          </w:tcPr>
          <w:p w14:paraId="71DA671F" w14:textId="77777777" w:rsidR="00480E11" w:rsidRDefault="00000000">
            <w:pPr>
              <w:widowControl w:val="0"/>
              <w:spacing w:after="0" w:line="276" w:lineRule="auto"/>
              <w:jc w:val="right"/>
              <w:rPr>
                <w:rFonts w:ascii="Arial" w:eastAsia="Arial" w:hAnsi="Arial" w:cs="Arial"/>
                <w:sz w:val="20"/>
                <w:szCs w:val="20"/>
              </w:rPr>
            </w:pPr>
            <w:r>
              <w:rPr>
                <w:sz w:val="22"/>
                <w:szCs w:val="22"/>
              </w:rPr>
              <w:t>33814.35***</w:t>
            </w:r>
          </w:p>
        </w:tc>
        <w:tc>
          <w:tcPr>
            <w:tcW w:w="1335" w:type="dxa"/>
            <w:tcBorders>
              <w:top w:val="nil"/>
              <w:left w:val="nil"/>
              <w:bottom w:val="nil"/>
              <w:right w:val="nil"/>
            </w:tcBorders>
            <w:tcMar>
              <w:top w:w="40" w:type="dxa"/>
              <w:left w:w="40" w:type="dxa"/>
              <w:bottom w:w="40" w:type="dxa"/>
              <w:right w:w="40" w:type="dxa"/>
            </w:tcMar>
            <w:vAlign w:val="bottom"/>
          </w:tcPr>
          <w:p w14:paraId="62B2F869" w14:textId="77777777" w:rsidR="00480E11" w:rsidRDefault="00000000">
            <w:pPr>
              <w:widowControl w:val="0"/>
              <w:spacing w:after="0" w:line="276" w:lineRule="auto"/>
              <w:jc w:val="center"/>
              <w:rPr>
                <w:rFonts w:ascii="Arial" w:eastAsia="Arial" w:hAnsi="Arial" w:cs="Arial"/>
                <w:sz w:val="20"/>
                <w:szCs w:val="20"/>
              </w:rPr>
            </w:pPr>
            <w:r>
              <w:rPr>
                <w:sz w:val="22"/>
                <w:szCs w:val="22"/>
              </w:rPr>
              <w:t>-80.36***</w:t>
            </w:r>
          </w:p>
        </w:tc>
        <w:tc>
          <w:tcPr>
            <w:tcW w:w="1335" w:type="dxa"/>
            <w:tcBorders>
              <w:top w:val="nil"/>
              <w:left w:val="nil"/>
              <w:bottom w:val="nil"/>
              <w:right w:val="nil"/>
            </w:tcBorders>
            <w:tcMar>
              <w:top w:w="40" w:type="dxa"/>
              <w:left w:w="40" w:type="dxa"/>
              <w:bottom w:w="40" w:type="dxa"/>
              <w:right w:w="40" w:type="dxa"/>
            </w:tcMar>
            <w:vAlign w:val="bottom"/>
          </w:tcPr>
          <w:p w14:paraId="06F0C092" w14:textId="77777777" w:rsidR="00480E11" w:rsidRDefault="00000000">
            <w:pPr>
              <w:widowControl w:val="0"/>
              <w:spacing w:after="0" w:line="276" w:lineRule="auto"/>
              <w:jc w:val="center"/>
              <w:rPr>
                <w:rFonts w:ascii="Arial" w:eastAsia="Arial" w:hAnsi="Arial" w:cs="Arial"/>
                <w:sz w:val="20"/>
                <w:szCs w:val="20"/>
              </w:rPr>
            </w:pPr>
            <w:r>
              <w:rPr>
                <w:sz w:val="22"/>
                <w:szCs w:val="22"/>
              </w:rPr>
              <w:t>-80.35***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5D184E25" w14:textId="77777777" w:rsidR="00480E11" w:rsidRDefault="00000000">
            <w:pPr>
              <w:widowControl w:val="0"/>
              <w:spacing w:after="0" w:line="276" w:lineRule="auto"/>
              <w:jc w:val="center"/>
              <w:rPr>
                <w:rFonts w:ascii="Arial" w:eastAsia="Arial" w:hAnsi="Arial" w:cs="Arial"/>
                <w:sz w:val="20"/>
                <w:szCs w:val="20"/>
              </w:rPr>
            </w:pPr>
            <w:r>
              <w:rPr>
                <w:sz w:val="22"/>
                <w:szCs w:val="22"/>
              </w:rPr>
              <w:t>0.07</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087AC89F" w14:textId="77777777" w:rsidR="00480E11" w:rsidRDefault="00000000">
            <w:pPr>
              <w:widowControl w:val="0"/>
              <w:spacing w:after="0" w:line="276" w:lineRule="auto"/>
              <w:rPr>
                <w:rFonts w:ascii="Arial" w:eastAsia="Arial" w:hAnsi="Arial" w:cs="Arial"/>
                <w:sz w:val="20"/>
                <w:szCs w:val="20"/>
              </w:rPr>
            </w:pPr>
            <w:r>
              <w:rPr>
                <w:sz w:val="22"/>
                <w:szCs w:val="22"/>
              </w:rPr>
              <w:t>22.65*</w:t>
            </w:r>
          </w:p>
        </w:tc>
        <w:tc>
          <w:tcPr>
            <w:tcW w:w="1335" w:type="dxa"/>
            <w:tcBorders>
              <w:top w:val="nil"/>
              <w:left w:val="nil"/>
              <w:bottom w:val="nil"/>
              <w:right w:val="nil"/>
            </w:tcBorders>
            <w:shd w:val="clear" w:color="auto" w:fill="auto"/>
            <w:tcMar>
              <w:top w:w="40" w:type="dxa"/>
              <w:left w:w="40" w:type="dxa"/>
              <w:bottom w:w="40" w:type="dxa"/>
              <w:right w:w="40" w:type="dxa"/>
            </w:tcMar>
            <w:vAlign w:val="bottom"/>
          </w:tcPr>
          <w:p w14:paraId="696F33CE" w14:textId="77777777" w:rsidR="00480E11" w:rsidRDefault="00000000">
            <w:pPr>
              <w:widowControl w:val="0"/>
              <w:spacing w:after="0" w:line="276" w:lineRule="auto"/>
              <w:jc w:val="right"/>
              <w:rPr>
                <w:rFonts w:ascii="Arial" w:eastAsia="Arial" w:hAnsi="Arial" w:cs="Arial"/>
                <w:sz w:val="20"/>
                <w:szCs w:val="20"/>
              </w:rPr>
            </w:pPr>
            <w:r>
              <w:rPr>
                <w:sz w:val="22"/>
                <w:szCs w:val="22"/>
              </w:rPr>
              <w:t>407.00***</w:t>
            </w:r>
          </w:p>
        </w:tc>
      </w:tr>
      <w:tr w:rsidR="00480E11" w14:paraId="1FC02A3F" w14:textId="77777777">
        <w:trPr>
          <w:trHeight w:val="330"/>
        </w:trPr>
        <w:tc>
          <w:tcPr>
            <w:tcW w:w="1275" w:type="dxa"/>
            <w:tcBorders>
              <w:top w:val="nil"/>
              <w:left w:val="nil"/>
              <w:bottom w:val="single" w:sz="4" w:space="0" w:color="000000"/>
              <w:right w:val="nil"/>
            </w:tcBorders>
            <w:tcMar>
              <w:top w:w="40" w:type="dxa"/>
              <w:left w:w="40" w:type="dxa"/>
              <w:bottom w:w="40" w:type="dxa"/>
              <w:right w:w="40" w:type="dxa"/>
            </w:tcMar>
            <w:vAlign w:val="center"/>
          </w:tcPr>
          <w:p w14:paraId="6A4AE819" w14:textId="77777777" w:rsidR="00480E11" w:rsidRDefault="00000000">
            <w:pPr>
              <w:widowControl w:val="0"/>
              <w:spacing w:after="0" w:line="276" w:lineRule="auto"/>
              <w:rPr>
                <w:rFonts w:ascii="Arial" w:eastAsia="Arial" w:hAnsi="Arial" w:cs="Arial"/>
                <w:sz w:val="20"/>
                <w:szCs w:val="20"/>
              </w:rPr>
            </w:pPr>
            <w:r>
              <w:rPr>
                <w:sz w:val="22"/>
                <w:szCs w:val="22"/>
              </w:rPr>
              <w:t>Agricultural</w:t>
            </w:r>
          </w:p>
        </w:tc>
        <w:tc>
          <w:tcPr>
            <w:tcW w:w="139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6B6EC29" w14:textId="77777777" w:rsidR="00480E11" w:rsidRDefault="00000000">
            <w:pPr>
              <w:widowControl w:val="0"/>
              <w:spacing w:after="0" w:line="276" w:lineRule="auto"/>
              <w:jc w:val="right"/>
              <w:rPr>
                <w:rFonts w:ascii="Arial" w:eastAsia="Arial" w:hAnsi="Arial" w:cs="Arial"/>
                <w:sz w:val="20"/>
                <w:szCs w:val="20"/>
              </w:rPr>
            </w:pPr>
            <w:r>
              <w:rPr>
                <w:sz w:val="22"/>
                <w:szCs w:val="22"/>
              </w:rPr>
              <w:t>2011.31***</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428EBC02" w14:textId="77777777" w:rsidR="00480E11" w:rsidRDefault="00000000">
            <w:pPr>
              <w:widowControl w:val="0"/>
              <w:spacing w:after="0" w:line="276" w:lineRule="auto"/>
              <w:jc w:val="center"/>
              <w:rPr>
                <w:rFonts w:ascii="Arial" w:eastAsia="Arial" w:hAnsi="Arial" w:cs="Arial"/>
                <w:sz w:val="20"/>
                <w:szCs w:val="20"/>
              </w:rPr>
            </w:pPr>
            <w:r>
              <w:rPr>
                <w:sz w:val="22"/>
                <w:szCs w:val="22"/>
              </w:rPr>
              <w:t>-28.13***</w:t>
            </w:r>
          </w:p>
        </w:tc>
        <w:tc>
          <w:tcPr>
            <w:tcW w:w="1335" w:type="dxa"/>
            <w:tcBorders>
              <w:top w:val="nil"/>
              <w:left w:val="nil"/>
              <w:bottom w:val="single" w:sz="4" w:space="0" w:color="000000"/>
              <w:right w:val="nil"/>
            </w:tcBorders>
            <w:tcMar>
              <w:top w:w="40" w:type="dxa"/>
              <w:left w:w="40" w:type="dxa"/>
              <w:bottom w:w="40" w:type="dxa"/>
              <w:right w:w="40" w:type="dxa"/>
            </w:tcMar>
            <w:vAlign w:val="bottom"/>
          </w:tcPr>
          <w:p w14:paraId="78CF6DC4" w14:textId="77777777" w:rsidR="00480E11" w:rsidRDefault="00000000">
            <w:pPr>
              <w:widowControl w:val="0"/>
              <w:spacing w:after="0" w:line="276" w:lineRule="auto"/>
              <w:jc w:val="center"/>
              <w:rPr>
                <w:rFonts w:ascii="Arial" w:eastAsia="Arial" w:hAnsi="Arial" w:cs="Arial"/>
                <w:sz w:val="20"/>
                <w:szCs w:val="20"/>
              </w:rPr>
            </w:pPr>
            <w:r>
              <w:rPr>
                <w:sz w:val="22"/>
                <w:szCs w:val="22"/>
              </w:rPr>
              <w:t>-75.08***</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8B2FEA0" w14:textId="77777777" w:rsidR="00480E11" w:rsidRDefault="00000000">
            <w:pPr>
              <w:widowControl w:val="0"/>
              <w:spacing w:after="0" w:line="276" w:lineRule="auto"/>
              <w:jc w:val="center"/>
              <w:rPr>
                <w:rFonts w:ascii="Arial" w:eastAsia="Arial" w:hAnsi="Arial" w:cs="Arial"/>
                <w:sz w:val="20"/>
                <w:szCs w:val="20"/>
              </w:rPr>
            </w:pPr>
            <w:r>
              <w:rPr>
                <w:sz w:val="22"/>
                <w:szCs w:val="22"/>
              </w:rPr>
              <w:t>0.07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5DF14DF" w14:textId="77777777" w:rsidR="00480E11" w:rsidRDefault="00000000">
            <w:pPr>
              <w:widowControl w:val="0"/>
              <w:spacing w:after="0" w:line="276" w:lineRule="auto"/>
              <w:rPr>
                <w:rFonts w:ascii="Arial" w:eastAsia="Arial" w:hAnsi="Arial" w:cs="Arial"/>
                <w:sz w:val="20"/>
                <w:szCs w:val="20"/>
              </w:rPr>
            </w:pPr>
            <w:r>
              <w:rPr>
                <w:sz w:val="22"/>
                <w:szCs w:val="22"/>
              </w:rPr>
              <w:t>39.67***</w:t>
            </w:r>
          </w:p>
        </w:tc>
        <w:tc>
          <w:tcPr>
            <w:tcW w:w="1335" w:type="dxa"/>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A307333" w14:textId="77777777" w:rsidR="00480E11" w:rsidRDefault="00000000">
            <w:pPr>
              <w:widowControl w:val="0"/>
              <w:spacing w:after="0" w:line="276" w:lineRule="auto"/>
              <w:jc w:val="right"/>
              <w:rPr>
                <w:rFonts w:ascii="Arial" w:eastAsia="Arial" w:hAnsi="Arial" w:cs="Arial"/>
                <w:sz w:val="20"/>
                <w:szCs w:val="20"/>
              </w:rPr>
            </w:pPr>
            <w:r>
              <w:rPr>
                <w:sz w:val="22"/>
                <w:szCs w:val="22"/>
              </w:rPr>
              <w:t>93.77***</w:t>
            </w:r>
          </w:p>
        </w:tc>
      </w:tr>
      <w:tr w:rsidR="00480E11" w14:paraId="5E91AD42" w14:textId="77777777">
        <w:trPr>
          <w:trHeight w:val="1875"/>
        </w:trPr>
        <w:tc>
          <w:tcPr>
            <w:tcW w:w="9345" w:type="dxa"/>
            <w:gridSpan w:val="7"/>
            <w:tcBorders>
              <w:top w:val="nil"/>
              <w:left w:val="nil"/>
              <w:bottom w:val="nil"/>
              <w:right w:val="nil"/>
            </w:tcBorders>
            <w:shd w:val="clear" w:color="auto" w:fill="auto"/>
            <w:tcMar>
              <w:top w:w="40" w:type="dxa"/>
              <w:left w:w="40" w:type="dxa"/>
              <w:bottom w:w="40" w:type="dxa"/>
              <w:right w:w="40" w:type="dxa"/>
            </w:tcMar>
          </w:tcPr>
          <w:p w14:paraId="2A2167A3" w14:textId="074445EA" w:rsidR="00480E11" w:rsidRDefault="00000000">
            <w:pPr>
              <w:widowControl w:val="0"/>
              <w:spacing w:after="0" w:line="276" w:lineRule="auto"/>
              <w:rPr>
                <w:rFonts w:ascii="Arial" w:eastAsia="Arial" w:hAnsi="Arial" w:cs="Arial"/>
                <w:sz w:val="20"/>
                <w:szCs w:val="20"/>
              </w:rPr>
            </w:pPr>
            <w:r>
              <w:rPr>
                <w:b/>
                <w:sz w:val="22"/>
                <w:szCs w:val="22"/>
              </w:rPr>
              <w:t xml:space="preserve">Note: </w:t>
            </w:r>
            <w:r>
              <w:rPr>
                <w:sz w:val="22"/>
                <w:szCs w:val="22"/>
              </w:rPr>
              <w:t xml:space="preserve">This </w:t>
            </w:r>
            <w:r w:rsidR="00CF4124">
              <w:rPr>
                <w:sz w:val="22"/>
                <w:szCs w:val="22"/>
              </w:rPr>
              <w:t>table shows</w:t>
            </w:r>
            <w:r>
              <w:rPr>
                <w:sz w:val="22"/>
                <w:szCs w:val="22"/>
              </w:rPr>
              <w:t xml:space="preserve"> the statistical test</w:t>
            </w:r>
            <w:r w:rsidR="00E67727">
              <w:rPr>
                <w:sz w:val="22"/>
                <w:szCs w:val="22"/>
              </w:rPr>
              <w:t xml:space="preserve"> results</w:t>
            </w:r>
            <w:r>
              <w:rPr>
                <w:sz w:val="22"/>
                <w:szCs w:val="22"/>
              </w:rPr>
              <w:t xml:space="preserve"> for metal, energy, and agricultural commodity future returns. JB denotes the Jarque-Bera normality test, with H0: data is normally distributed. ADF denotes the Augmented Dickey-Fuller unit root test, with H0: data has a unit root, indicating non-stationary. PP denotes the Phillips-Perron unit root test, with H0: data has a unit root, indicating non-stationary. KPSS denotes the Kwiatkowski-Phillips-Schmidt-Shin unit root test, with H0: data is stationary around a deterministic trend. LBQ denotes the Ljung-Box test for autocorrelation using lag 15, with H0: data has no autocorrelation. LM denotes the White's Lagrange Multiplier test for Heteroskedasticity, with H0: data has no heteroskedasticity. The asterisk ***, **, and * indicate the significance at 1%, 5%, and 10% level.</w:t>
            </w:r>
          </w:p>
        </w:tc>
      </w:tr>
    </w:tbl>
    <w:p w14:paraId="15B09D0A" w14:textId="540D30D7" w:rsidR="00480E11" w:rsidRDefault="00000000">
      <w:pPr>
        <w:pStyle w:val="Heading2"/>
        <w:jc w:val="both"/>
      </w:pPr>
      <w:bookmarkStart w:id="8" w:name="_Toc166705769"/>
      <w:r>
        <w:t>3.3 Multivaraite GARCH Model</w:t>
      </w:r>
      <w:bookmarkEnd w:id="8"/>
    </w:p>
    <w:p w14:paraId="338536DD" w14:textId="77777777" w:rsidR="00480E11" w:rsidRDefault="00000000">
      <w:pPr>
        <w:jc w:val="both"/>
      </w:pPr>
      <w:r>
        <w:t xml:space="preserve">We use the normal distribution and student t distribution to model the error distribution of returns. In order to model the time-varying volatility and correlations, we use the multivariate GARCH model to account for heteroscedasticity and assist in portfolio management. The multivariate GARCH models for studying the time-varying dynamics among commodities include the diagonal VECH, diagonal BEKK, and CCC. For setting up the models, we define the total number of assets to be </w:t>
      </w:r>
      <m:oMath>
        <m:r>
          <w:rPr>
            <w:rFonts w:ascii="Cambria Math" w:hAnsi="Cambria Math"/>
          </w:rPr>
          <m:t>N</m:t>
        </m:r>
      </m:oMath>
      <w:r>
        <w:t xml:space="preserve">, with each individual commodity denoted as </w:t>
      </w:r>
      <m:oMath>
        <m:r>
          <w:rPr>
            <w:rFonts w:ascii="Cambria Math" w:hAnsi="Cambria Math"/>
          </w:rPr>
          <m:t>i</m:t>
        </m:r>
      </m:oMath>
      <w:r>
        <w:t xml:space="preserve"> or </w:t>
      </w:r>
      <m:oMath>
        <m:r>
          <w:rPr>
            <w:rFonts w:ascii="Cambria Math" w:hAnsi="Cambria Math"/>
          </w:rPr>
          <m:t>j</m:t>
        </m:r>
      </m:oMath>
      <w:r>
        <w:t xml:space="preserve">. The total length of the sample period is </w:t>
      </w:r>
      <m:oMath>
        <m:r>
          <w:rPr>
            <w:rFonts w:ascii="Cambria Math" w:hAnsi="Cambria Math"/>
          </w:rPr>
          <m:t>T</m:t>
        </m:r>
      </m:oMath>
      <w:r>
        <w:t xml:space="preserve">, with each day represented as </w:t>
      </w:r>
      <m:oMath>
        <m:r>
          <w:rPr>
            <w:rFonts w:ascii="Cambria Math" w:hAnsi="Cambria Math"/>
          </w:rPr>
          <m:t>t</m:t>
        </m:r>
      </m:oMath>
      <w:r>
        <w:t xml:space="preserve">. The order of the GARCH models is shown as </w:t>
      </w:r>
      <m:oMath>
        <m:r>
          <w:rPr>
            <w:rFonts w:ascii="Cambria Math" w:hAnsi="Cambria Math"/>
          </w:rPr>
          <m:t>p</m:t>
        </m:r>
      </m:oMath>
      <w:r>
        <w:t xml:space="preserve"> and </w:t>
      </w:r>
      <m:oMath>
        <m:r>
          <w:rPr>
            <w:rFonts w:ascii="Cambria Math" w:hAnsi="Cambria Math"/>
          </w:rPr>
          <m:t>q</m:t>
        </m:r>
      </m:oMath>
      <w:r>
        <w:t xml:space="preserve">, which means the autocorrelation and moving average terms, respectively. </w:t>
      </w:r>
    </w:p>
    <w:p w14:paraId="189698E6" w14:textId="77777777" w:rsidR="00480E11" w:rsidRDefault="00000000">
      <w:pPr>
        <w:jc w:val="both"/>
      </w:pPr>
      <w:r>
        <w:t>For the general framework of the multivariate GARCH model, the selected models of VECH, BEKK, and CCC all have the same form of the mean equation and the standardized residual equation.</w:t>
      </w:r>
    </w:p>
    <w:p w14:paraId="64747683" w14:textId="77777777" w:rsidR="00480E11" w:rsidRDefault="00000000">
      <w:pPr>
        <w:ind w:left="360"/>
        <w:jc w:val="center"/>
      </w:pPr>
      <m:oMathPara>
        <m:oMath>
          <m:sSub>
            <m:sSubPr>
              <m:ctrlPr>
                <w:rPr>
                  <w:rFonts w:ascii="Cambria Math" w:hAnsi="Cambria Math"/>
                </w:rPr>
              </m:ctrlPr>
            </m:sSubPr>
            <m:e>
              <m:r>
                <w:rPr>
                  <w:rFonts w:ascii="Cambria Math" w:hAnsi="Cambria Math"/>
                </w:rPr>
                <m:t>R</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it</m:t>
              </m:r>
            </m:sub>
          </m:sSub>
        </m:oMath>
      </m:oMathPara>
    </w:p>
    <w:p w14:paraId="62F359F4" w14:textId="77777777" w:rsidR="00480E11" w:rsidRDefault="00000000">
      <w:pPr>
        <w:ind w:left="360"/>
        <w:jc w:val="center"/>
      </w:pPr>
      <m:oMathPara>
        <m:oMath>
          <m:sSub>
            <m:sSubPr>
              <m:ctrlPr>
                <w:rPr>
                  <w:rFonts w:ascii="Cambria Math" w:hAnsi="Cambria Math"/>
                </w:rPr>
              </m:ctrlPr>
            </m:sSubPr>
            <m:e>
              <m:r>
                <w:rPr>
                  <w:rFonts w:ascii="Cambria Math" w:hAnsi="Cambria Math"/>
                </w:rPr>
                <m:t>ϵ</m:t>
              </m:r>
            </m:e>
            <m:sub>
              <m:r>
                <w:rPr>
                  <w:rFonts w:ascii="Cambria Math" w:hAnsi="Cambria Math"/>
                </w:rPr>
                <m:t>it</m:t>
              </m:r>
            </m:sub>
          </m:sSub>
          <m: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h</m:t>
                  </m:r>
                </m:e>
                <m:sub>
                  <m:r>
                    <w:rPr>
                      <w:rFonts w:ascii="Cambria Math" w:hAnsi="Cambria Math"/>
                    </w:rPr>
                    <m:t>it</m:t>
                  </m:r>
                </m:sub>
              </m:sSub>
            </m:e>
          </m:rad>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it</m:t>
              </m:r>
            </m:sub>
          </m:sSub>
        </m:oMath>
      </m:oMathPara>
    </w:p>
    <w:p w14:paraId="2CCEC1BB" w14:textId="77777777" w:rsidR="00480E11" w:rsidRDefault="00000000">
      <w:pPr>
        <w:jc w:val="both"/>
      </w:pPr>
      <w:r>
        <w:t xml:space="preserve">In the mean equation, </w:t>
      </w:r>
      <m:oMath>
        <m:sSub>
          <m:sSubPr>
            <m:ctrlPr>
              <w:rPr>
                <w:rFonts w:ascii="Cambria Math" w:hAnsi="Cambria Math"/>
              </w:rPr>
            </m:ctrlPr>
          </m:sSubPr>
          <m:e>
            <m:r>
              <w:rPr>
                <w:rFonts w:ascii="Cambria Math" w:hAnsi="Cambria Math"/>
              </w:rPr>
              <m:t>R</m:t>
            </m:r>
          </m:e>
          <m:sub>
            <m:r>
              <w:rPr>
                <w:rFonts w:ascii="Cambria Math" w:hAnsi="Cambria Math"/>
              </w:rPr>
              <m:t>it</m:t>
            </m:r>
          </m:sub>
        </m:sSub>
      </m:oMath>
      <w:r>
        <w:t xml:space="preserve"> is the actual commodity return, </w:t>
      </w:r>
      <m:oMath>
        <m:sSub>
          <m:sSubPr>
            <m:ctrlPr>
              <w:rPr>
                <w:rFonts w:ascii="Cambria Math" w:hAnsi="Cambria Math"/>
              </w:rPr>
            </m:ctrlPr>
          </m:sSubPr>
          <m:e>
            <m:r>
              <w:rPr>
                <w:rFonts w:ascii="Cambria Math" w:hAnsi="Cambria Math"/>
              </w:rPr>
              <m:t>μ</m:t>
            </m:r>
          </m:e>
          <m:sub>
            <m:r>
              <w:rPr>
                <w:rFonts w:ascii="Cambria Math" w:hAnsi="Cambria Math"/>
              </w:rPr>
              <m:t>it</m:t>
            </m:r>
          </m:sub>
        </m:sSub>
      </m:oMath>
      <w:r>
        <w:t xml:space="preserve"> is the expected conditional mean, and </w:t>
      </w:r>
      <m:oMath>
        <m:sSub>
          <m:sSubPr>
            <m:ctrlPr>
              <w:rPr>
                <w:rFonts w:ascii="Cambria Math" w:hAnsi="Cambria Math"/>
              </w:rPr>
            </m:ctrlPr>
          </m:sSubPr>
          <m:e>
            <m:r>
              <w:rPr>
                <w:rFonts w:ascii="Cambria Math" w:hAnsi="Cambria Math"/>
              </w:rPr>
              <m:t>ϵ</m:t>
            </m:r>
          </m:e>
          <m:sub>
            <m:r>
              <w:rPr>
                <w:rFonts w:ascii="Cambria Math" w:hAnsi="Cambria Math"/>
              </w:rPr>
              <m:t>it</m:t>
            </m:r>
          </m:sub>
        </m:sSub>
      </m:oMath>
      <w:r>
        <w:t xml:space="preserve"> is the residuals. </w:t>
      </w:r>
      <m:oMath>
        <m:sSub>
          <m:sSubPr>
            <m:ctrlPr>
              <w:rPr>
                <w:rFonts w:ascii="Cambria Math" w:hAnsi="Cambria Math"/>
              </w:rPr>
            </m:ctrlPr>
          </m:sSubPr>
          <m:e>
            <m:r>
              <w:rPr>
                <w:rFonts w:ascii="Cambria Math" w:hAnsi="Cambria Math"/>
              </w:rPr>
              <m:t>z</m:t>
            </m:r>
          </m:e>
          <m:sub>
            <m:r>
              <w:rPr>
                <w:rFonts w:ascii="Cambria Math" w:hAnsi="Cambria Math"/>
              </w:rPr>
              <m:t>it</m:t>
            </m:r>
          </m:sub>
        </m:sSub>
      </m:oMath>
      <w:r>
        <w:t xml:space="preserve"> is a random variable that follows a normal or student t distribution. In the standardized residual equation, </w:t>
      </w:r>
      <m:oMath>
        <m:sSubSup>
          <m:sSubSupPr>
            <m:ctrlPr>
              <w:rPr>
                <w:rFonts w:ascii="Cambria Math" w:hAnsi="Cambria Math"/>
              </w:rPr>
            </m:ctrlPr>
          </m:sSubSupPr>
          <m:e>
            <m:r>
              <w:rPr>
                <w:rFonts w:ascii="Cambria Math" w:hAnsi="Cambria Math"/>
              </w:rPr>
              <m:t>h</m:t>
            </m:r>
          </m:e>
          <m:sub>
            <m:r>
              <w:rPr>
                <w:rFonts w:ascii="Cambria Math" w:hAnsi="Cambria Math"/>
              </w:rPr>
              <m:t>ij,t</m:t>
            </m:r>
          </m:sub>
          <m:sup/>
        </m:sSubSup>
      </m:oMath>
      <w:r>
        <w:t xml:space="preserve"> is the conditional variance-covariance of the residuals. The combination of  </w:t>
      </w:r>
      <m:oMath>
        <m:sSubSup>
          <m:sSubSupPr>
            <m:ctrlPr>
              <w:rPr>
                <w:rFonts w:ascii="Cambria Math" w:hAnsi="Cambria Math"/>
              </w:rPr>
            </m:ctrlPr>
          </m:sSubSupPr>
          <m:e>
            <m:r>
              <w:rPr>
                <w:rFonts w:ascii="Cambria Math" w:hAnsi="Cambria Math"/>
              </w:rPr>
              <m:t>h</m:t>
            </m:r>
          </m:e>
          <m:sub>
            <m:r>
              <w:rPr>
                <w:rFonts w:ascii="Cambria Math" w:hAnsi="Cambria Math"/>
              </w:rPr>
              <m:t>ij,t</m:t>
            </m:r>
          </m:sub>
          <m:sup/>
        </m:sSubSup>
      </m:oMath>
      <w:r>
        <w:t xml:space="preserve"> is the </w:t>
      </w:r>
      <m:oMath>
        <m:r>
          <w:rPr>
            <w:rFonts w:ascii="Cambria Math" w:hAnsi="Cambria Math"/>
          </w:rPr>
          <m:t>N×N×T</m:t>
        </m:r>
      </m:oMath>
      <w:r>
        <w:t xml:space="preserve"> conditional covariance matrix </w:t>
      </w:r>
      <m:oMath>
        <m:sSubSup>
          <m:sSubSupPr>
            <m:ctrlPr>
              <w:rPr>
                <w:rFonts w:ascii="Cambria Math" w:hAnsi="Cambria Math"/>
              </w:rPr>
            </m:ctrlPr>
          </m:sSubSupPr>
          <m:e>
            <m:r>
              <w:rPr>
                <w:rFonts w:ascii="Cambria Math" w:hAnsi="Cambria Math"/>
              </w:rPr>
              <m:t>H</m:t>
            </m:r>
          </m:e>
          <m:sub>
            <m:r>
              <w:rPr>
                <w:rFonts w:ascii="Cambria Math" w:hAnsi="Cambria Math"/>
              </w:rPr>
              <m:t>t</m:t>
            </m:r>
          </m:sub>
          <m:sup/>
        </m:sSubSup>
      </m:oMath>
      <w:r>
        <w:t xml:space="preserve">. </w:t>
      </w:r>
    </w:p>
    <w:p w14:paraId="12EADF7B" w14:textId="77777777" w:rsidR="00480E11" w:rsidRDefault="00000000">
      <w:r>
        <w:t xml:space="preserve">For the estimation  part of these GARCH models, we use the maximizing the log-likelihood function, which is defined as follows: </w:t>
      </w:r>
    </w:p>
    <w:p w14:paraId="578C1C2B" w14:textId="77777777" w:rsidR="00480E11" w:rsidRDefault="00000000">
      <w:pPr>
        <w:ind w:left="360"/>
        <w:jc w:val="center"/>
      </w:pPr>
      <m:oMathPara>
        <m:oMath>
          <m:r>
            <w:rPr>
              <w:rFonts w:ascii="Cambria Math" w:hAnsi="Cambria Math"/>
            </w:rPr>
            <m:t>l(θ)=-</m:t>
          </m:r>
          <m:f>
            <m:fPr>
              <m:ctrlPr>
                <w:rPr>
                  <w:rFonts w:ascii="Cambria Math" w:hAnsi="Cambria Math"/>
                </w:rPr>
              </m:ctrlPr>
            </m:fPr>
            <m:num>
              <m:r>
                <w:rPr>
                  <w:rFonts w:ascii="Cambria Math" w:hAnsi="Cambria Math"/>
                </w:rPr>
                <m:t>TN</m:t>
              </m:r>
            </m:num>
            <m:den>
              <m:r>
                <w:rPr>
                  <w:rFonts w:ascii="Cambria Math" w:hAnsi="Cambria Math"/>
                </w:rPr>
                <m:t>2</m:t>
              </m:r>
            </m:den>
          </m:f>
          <m:r>
            <w:rPr>
              <w:rFonts w:ascii="Cambria Math" w:hAnsi="Cambria Math"/>
            </w:rPr>
            <m:t>log2π-</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t=1</m:t>
              </m:r>
            </m:sub>
            <m:sup>
              <m:r>
                <w:rPr>
                  <w:rFonts w:ascii="Cambria Math" w:hAnsi="Cambria Math"/>
                </w:rPr>
                <m:t>T</m:t>
              </m:r>
            </m:sup>
            <m:e/>
          </m:nary>
          <m:r>
            <w:rPr>
              <w:rFonts w:ascii="Cambria Math" w:hAnsi="Cambria Math"/>
            </w:rPr>
            <m:t>(log</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t</m:t>
                  </m:r>
                </m:sub>
                <m:sup/>
              </m:sSubSup>
            </m:e>
          </m:d>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t</m:t>
              </m:r>
            </m:sub>
            <m:sup/>
          </m:sSubSup>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-1</m:t>
              </m:r>
            </m:sup>
          </m:sSubSup>
          <m:sSubSup>
            <m:sSubSupPr>
              <m:ctrlPr>
                <w:rPr>
                  <w:rFonts w:ascii="Cambria Math" w:hAnsi="Cambria Math"/>
                </w:rPr>
              </m:ctrlPr>
            </m:sSubSupPr>
            <m:e>
              <m:r>
                <w:rPr>
                  <w:rFonts w:ascii="Cambria Math" w:hAnsi="Cambria Math"/>
                </w:rPr>
                <m:t>ϵ</m:t>
              </m:r>
            </m:e>
            <m:sub>
              <m:r>
                <w:rPr>
                  <w:rFonts w:ascii="Cambria Math" w:hAnsi="Cambria Math"/>
                </w:rPr>
                <m:t>t</m:t>
              </m:r>
            </m:sub>
            <m:sup>
              <m:r>
                <w:rPr>
                  <w:rFonts w:ascii="Cambria Math" w:hAnsi="Cambria Math"/>
                </w:rPr>
                <m:t>'</m:t>
              </m:r>
            </m:sup>
          </m:sSubSup>
          <m:r>
            <w:rPr>
              <w:rFonts w:ascii="Cambria Math" w:hAnsi="Cambria Math"/>
            </w:rPr>
            <m:t>)</m:t>
          </m:r>
        </m:oMath>
      </m:oMathPara>
    </w:p>
    <w:p w14:paraId="35217716" w14:textId="77777777" w:rsidR="00480E11" w:rsidRDefault="00000000">
      <w:r>
        <w:t xml:space="preserve">where </w:t>
      </w:r>
      <m:oMath>
        <m:r>
          <w:rPr>
            <w:rFonts w:ascii="Cambria Math" w:hAnsi="Cambria Math"/>
          </w:rPr>
          <m:t>θ</m:t>
        </m:r>
      </m:oMath>
      <w:r>
        <w:t xml:space="preserve"> is the parameters to be estimated. In order to maximize </w:t>
      </w:r>
      <m:oMath>
        <m:r>
          <w:rPr>
            <w:rFonts w:ascii="Cambria Math" w:hAnsi="Cambria Math"/>
          </w:rPr>
          <m:t>θ</m:t>
        </m:r>
      </m:oMath>
      <w:r>
        <w:t xml:space="preserve">, we need to maximize the log-likelihood function </w:t>
      </w:r>
      <m:oMath>
        <m:r>
          <w:rPr>
            <w:rFonts w:ascii="Cambria Math" w:hAnsi="Cambria Math"/>
          </w:rPr>
          <m:t>l(θ)</m:t>
        </m:r>
      </m:oMath>
      <w:r>
        <w:t xml:space="preserve">. By using the numerical optimization method BFGS, which is the Broyden–Fletcher–Goldfarb–Shanno algorithm of the quasi-Newton method, we can do non-linear optimizations by doing the approximation of the inverse Hessian matrix </w:t>
      </w:r>
      <w:hyperlink r:id="rId79">
        <w:r>
          <w:t>(Liu &amp; Nocedal, 1989)</w:t>
        </w:r>
      </w:hyperlink>
      <w:r>
        <w:t xml:space="preserve">. Apart from that, the Marquardt Steps which is the Levenberg–Marquardt Algorithm is also used for adding the robustness of the optimization </w:t>
      </w:r>
      <w:hyperlink r:id="rId80">
        <w:r>
          <w:t>(Lourakis, 2005)</w:t>
        </w:r>
      </w:hyperlink>
      <w:r>
        <w:t xml:space="preserve">. The approach modifies the Gauss-Newton direction by adding a dampening parameter, which can provide a balance between the stability of gradient descent and the efficiency of the Gauss-Newton method. </w:t>
      </w:r>
    </w:p>
    <w:p w14:paraId="5FE25C2F" w14:textId="60075F4B" w:rsidR="00480E11" w:rsidRDefault="00000000">
      <w:pPr>
        <w:pStyle w:val="Heading3"/>
        <w:jc w:val="both"/>
      </w:pPr>
      <w:r>
        <w:t>3.</w:t>
      </w:r>
      <w:r w:rsidR="00DF0B95">
        <w:t>3</w:t>
      </w:r>
      <w:r>
        <w:t>.1 Diagonal VECH</w:t>
      </w:r>
    </w:p>
    <w:p w14:paraId="09F76513" w14:textId="77777777" w:rsidR="00480E11" w:rsidRDefault="00000000">
      <w:pPr>
        <w:jc w:val="both"/>
      </w:pPr>
      <w:r>
        <w:t xml:space="preserve">The first multivariate GARCH model is the VEC model, which is useful for modeling variances and covariances among multiple time series data </w:t>
      </w:r>
      <w:hyperlink r:id="rId81">
        <w:r>
          <w:t>(Bollerslev et al., 1988)</w:t>
        </w:r>
      </w:hyperlink>
      <w:r>
        <w:t xml:space="preserve">. However, the VECH model has limits on its extremely large numbers of estimated parameters even under small dimensions, and the condition of positive-definite conditional covariance matrices needs to be fulfilled </w:t>
      </w:r>
      <w:hyperlink r:id="rId82">
        <w:r>
          <w:t>(see de Almeida et al., 2018)</w:t>
        </w:r>
      </w:hyperlink>
      <w:r>
        <w:t xml:space="preserve">. As a result, the restricted VECH model of the diagonal VECH is more fitted in practice as it can deal with those limits </w:t>
      </w:r>
      <w:hyperlink r:id="rId83">
        <w:r>
          <w:t>(see Bollerslev et al., 1988; de Almeida et al., 2018)</w:t>
        </w:r>
      </w:hyperlink>
      <w:r>
        <w:t xml:space="preserve">. The equation of the diagonal VECH model is as follows: </w:t>
      </w:r>
    </w:p>
    <w:p w14:paraId="72ED2FE3" w14:textId="77777777" w:rsidR="00480E11" w:rsidRDefault="00000000">
      <w:pPr>
        <w:ind w:left="360"/>
        <w:jc w:val="center"/>
      </w:pPr>
      <m:oMathPara>
        <m:oMath>
          <m:r>
            <w:rPr>
              <w:rFonts w:ascii="Cambria Math" w:hAnsi="Cambria Math"/>
            </w:rPr>
            <m:t>VECH(</m:t>
          </m:r>
          <m:sSubSup>
            <m:sSubSupPr>
              <m:ctrlPr>
                <w:rPr>
                  <w:rFonts w:ascii="Cambria Math" w:hAnsi="Cambria Math"/>
                </w:rPr>
              </m:ctrlPr>
            </m:sSubSupPr>
            <m:e>
              <m:r>
                <w:rPr>
                  <w:rFonts w:ascii="Cambria Math" w:hAnsi="Cambria Math"/>
                </w:rPr>
                <m:t>H</m:t>
              </m:r>
            </m:e>
            <m:sub>
              <m:r>
                <w:rPr>
                  <w:rFonts w:ascii="Cambria Math" w:hAnsi="Cambria Math"/>
                </w:rPr>
                <m:t>t</m:t>
              </m:r>
            </m:sub>
            <m:sup/>
          </m:sSubSup>
          <m:r>
            <w:rPr>
              <w:rFonts w:ascii="Cambria Math" w:hAnsi="Cambria Math"/>
            </w:rPr>
            <m:t>)=ω+</m:t>
          </m:r>
          <m:nary>
            <m:naryPr>
              <m:chr m:val="∑"/>
              <m:ctrlPr>
                <w:rPr>
                  <w:rFonts w:ascii="Cambria Math" w:hAnsi="Cambria Math"/>
                </w:rPr>
              </m:ctrlPr>
            </m:naryPr>
            <m:sub>
              <m:r>
                <w:rPr>
                  <w:rFonts w:ascii="Cambria Math" w:hAnsi="Cambria Math"/>
                </w:rPr>
                <m:t>k=1</m:t>
              </m:r>
            </m:sub>
            <m:sup>
              <m:r>
                <w:rPr>
                  <w:rFonts w:ascii="Cambria Math" w:hAnsi="Cambria Math"/>
                </w:rPr>
                <m:t>p</m:t>
              </m:r>
            </m:sup>
            <m:e/>
          </m:nary>
          <m:sSub>
            <m:sSubPr>
              <m:ctrlPr>
                <w:rPr>
                  <w:rFonts w:ascii="Cambria Math" w:hAnsi="Cambria Math"/>
                </w:rPr>
              </m:ctrlPr>
            </m:sSubPr>
            <m:e>
              <m:r>
                <w:rPr>
                  <w:rFonts w:ascii="Cambria Math" w:hAnsi="Cambria Math"/>
                </w:rPr>
                <m:t>A</m:t>
              </m:r>
            </m:e>
            <m:sub>
              <m:r>
                <w:rPr>
                  <w:rFonts w:ascii="Cambria Math" w:hAnsi="Cambria Math"/>
                </w:rPr>
                <m:t>k</m:t>
              </m:r>
            </m:sub>
          </m:sSub>
          <m:r>
            <w:rPr>
              <w:rFonts w:ascii="Cambria Math" w:hAnsi="Cambria Math"/>
            </w:rPr>
            <m:t>VECH(</m:t>
          </m:r>
          <m:sSubSup>
            <m:sSubSupPr>
              <m:ctrlPr>
                <w:rPr>
                  <w:rFonts w:ascii="Cambria Math" w:hAnsi="Cambria Math"/>
                </w:rPr>
              </m:ctrlPr>
            </m:sSubSupPr>
            <m:e>
              <m:r>
                <w:rPr>
                  <w:rFonts w:ascii="Cambria Math" w:hAnsi="Cambria Math"/>
                </w:rPr>
                <m:t>ϵ</m:t>
              </m:r>
            </m:e>
            <m:sub>
              <m:r>
                <w:rPr>
                  <w:rFonts w:ascii="Cambria Math" w:hAnsi="Cambria Math"/>
                </w:rPr>
                <m:t>t-k</m:t>
              </m:r>
            </m:sub>
            <m:sup/>
          </m:sSubSup>
          <m:sSubSup>
            <m:sSubSupPr>
              <m:ctrlPr>
                <w:rPr>
                  <w:rFonts w:ascii="Cambria Math" w:hAnsi="Cambria Math"/>
                </w:rPr>
              </m:ctrlPr>
            </m:sSubSupPr>
            <m:e>
              <m:r>
                <w:rPr>
                  <w:rFonts w:ascii="Cambria Math" w:hAnsi="Cambria Math"/>
                </w:rPr>
                <m:t>ϵ</m:t>
              </m:r>
            </m:e>
            <m:sub>
              <m:r>
                <w:rPr>
                  <w:rFonts w:ascii="Cambria Math" w:hAnsi="Cambria Math"/>
                </w:rPr>
                <m:t>t-k</m:t>
              </m:r>
            </m:sub>
            <m:sup>
              <m:r>
                <w:rPr>
                  <w:rFonts w:ascii="Cambria Math" w:hAnsi="Cambria Math"/>
                </w:rPr>
                <m:t>'</m:t>
              </m:r>
            </m:sup>
          </m:sSubSup>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nary>
            </m:e>
            <m:sub/>
          </m:sSub>
          <m:sSub>
            <m:sSubPr>
              <m:ctrlPr>
                <w:rPr>
                  <w:rFonts w:ascii="Cambria Math" w:hAnsi="Cambria Math"/>
                </w:rPr>
              </m:ctrlPr>
            </m:sSubPr>
            <m:e>
              <m:r>
                <w:rPr>
                  <w:rFonts w:ascii="Cambria Math" w:hAnsi="Cambria Math"/>
                </w:rPr>
                <m:t>B</m:t>
              </m:r>
            </m:e>
            <m:sub>
              <m:r>
                <w:rPr>
                  <w:rFonts w:ascii="Cambria Math" w:hAnsi="Cambria Math"/>
                </w:rPr>
                <m:t>k</m:t>
              </m:r>
            </m:sub>
          </m:sSub>
          <m:sSubSup>
            <m:sSubSupPr>
              <m:ctrlPr>
                <w:rPr>
                  <w:rFonts w:ascii="Cambria Math" w:hAnsi="Cambria Math"/>
                </w:rPr>
              </m:ctrlPr>
            </m:sSubSupPr>
            <m:e>
              <m:r>
                <w:rPr>
                  <w:rFonts w:ascii="Cambria Math" w:hAnsi="Cambria Math"/>
                </w:rPr>
                <m:t>VECH(H</m:t>
              </m:r>
            </m:e>
            <m:sub>
              <m:r>
                <w:rPr>
                  <w:rFonts w:ascii="Cambria Math" w:hAnsi="Cambria Math"/>
                </w:rPr>
                <m:t>t-l</m:t>
              </m:r>
            </m:sub>
            <m:sup/>
          </m:sSubSup>
          <m:r>
            <w:rPr>
              <w:rFonts w:ascii="Cambria Math" w:hAnsi="Cambria Math"/>
            </w:rPr>
            <m:t>)</m:t>
          </m:r>
        </m:oMath>
      </m:oMathPara>
    </w:p>
    <w:p w14:paraId="10531B31" w14:textId="067523C1" w:rsidR="00480E11" w:rsidRDefault="00000000">
      <w:pPr>
        <w:jc w:val="bot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t</m:t>
            </m:r>
          </m:sub>
          <m:sup/>
        </m:sSubSup>
      </m:oMath>
      <w:r>
        <w:t xml:space="preserve"> is the conditional variance-covariance matrix of the residuals. In this equation, </w:t>
      </w:r>
      <m:oMath>
        <m:r>
          <w:rPr>
            <w:rFonts w:ascii="Cambria Math" w:hAnsi="Cambria Math"/>
          </w:rPr>
          <m:t>VECH</m:t>
        </m:r>
      </m:oMath>
      <w:r>
        <w:t xml:space="preserve"> is the operator that stretches the lower triangular part of a matrix including the diagonal into a vector form. </w:t>
      </w:r>
      <m:oMath>
        <m:r>
          <w:rPr>
            <w:rFonts w:ascii="Cambria Math" w:hAnsi="Cambria Math"/>
          </w:rPr>
          <m:t>ω</m:t>
        </m:r>
      </m:oMath>
      <w:r>
        <w:t xml:space="preserve"> is the vector with the dimension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 while </w:t>
      </w:r>
      <m:oMath>
        <m:sSub>
          <m:sSubPr>
            <m:ctrlPr>
              <w:rPr>
                <w:rFonts w:ascii="Cambria Math" w:hAnsi="Cambria Math"/>
              </w:rPr>
            </m:ctrlPr>
          </m:sSubPr>
          <m:e>
            <m:r>
              <w:rPr>
                <w:rFonts w:ascii="Cambria Math" w:hAnsi="Cambria Math"/>
              </w:rPr>
              <m:t>A</m:t>
            </m:r>
          </m:e>
          <m:sub>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k</m:t>
            </m:r>
          </m:sub>
        </m:sSub>
      </m:oMath>
      <w:r>
        <w:t xml:space="preserve"> are the parameters of matrices to be estimated. For the diagonal restriction, </w:t>
      </w:r>
      <m:oMath>
        <m:sSub>
          <m:sSubPr>
            <m:ctrlPr>
              <w:rPr>
                <w:rFonts w:ascii="Cambria Math" w:hAnsi="Cambria Math"/>
              </w:rPr>
            </m:ctrlPr>
          </m:sSubPr>
          <m:e>
            <m:r>
              <w:rPr>
                <w:rFonts w:ascii="Cambria Math" w:hAnsi="Cambria Math"/>
              </w:rPr>
              <m:t>A</m:t>
            </m:r>
          </m:e>
          <m:sub>
            <m:r>
              <w:rPr>
                <w:rFonts w:ascii="Cambria Math" w:hAnsi="Cambria Math"/>
              </w:rPr>
              <m:t>k</m:t>
            </m:r>
          </m:sub>
        </m:sSub>
      </m:oMath>
      <w:r>
        <w:t xml:space="preserve"> and </w:t>
      </w:r>
      <m:oMath>
        <m:sSub>
          <m:sSubPr>
            <m:ctrlPr>
              <w:rPr>
                <w:rFonts w:ascii="Cambria Math" w:hAnsi="Cambria Math"/>
              </w:rPr>
            </m:ctrlPr>
          </m:sSubPr>
          <m:e>
            <m:r>
              <w:rPr>
                <w:rFonts w:ascii="Cambria Math" w:hAnsi="Cambria Math"/>
              </w:rPr>
              <m:t>B</m:t>
            </m:r>
          </m:e>
          <m:sub>
            <m:r>
              <w:rPr>
                <w:rFonts w:ascii="Cambria Math" w:hAnsi="Cambria Math"/>
              </w:rPr>
              <m:t>k</m:t>
            </m:r>
          </m:sub>
        </m:sSub>
      </m:oMath>
      <w:r>
        <w:t xml:space="preserve"> become diagonal matrices with the dimension of </w:t>
      </w:r>
      <m:oMath>
        <m:f>
          <m:fPr>
            <m:ctrlPr>
              <w:rPr>
                <w:rFonts w:ascii="Cambria Math" w:hAnsi="Cambria Math"/>
              </w:rPr>
            </m:ctrlPr>
          </m:fPr>
          <m:num>
            <m:r>
              <w:rPr>
                <w:rFonts w:ascii="Cambria Math" w:hAnsi="Cambria Math"/>
              </w:rPr>
              <m:t>N×(N+1)</m:t>
            </m:r>
          </m:num>
          <m:den>
            <m:r>
              <w:rPr>
                <w:rFonts w:ascii="Cambria Math" w:hAnsi="Cambria Math"/>
              </w:rPr>
              <m:t>2</m:t>
            </m:r>
          </m:den>
        </m:f>
        <m:r>
          <w:rPr>
            <w:rFonts w:ascii="Cambria Math" w:hAnsi="Cambria Math"/>
          </w:rPr>
          <m:t xml:space="preserve"> </m:t>
        </m:r>
      </m:oMath>
      <w:r>
        <w:t xml:space="preserve"> and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This means that one individual commodity's conditional variance will be determined only by its own autocorrelation and moving average, not by other commodities. The diagonal VECH model will estimate </w:t>
      </w:r>
      <w:r w:rsidR="006B175B" w:rsidRPr="006B175B">
        <w:t>the</w:t>
      </w:r>
      <w:r>
        <w:t xml:space="preserve"> total number of </w:t>
      </w:r>
      <m:oMath>
        <m:r>
          <w:rPr>
            <w:rFonts w:ascii="Cambria Math" w:hAnsi="Cambria Math"/>
          </w:rPr>
          <m:t>(p+q+1)×</m:t>
        </m:r>
        <m:f>
          <m:fPr>
            <m:ctrlPr>
              <w:rPr>
                <w:rFonts w:ascii="Cambria Math" w:hAnsi="Cambria Math"/>
              </w:rPr>
            </m:ctrlPr>
          </m:fPr>
          <m:num>
            <m:r>
              <w:rPr>
                <w:rFonts w:ascii="Cambria Math" w:hAnsi="Cambria Math"/>
              </w:rPr>
              <m:t>N×(N+1)</m:t>
            </m:r>
          </m:num>
          <m:den>
            <m:r>
              <w:rPr>
                <w:rFonts w:ascii="Cambria Math" w:hAnsi="Cambria Math"/>
              </w:rPr>
              <m:t>2</m:t>
            </m:r>
          </m:den>
        </m:f>
      </m:oMath>
      <w:r>
        <w:t xml:space="preserve"> parameters</w:t>
      </w:r>
      <w:r w:rsidR="006B175B">
        <w:t>.</w:t>
      </w:r>
      <w:r>
        <w:t xml:space="preserve"> For example, the estimated parameters of the diagonal VECH(1,1) with 3 commodities is </w:t>
      </w:r>
      <m:oMath>
        <m:r>
          <w:rPr>
            <w:rFonts w:ascii="Cambria Math" w:hAnsi="Cambria Math"/>
          </w:rPr>
          <m:t>(1+1+1)×</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=18</m:t>
        </m:r>
      </m:oMath>
      <w:r>
        <w:t>.</w:t>
      </w:r>
    </w:p>
    <w:p w14:paraId="5F46E6DD" w14:textId="5F10E20A" w:rsidR="00480E11" w:rsidRDefault="00000000">
      <w:pPr>
        <w:pStyle w:val="Heading3"/>
        <w:jc w:val="both"/>
      </w:pPr>
      <w:r>
        <w:t>3.</w:t>
      </w:r>
      <w:r w:rsidR="00B806FA">
        <w:t>3</w:t>
      </w:r>
      <w:r>
        <w:t>.</w:t>
      </w:r>
      <w:r w:rsidR="00B806FA">
        <w:t>2</w:t>
      </w:r>
      <w:r>
        <w:t xml:space="preserve"> Diagonal BEKK</w:t>
      </w:r>
    </w:p>
    <w:p w14:paraId="3E1391BD" w14:textId="77777777" w:rsidR="00480E11" w:rsidRDefault="00000000">
      <w:pPr>
        <w:jc w:val="both"/>
      </w:pPr>
      <w:r>
        <w:t xml:space="preserve">The BEKK model is named Baba, Engle, Kraft, and Kroner GARCH model </w:t>
      </w:r>
      <w:hyperlink r:id="rId84">
        <w:r>
          <w:t>(Engle &amp; Kroner, 1995)</w:t>
        </w:r>
      </w:hyperlink>
      <w:r>
        <w:t xml:space="preserve">. This model is a more restricted form of the VECH model. The variance equation is shown as follows: </w:t>
      </w:r>
    </w:p>
    <w:p w14:paraId="0FCAD741" w14:textId="77777777" w:rsidR="00480E11" w:rsidRDefault="00000000">
      <w:pPr>
        <w:ind w:left="360"/>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t</m:t>
              </m:r>
            </m:sub>
            <m:sup/>
          </m:sSubSup>
          <m:r>
            <w:rPr>
              <w:rFonts w:ascii="Cambria Math" w:hAnsi="Cambria Math"/>
            </w:rPr>
            <m:t>=ω</m:t>
          </m:r>
          <m:sSubSup>
            <m:sSubSupPr>
              <m:ctrlPr>
                <w:rPr>
                  <w:rFonts w:ascii="Cambria Math" w:hAnsi="Cambria Math"/>
                </w:rPr>
              </m:ctrlPr>
            </m:sSubSupPr>
            <m:e>
              <m:r>
                <w:rPr>
                  <w:rFonts w:ascii="Cambria Math" w:hAnsi="Cambria Math"/>
                </w:rPr>
                <m:t>ω</m:t>
              </m:r>
            </m:e>
            <m:sub/>
            <m:sup>
              <m:r>
                <w:rPr>
                  <w:rFonts w:ascii="Cambria Math" w:hAnsi="Cambria Math"/>
                </w:rPr>
                <m:t>'</m:t>
              </m:r>
            </m:sup>
          </m:sSubSup>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nary>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A</m:t>
              </m:r>
            </m:e>
            <m:sub>
              <m:r>
                <w:rPr>
                  <w:rFonts w:ascii="Cambria Math" w:hAnsi="Cambria Math"/>
                </w:rPr>
                <m:t>ik</m:t>
              </m:r>
            </m:sub>
            <m:sup>
              <m:r>
                <w:rPr>
                  <w:rFonts w:ascii="Cambria Math" w:hAnsi="Cambria Math"/>
                </w:rPr>
                <m:t>'</m:t>
              </m:r>
            </m:sup>
          </m:sSubSup>
          <m:sSubSup>
            <m:sSubSupPr>
              <m:ctrlPr>
                <w:rPr>
                  <w:rFonts w:ascii="Cambria Math" w:hAnsi="Cambria Math"/>
                </w:rPr>
              </m:ctrlPr>
            </m:sSubSupPr>
            <m:e>
              <m:r>
                <w:rPr>
                  <w:rFonts w:ascii="Cambria Math" w:hAnsi="Cambria Math"/>
                </w:rPr>
                <m:t>ϵ</m:t>
              </m:r>
            </m:e>
            <m:sub>
              <m:r>
                <w:rPr>
                  <w:rFonts w:ascii="Cambria Math" w:hAnsi="Cambria Math"/>
                </w:rPr>
                <m:t>t-k</m:t>
              </m:r>
            </m:sub>
            <m:sup/>
          </m:sSubSup>
          <m:sSubSup>
            <m:sSubSupPr>
              <m:ctrlPr>
                <w:rPr>
                  <w:rFonts w:ascii="Cambria Math" w:hAnsi="Cambria Math"/>
                </w:rPr>
              </m:ctrlPr>
            </m:sSubSupPr>
            <m:e>
              <m:r>
                <w:rPr>
                  <w:rFonts w:ascii="Cambria Math" w:hAnsi="Cambria Math"/>
                </w:rPr>
                <m:t>ϵ</m:t>
              </m:r>
            </m:e>
            <m:sub>
              <m:r>
                <w:rPr>
                  <w:rFonts w:ascii="Cambria Math" w:hAnsi="Cambria Math"/>
                </w:rPr>
                <m:t>t-k</m:t>
              </m:r>
            </m:sub>
            <m:sup>
              <m:r>
                <w:rPr>
                  <w:rFonts w:ascii="Cambria Math" w:hAnsi="Cambria Math"/>
                </w:rPr>
                <m:t>'</m:t>
              </m:r>
            </m:sup>
          </m:sSubSup>
          <m:sSubSup>
            <m:sSubSupPr>
              <m:ctrlPr>
                <w:rPr>
                  <w:rFonts w:ascii="Cambria Math" w:hAnsi="Cambria Math"/>
                </w:rPr>
              </m:ctrlPr>
            </m:sSubSupPr>
            <m:e>
              <m:r>
                <w:rPr>
                  <w:rFonts w:ascii="Cambria Math" w:hAnsi="Cambria Math"/>
                </w:rPr>
                <m:t>A</m:t>
              </m:r>
            </m:e>
            <m:sub>
              <m:r>
                <w:rPr>
                  <w:rFonts w:ascii="Cambria Math" w:hAnsi="Cambria Math"/>
                </w:rPr>
                <m:t>ik</m:t>
              </m:r>
            </m:sub>
            <m:sup/>
          </m:sSubSup>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nary>
              <m:nary>
                <m:naryPr>
                  <m:chr m:val="∑"/>
                  <m:ctrlPr>
                    <w:rPr>
                      <w:rFonts w:ascii="Cambria Math" w:hAnsi="Cambria Math"/>
                    </w:rPr>
                  </m:ctrlPr>
                </m:naryPr>
                <m:sub>
                  <m:r>
                    <w:rPr>
                      <w:rFonts w:ascii="Cambria Math" w:hAnsi="Cambria Math"/>
                    </w:rPr>
                    <m:t>i=1</m:t>
                  </m:r>
                </m:sub>
                <m:sup>
                  <m:r>
                    <w:rPr>
                      <w:rFonts w:ascii="Cambria Math" w:hAnsi="Cambria Math"/>
                    </w:rPr>
                    <m:t>N</m:t>
                  </m:r>
                </m:sup>
                <m:e/>
              </m:nary>
            </m:e>
            <m:sub/>
          </m:sSub>
          <m:sSubSup>
            <m:sSubSupPr>
              <m:ctrlPr>
                <w:rPr>
                  <w:rFonts w:ascii="Cambria Math" w:hAnsi="Cambria Math"/>
                </w:rPr>
              </m:ctrlPr>
            </m:sSubSupPr>
            <m:e>
              <m:r>
                <w:rPr>
                  <w:rFonts w:ascii="Cambria Math" w:hAnsi="Cambria Math"/>
                </w:rPr>
                <m:t>B</m:t>
              </m:r>
            </m:e>
            <m:sub>
              <m:r>
                <w:rPr>
                  <w:rFonts w:ascii="Cambria Math" w:hAnsi="Cambria Math"/>
                </w:rPr>
                <m:t>ik</m:t>
              </m:r>
            </m:sub>
            <m:sup>
              <m:r>
                <w:rPr>
                  <w:rFonts w:ascii="Cambria Math" w:hAnsi="Cambria Math"/>
                </w:rPr>
                <m:t>'</m:t>
              </m:r>
            </m:sup>
          </m:sSubSup>
          <m:sSub>
            <m:sSubPr>
              <m:ctrlPr>
                <w:rPr>
                  <w:rFonts w:ascii="Cambria Math" w:hAnsi="Cambria Math"/>
                </w:rPr>
              </m:ctrlPr>
            </m:sSubPr>
            <m:e>
              <m:r>
                <w:rPr>
                  <w:rFonts w:ascii="Cambria Math" w:hAnsi="Cambria Math"/>
                </w:rPr>
                <m:t>H</m:t>
              </m:r>
            </m:e>
            <m:sub>
              <m:r>
                <w:rPr>
                  <w:rFonts w:ascii="Cambria Math" w:hAnsi="Cambria Math"/>
                </w:rPr>
                <m:t>t-l</m:t>
              </m:r>
            </m:sub>
          </m:sSub>
          <m:sSubSup>
            <m:sSubSupPr>
              <m:ctrlPr>
                <w:rPr>
                  <w:rFonts w:ascii="Cambria Math" w:hAnsi="Cambria Math"/>
                </w:rPr>
              </m:ctrlPr>
            </m:sSubSupPr>
            <m:e>
              <m:r>
                <w:rPr>
                  <w:rFonts w:ascii="Cambria Math" w:hAnsi="Cambria Math"/>
                </w:rPr>
                <m:t>B</m:t>
              </m:r>
            </m:e>
            <m:sub>
              <m:r>
                <w:rPr>
                  <w:rFonts w:ascii="Cambria Math" w:hAnsi="Cambria Math"/>
                </w:rPr>
                <m:t>ik</m:t>
              </m:r>
            </m:sub>
            <m:sup/>
          </m:sSubSup>
        </m:oMath>
      </m:oMathPara>
    </w:p>
    <w:p w14:paraId="73B0990C" w14:textId="5013AE2A" w:rsidR="00480E11" w:rsidRDefault="00000000">
      <w:pPr>
        <w:jc w:val="both"/>
      </w:pPr>
      <w:r>
        <w:t xml:space="preserve">where </w:t>
      </w:r>
      <m:oMath>
        <m:r>
          <w:rPr>
            <w:rFonts w:ascii="Cambria Math" w:hAnsi="Cambria Math"/>
          </w:rPr>
          <m:t>ω</m:t>
        </m:r>
      </m:oMath>
      <w:r>
        <w:t xml:space="preserve">, </w:t>
      </w:r>
      <m:oMath>
        <m:sSubSup>
          <m:sSubSupPr>
            <m:ctrlPr>
              <w:rPr>
                <w:rFonts w:ascii="Cambria Math" w:hAnsi="Cambria Math"/>
              </w:rPr>
            </m:ctrlPr>
          </m:sSubSupPr>
          <m:e>
            <m:r>
              <w:rPr>
                <w:rFonts w:ascii="Cambria Math" w:hAnsi="Cambria Math"/>
              </w:rPr>
              <m:t>A</m:t>
            </m:r>
          </m:e>
          <m:sub>
            <m:r>
              <w:rPr>
                <w:rFonts w:ascii="Cambria Math" w:hAnsi="Cambria Math"/>
              </w:rPr>
              <m:t>ik</m:t>
            </m:r>
          </m:sub>
          <m:sup/>
        </m:sSubSup>
      </m:oMath>
      <w: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ik</m:t>
            </m:r>
          </m:sub>
          <m:sup/>
        </m:sSubSup>
      </m:oMath>
      <w:r>
        <w:t xml:space="preserve"> are the </w:t>
      </w:r>
      <m:oMath>
        <m:r>
          <w:rPr>
            <w:rFonts w:ascii="Cambria Math" w:hAnsi="Cambria Math"/>
          </w:rPr>
          <m:t>N×N</m:t>
        </m:r>
      </m:oMath>
      <w:r>
        <w:t xml:space="preserve"> parameter matrices. The constant matrix </w:t>
      </w:r>
      <m:oMath>
        <m:r>
          <w:rPr>
            <w:rFonts w:ascii="Cambria Math" w:hAnsi="Cambria Math"/>
          </w:rPr>
          <m:t>ω</m:t>
        </m:r>
      </m:oMath>
      <w:r>
        <w:t xml:space="preserve"> is the lower triangular matrix, which contains parameters with the number of </w:t>
      </w:r>
      <m:oMath>
        <m:f>
          <m:fPr>
            <m:ctrlPr>
              <w:rPr>
                <w:rFonts w:ascii="Cambria Math" w:hAnsi="Cambria Math"/>
              </w:rPr>
            </m:ctrlPr>
          </m:fPr>
          <m:num>
            <m:r>
              <w:rPr>
                <w:rFonts w:ascii="Cambria Math" w:hAnsi="Cambria Math"/>
              </w:rPr>
              <m:t>N×(N+1)</m:t>
            </m:r>
          </m:num>
          <m:den>
            <m:r>
              <w:rPr>
                <w:rFonts w:ascii="Cambria Math" w:hAnsi="Cambria Math"/>
              </w:rPr>
              <m:t>2</m:t>
            </m:r>
          </m:den>
        </m:f>
      </m:oMath>
      <w:r>
        <w:t xml:space="preserve">. Similar to the diagonal VECH model, the diagonal BEKK model also has the diagonal form of </w:t>
      </w:r>
      <m:oMath>
        <m:sSubSup>
          <m:sSubSupPr>
            <m:ctrlPr>
              <w:rPr>
                <w:rFonts w:ascii="Cambria Math" w:hAnsi="Cambria Math"/>
              </w:rPr>
            </m:ctrlPr>
          </m:sSubSupPr>
          <m:e>
            <m:r>
              <w:rPr>
                <w:rFonts w:ascii="Cambria Math" w:hAnsi="Cambria Math"/>
              </w:rPr>
              <m:t>A</m:t>
            </m:r>
          </m:e>
          <m:sub>
            <m:r>
              <w:rPr>
                <w:rFonts w:ascii="Cambria Math" w:hAnsi="Cambria Math"/>
              </w:rPr>
              <m:t>ik</m:t>
            </m:r>
          </m:sub>
          <m:sup/>
        </m:sSubSup>
      </m:oMath>
      <w:r>
        <w:t xml:space="preserve"> and </w:t>
      </w:r>
      <m:oMath>
        <m:sSubSup>
          <m:sSubSupPr>
            <m:ctrlPr>
              <w:rPr>
                <w:rFonts w:ascii="Cambria Math" w:hAnsi="Cambria Math"/>
              </w:rPr>
            </m:ctrlPr>
          </m:sSubSupPr>
          <m:e>
            <m:r>
              <w:rPr>
                <w:rFonts w:ascii="Cambria Math" w:hAnsi="Cambria Math"/>
              </w:rPr>
              <m:t>B</m:t>
            </m:r>
          </m:e>
          <m:sub>
            <m:r>
              <w:rPr>
                <w:rFonts w:ascii="Cambria Math" w:hAnsi="Cambria Math"/>
              </w:rPr>
              <m:t>ik</m:t>
            </m:r>
          </m:sub>
          <m:sup/>
        </m:sSubSup>
      </m:oMath>
      <w:r>
        <w:t xml:space="preserve">, which contains </w:t>
      </w:r>
      <w:r w:rsidR="00624E52" w:rsidRPr="00624E52">
        <w:t>an</w:t>
      </w:r>
      <w:r>
        <w:t xml:space="preserve"> equal number of estimated parameters of </w:t>
      </w:r>
      <m:oMath>
        <m:r>
          <w:rPr>
            <w:rFonts w:ascii="Cambria Math" w:hAnsi="Cambria Math"/>
          </w:rPr>
          <m:t>N</m:t>
        </m:r>
      </m:oMath>
      <w:r>
        <w:t xml:space="preserve">. We use the scalar BEKK which is the most restricted version of the diagonal BEKK with </w:t>
      </w:r>
      <m:oMath>
        <m:r>
          <w:rPr>
            <w:rFonts w:ascii="Cambria Math" w:hAnsi="Cambria Math"/>
          </w:rPr>
          <m:t>A=aI</m:t>
        </m:r>
      </m:oMath>
      <w:r>
        <w:t xml:space="preserve"> and </w:t>
      </w:r>
      <m:oMath>
        <m:r>
          <w:rPr>
            <w:rFonts w:ascii="Cambria Math" w:hAnsi="Cambria Math"/>
          </w:rPr>
          <m:t>B=bI</m:t>
        </m:r>
      </m:oMath>
      <w:r>
        <w:t xml:space="preserve">, where </w:t>
      </w:r>
      <m:oMath>
        <m:r>
          <w:rPr>
            <w:rFonts w:ascii="Cambria Math" w:hAnsi="Cambria Math"/>
          </w:rPr>
          <m:t>a</m:t>
        </m:r>
      </m:oMath>
      <w:r>
        <w:t xml:space="preserve"> and </w:t>
      </w:r>
      <m:oMath>
        <m:r>
          <w:rPr>
            <w:rFonts w:ascii="Cambria Math" w:hAnsi="Cambria Math"/>
          </w:rPr>
          <m:t>b</m:t>
        </m:r>
      </m:oMath>
      <w:r>
        <w:t xml:space="preserve"> are scalars </w:t>
      </w:r>
      <w:hyperlink r:id="rId85">
        <w:r>
          <w:t>(Bunnag, 2016)</w:t>
        </w:r>
      </w:hyperlink>
      <w:r>
        <w:t xml:space="preserve">. The total number of estimated parameters is </w:t>
      </w:r>
      <m:oMath>
        <m:r>
          <w:rPr>
            <w:rFonts w:ascii="Cambria Math" w:hAnsi="Cambria Math"/>
          </w:rPr>
          <m:t>(p+q)×N+</m:t>
        </m:r>
        <m:f>
          <m:fPr>
            <m:ctrlPr>
              <w:rPr>
                <w:rFonts w:ascii="Cambria Math" w:hAnsi="Cambria Math"/>
              </w:rPr>
            </m:ctrlPr>
          </m:fPr>
          <m:num>
            <m:r>
              <w:rPr>
                <w:rFonts w:ascii="Cambria Math" w:hAnsi="Cambria Math"/>
              </w:rPr>
              <m:t>N×(N+1)</m:t>
            </m:r>
          </m:num>
          <m:den>
            <m:r>
              <w:rPr>
                <w:rFonts w:ascii="Cambria Math" w:hAnsi="Cambria Math"/>
              </w:rPr>
              <m:t>2</m:t>
            </m:r>
          </m:den>
        </m:f>
      </m:oMath>
      <w:r>
        <w:t xml:space="preserve">. For example, the number of estimated parameters of 3 commodities using BEKK (1,1) is </w:t>
      </w:r>
      <m:oMath>
        <m:r>
          <w:rPr>
            <w:rFonts w:ascii="Cambria Math" w:hAnsi="Cambria Math"/>
          </w:rPr>
          <m:t>(1+1)×3+</m:t>
        </m:r>
        <m:f>
          <m:fPr>
            <m:ctrlPr>
              <w:rPr>
                <w:rFonts w:ascii="Cambria Math" w:hAnsi="Cambria Math"/>
              </w:rPr>
            </m:ctrlPr>
          </m:fPr>
          <m:num>
            <m:r>
              <w:rPr>
                <w:rFonts w:ascii="Cambria Math" w:hAnsi="Cambria Math"/>
              </w:rPr>
              <m:t>3×(3+1)</m:t>
            </m:r>
          </m:num>
          <m:den>
            <m:r>
              <w:rPr>
                <w:rFonts w:ascii="Cambria Math" w:hAnsi="Cambria Math"/>
              </w:rPr>
              <m:t>2</m:t>
            </m:r>
          </m:den>
        </m:f>
        <m:r>
          <w:rPr>
            <w:rFonts w:ascii="Cambria Math" w:hAnsi="Cambria Math"/>
          </w:rPr>
          <m:t>=12</m:t>
        </m:r>
      </m:oMath>
      <w:r>
        <w:t>.</w:t>
      </w:r>
    </w:p>
    <w:p w14:paraId="58EC69A7" w14:textId="34ED0D88" w:rsidR="00480E11" w:rsidRDefault="00000000">
      <w:pPr>
        <w:pStyle w:val="Heading3"/>
        <w:jc w:val="both"/>
      </w:pPr>
      <w:r>
        <w:t>3.</w:t>
      </w:r>
      <w:r w:rsidR="001812B7">
        <w:t>3</w:t>
      </w:r>
      <w:r>
        <w:t>.</w:t>
      </w:r>
      <w:r w:rsidR="001812B7">
        <w:t>3</w:t>
      </w:r>
      <w:r>
        <w:t xml:space="preserve"> CCC</w:t>
      </w:r>
    </w:p>
    <w:p w14:paraId="009E1519" w14:textId="77777777" w:rsidR="00480E11" w:rsidRDefault="00000000">
      <w:pPr>
        <w:jc w:val="both"/>
      </w:pPr>
      <w:r>
        <w:t xml:space="preserve">The CCC model is the constant conditional correlation model where the conditional correlation is assumed to be constant while the conditional variances are time-varying </w:t>
      </w:r>
      <w:hyperlink r:id="rId86">
        <w:r>
          <w:t>(Bollerslev, 1990)</w:t>
        </w:r>
      </w:hyperlink>
      <w:r>
        <w:t xml:space="preserve">. The CCC model uses the univariate GARCH to get the conditional variance </w:t>
      </w:r>
      <m:oMath>
        <m:sSubSup>
          <m:sSubSupPr>
            <m:ctrlPr>
              <w:rPr>
                <w:rFonts w:ascii="Cambria Math" w:hAnsi="Cambria Math"/>
              </w:rPr>
            </m:ctrlPr>
          </m:sSubSupPr>
          <m:e>
            <m:r>
              <w:rPr>
                <w:rFonts w:ascii="Cambria Math" w:hAnsi="Cambria Math"/>
              </w:rPr>
              <m:t>h</m:t>
            </m:r>
          </m:e>
          <m:sub>
            <m:r>
              <w:rPr>
                <w:rFonts w:ascii="Cambria Math" w:hAnsi="Cambria Math"/>
              </w:rPr>
              <m:t>it</m:t>
            </m:r>
          </m:sub>
          <m:sup/>
        </m:sSubSup>
      </m:oMath>
      <w:r>
        <w:t>, the variance equation is as follows:</w:t>
      </w:r>
    </w:p>
    <w:p w14:paraId="4B9C0300" w14:textId="77777777" w:rsidR="00480E11" w:rsidRDefault="00000000">
      <w:pPr>
        <w:ind w:left="360"/>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i,t</m:t>
              </m:r>
            </m:sub>
            <m:sup/>
          </m:sSubSup>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i</m:t>
              </m:r>
            </m:sub>
          </m:sSub>
          <m:r>
            <w:rPr>
              <w:rFonts w:ascii="Cambria Math" w:hAnsi="Cambria Math"/>
            </w:rPr>
            <m:t>+</m:t>
          </m:r>
          <m:nary>
            <m:naryPr>
              <m:chr m:val="∑"/>
              <m:ctrlPr>
                <w:rPr>
                  <w:rFonts w:ascii="Cambria Math" w:hAnsi="Cambria Math"/>
                </w:rPr>
              </m:ctrlPr>
            </m:naryPr>
            <m:sub>
              <m:r>
                <w:rPr>
                  <w:rFonts w:ascii="Cambria Math" w:hAnsi="Cambria Math"/>
                </w:rPr>
                <m:t>k=1</m:t>
              </m:r>
            </m:sub>
            <m:sup>
              <m:r>
                <w:rPr>
                  <w:rFonts w:ascii="Cambria Math" w:hAnsi="Cambria Math"/>
                </w:rPr>
                <m:t>p</m:t>
              </m:r>
            </m:sup>
            <m:e/>
          </m:nary>
          <m:sSub>
            <m:sSubPr>
              <m:ctrlPr>
                <w:rPr>
                  <w:rFonts w:ascii="Cambria Math" w:hAnsi="Cambria Math"/>
                </w:rPr>
              </m:ctrlPr>
            </m:sSubPr>
            <m:e>
              <m:r>
                <w:rPr>
                  <w:rFonts w:ascii="Cambria Math" w:hAnsi="Cambria Math"/>
                </w:rPr>
                <m:t>α</m:t>
              </m:r>
            </m:e>
            <m:sub>
              <m:r>
                <w:rPr>
                  <w:rFonts w:ascii="Cambria Math" w:hAnsi="Cambria Math"/>
                </w:rPr>
                <m:t>ik</m:t>
              </m:r>
            </m:sub>
          </m:sSub>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r>
            <w:rPr>
              <w:rFonts w:ascii="Cambria Math" w:hAnsi="Cambria Math"/>
            </w:rPr>
            <m:t>+</m:t>
          </m:r>
          <m:sSub>
            <m:sSubPr>
              <m:ctrlPr>
                <w:rPr>
                  <w:rFonts w:ascii="Cambria Math" w:hAnsi="Cambria Math"/>
                </w:rPr>
              </m:ctrlPr>
            </m:sSubPr>
            <m:e>
              <m:nary>
                <m:naryPr>
                  <m:chr m:val="∑"/>
                  <m:ctrlPr>
                    <w:rPr>
                      <w:rFonts w:ascii="Cambria Math" w:hAnsi="Cambria Math"/>
                    </w:rPr>
                  </m:ctrlPr>
                </m:naryPr>
                <m:sub>
                  <m:r>
                    <w:rPr>
                      <w:rFonts w:ascii="Cambria Math" w:hAnsi="Cambria Math"/>
                    </w:rPr>
                    <m:t>l=1</m:t>
                  </m:r>
                </m:sub>
                <m:sup>
                  <m:r>
                    <w:rPr>
                      <w:rFonts w:ascii="Cambria Math" w:hAnsi="Cambria Math"/>
                    </w:rPr>
                    <m:t>q</m:t>
                  </m:r>
                </m:sup>
                <m:e/>
              </m:nary>
            </m:e>
            <m:sub/>
          </m:sSub>
          <m:sSub>
            <m:sSubPr>
              <m:ctrlPr>
                <w:rPr>
                  <w:rFonts w:ascii="Cambria Math" w:hAnsi="Cambria Math"/>
                </w:rPr>
              </m:ctrlPr>
            </m:sSubPr>
            <m:e>
              <m:r>
                <w:rPr>
                  <w:rFonts w:ascii="Cambria Math" w:hAnsi="Cambria Math"/>
                </w:rPr>
                <m:t>β</m:t>
              </m:r>
            </m:e>
            <m:sub>
              <m:r>
                <w:rPr>
                  <w:rFonts w:ascii="Cambria Math" w:hAnsi="Cambria Math"/>
                </w:rPr>
                <m:t>ik</m:t>
              </m:r>
            </m:sub>
          </m:sSub>
          <m:sSubSup>
            <m:sSubSupPr>
              <m:ctrlPr>
                <w:rPr>
                  <w:rFonts w:ascii="Cambria Math" w:hAnsi="Cambria Math"/>
                </w:rPr>
              </m:ctrlPr>
            </m:sSubSupPr>
            <m:e>
              <m:r>
                <w:rPr>
                  <w:rFonts w:ascii="Cambria Math" w:hAnsi="Cambria Math"/>
                </w:rPr>
                <m:t>h</m:t>
              </m:r>
            </m:e>
            <m:sub>
              <m:r>
                <w:rPr>
                  <w:rFonts w:ascii="Cambria Math" w:hAnsi="Cambria Math"/>
                </w:rPr>
                <m:t>it-l</m:t>
              </m:r>
            </m:sub>
            <m:sup/>
          </m:sSubSup>
        </m:oMath>
      </m:oMathPara>
    </w:p>
    <w:p w14:paraId="3B2BE334" w14:textId="74D937D6" w:rsidR="00480E11" w:rsidRDefault="00000000">
      <w:pPr>
        <w:jc w:val="bot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it</m:t>
            </m:r>
          </m:sub>
          <m:sup/>
        </m:sSubSup>
      </m:oMath>
      <w:r>
        <w:t xml:space="preserve"> is the conditional variance of the commodity return of </w:t>
      </w:r>
      <m:oMath>
        <m:r>
          <w:rPr>
            <w:rFonts w:ascii="Cambria Math" w:hAnsi="Cambria Math"/>
          </w:rPr>
          <m:t>i</m:t>
        </m:r>
      </m:oMath>
      <w:r>
        <w:t xml:space="preserve"> at time </w:t>
      </w:r>
      <m:oMath>
        <m:r>
          <w:rPr>
            <w:rFonts w:ascii="Cambria Math" w:hAnsi="Cambria Math"/>
          </w:rPr>
          <m:t>t</m:t>
        </m:r>
      </m:oMath>
      <w:r>
        <w:t xml:space="preserve">, which is the expected volatility based on information available at previous times. </w:t>
      </w:r>
      <m:oMath>
        <m:sSubSup>
          <m:sSubSupPr>
            <m:ctrlPr>
              <w:rPr>
                <w:rFonts w:ascii="Cambria Math" w:hAnsi="Cambria Math"/>
              </w:rPr>
            </m:ctrlPr>
          </m:sSubSupPr>
          <m:e>
            <m:r>
              <w:rPr>
                <w:rFonts w:ascii="Cambria Math" w:hAnsi="Cambria Math"/>
              </w:rPr>
              <m:t>h</m:t>
            </m:r>
          </m:e>
          <m:sub>
            <m:r>
              <w:rPr>
                <w:rFonts w:ascii="Cambria Math" w:hAnsi="Cambria Math"/>
              </w:rPr>
              <m:t>it-l</m:t>
            </m:r>
          </m:sub>
          <m:sup>
            <m:r>
              <w:rPr>
                <w:rFonts w:ascii="Cambria Math" w:hAnsi="Cambria Math"/>
              </w:rPr>
              <m:t>2</m:t>
            </m:r>
          </m:sup>
        </m:sSubSup>
      </m:oMath>
      <w:r>
        <w:t xml:space="preserve"> is the lagged conditional variance at time </w:t>
      </w:r>
      <m:oMath>
        <m:r>
          <w:rPr>
            <w:rFonts w:ascii="Cambria Math" w:hAnsi="Cambria Math"/>
          </w:rPr>
          <m:t>t-l</m:t>
        </m:r>
      </m:oMath>
      <w:r>
        <w:t xml:space="preserve">. In this variance equation, </w:t>
      </w:r>
      <m:oMath>
        <m:sSub>
          <m:sSubPr>
            <m:ctrlPr>
              <w:rPr>
                <w:rFonts w:ascii="Cambria Math" w:hAnsi="Cambria Math"/>
              </w:rPr>
            </m:ctrlPr>
          </m:sSubPr>
          <m:e>
            <m:r>
              <w:rPr>
                <w:rFonts w:ascii="Cambria Math" w:hAnsi="Cambria Math"/>
              </w:rPr>
              <m:t>ω</m:t>
            </m:r>
          </m:e>
          <m:sub>
            <m:r>
              <w:rPr>
                <w:rFonts w:ascii="Cambria Math" w:hAnsi="Cambria Math"/>
              </w:rPr>
              <m:t>i</m:t>
            </m:r>
          </m:sub>
        </m:sSub>
      </m:oMath>
      <w:r>
        <w:t xml:space="preserve"> ,</w:t>
      </w:r>
      <m:oMath>
        <m:sSub>
          <m:sSubPr>
            <m:ctrlPr>
              <w:rPr>
                <w:rFonts w:ascii="Cambria Math" w:hAnsi="Cambria Math"/>
              </w:rPr>
            </m:ctrlPr>
          </m:sSubPr>
          <m:e>
            <m:r>
              <w:rPr>
                <w:rFonts w:ascii="Cambria Math" w:hAnsi="Cambria Math"/>
              </w:rPr>
              <m:t>α</m:t>
            </m:r>
          </m:e>
          <m:sub>
            <m:r>
              <w:rPr>
                <w:rFonts w:ascii="Cambria Math" w:hAnsi="Cambria Math"/>
              </w:rPr>
              <m:t>ik</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ik</m:t>
            </m:r>
          </m:sub>
        </m:sSub>
      </m:oMath>
      <w:r>
        <w:t xml:space="preserve"> are the parameters to be estimated, where </w:t>
      </w:r>
      <m:oMath>
        <m:sSub>
          <m:sSubPr>
            <m:ctrlPr>
              <w:rPr>
                <w:rFonts w:ascii="Cambria Math" w:hAnsi="Cambria Math"/>
              </w:rPr>
            </m:ctrlPr>
          </m:sSubPr>
          <m:e>
            <m:r>
              <w:rPr>
                <w:rFonts w:ascii="Cambria Math" w:hAnsi="Cambria Math"/>
              </w:rPr>
              <m:t>ω</m:t>
            </m:r>
          </m:e>
          <m:sub>
            <m:r>
              <w:rPr>
                <w:rFonts w:ascii="Cambria Math" w:hAnsi="Cambria Math"/>
              </w:rPr>
              <m:t>i</m:t>
            </m:r>
          </m:sub>
        </m:sSub>
      </m:oMath>
      <w:r>
        <w:t xml:space="preserve"> measures the long-term average variance,</w:t>
      </w:r>
      <m:oMath>
        <m:sSub>
          <m:sSubPr>
            <m:ctrlPr>
              <w:rPr>
                <w:rFonts w:ascii="Cambria Math" w:hAnsi="Cambria Math"/>
              </w:rPr>
            </m:ctrlPr>
          </m:sSubPr>
          <m:e>
            <m:r>
              <w:rPr>
                <w:rFonts w:ascii="Cambria Math" w:hAnsi="Cambria Math"/>
              </w:rPr>
              <m:t>α</m:t>
            </m:r>
          </m:e>
          <m:sub>
            <m:r>
              <w:rPr>
                <w:rFonts w:ascii="Cambria Math" w:hAnsi="Cambria Math"/>
              </w:rPr>
              <m:t>ik</m:t>
            </m:r>
          </m:sub>
        </m:sSub>
      </m:oMath>
      <w:r>
        <w:t xml:space="preserve"> captures the effect of lagged past shocks, and </w:t>
      </w:r>
      <m:oMath>
        <m:sSub>
          <m:sSubPr>
            <m:ctrlPr>
              <w:rPr>
                <w:rFonts w:ascii="Cambria Math" w:hAnsi="Cambria Math"/>
              </w:rPr>
            </m:ctrlPr>
          </m:sSubPr>
          <m:e>
            <m:r>
              <w:rPr>
                <w:rFonts w:ascii="Cambria Math" w:hAnsi="Cambria Math"/>
              </w:rPr>
              <m:t>β</m:t>
            </m:r>
          </m:e>
          <m:sub>
            <m:r>
              <w:rPr>
                <w:rFonts w:ascii="Cambria Math" w:hAnsi="Cambria Math"/>
              </w:rPr>
              <m:t>ik</m:t>
            </m:r>
          </m:sub>
        </m:sSub>
      </m:oMath>
      <w:r>
        <w:t xml:space="preserve"> reflects the persistence of past conditional variances.  </w:t>
      </w:r>
      <m:oMath>
        <m:sSubSup>
          <m:sSubSupPr>
            <m:ctrlPr>
              <w:rPr>
                <w:rFonts w:ascii="Cambria Math" w:hAnsi="Cambria Math"/>
              </w:rPr>
            </m:ctrlPr>
          </m:sSubSupPr>
          <m:e>
            <m:r>
              <w:rPr>
                <w:rFonts w:ascii="Cambria Math" w:hAnsi="Cambria Math"/>
              </w:rPr>
              <m:t>ϵ</m:t>
            </m:r>
          </m:e>
          <m:sub>
            <m:r>
              <w:rPr>
                <w:rFonts w:ascii="Cambria Math" w:hAnsi="Cambria Math"/>
              </w:rPr>
              <m:t>it-k</m:t>
            </m:r>
          </m:sub>
          <m:sup>
            <m:r>
              <w:rPr>
                <w:rFonts w:ascii="Cambria Math" w:hAnsi="Cambria Math"/>
              </w:rPr>
              <m:t>2</m:t>
            </m:r>
          </m:sup>
        </m:sSubSup>
      </m:oMath>
      <w:r>
        <w:t xml:space="preserve">  are the squared innovation at time </w:t>
      </w:r>
      <m:oMath>
        <m:r>
          <w:rPr>
            <w:rFonts w:ascii="Cambria Math" w:hAnsi="Cambria Math"/>
          </w:rPr>
          <m:t>t-k</m:t>
        </m:r>
      </m:oMath>
      <w:r>
        <w:t>.</w:t>
      </w:r>
    </w:p>
    <w:p w14:paraId="1DB81CC8" w14:textId="77777777" w:rsidR="00480E11" w:rsidRDefault="00000000">
      <w:pPr>
        <w:ind w:left="360"/>
        <w:jc w:val="center"/>
      </w:pPr>
      <m:oMath>
        <m:sSubSup>
          <m:sSubSupPr>
            <m:ctrlPr>
              <w:rPr>
                <w:rFonts w:ascii="Cambria Math" w:hAnsi="Cambria Math"/>
              </w:rPr>
            </m:ctrlPr>
          </m:sSubSupPr>
          <m:e>
            <m:r>
              <w:rPr>
                <w:rFonts w:ascii="Cambria Math" w:hAnsi="Cambria Math"/>
              </w:rPr>
              <m:t>D</m:t>
            </m:r>
          </m:e>
          <m:sub>
            <m:r>
              <w:rPr>
                <w:rFonts w:ascii="Cambria Math" w:hAnsi="Cambria Math"/>
              </w:rPr>
              <m:t>t</m:t>
            </m:r>
          </m:sub>
          <m:sup/>
        </m:sSubSup>
        <m:r>
          <w:rPr>
            <w:rFonts w:ascii="Cambria Math" w:hAnsi="Cambria Math"/>
          </w:rPr>
          <m:t>=diag</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h</m:t>
                    </m:r>
                  </m:e>
                  <m:sub>
                    <m:r>
                      <w:rPr>
                        <w:rFonts w:ascii="Cambria Math" w:hAnsi="Cambria Math"/>
                      </w:rPr>
                      <m:t>i,t</m:t>
                    </m:r>
                  </m:sub>
                  <m:sup/>
                </m:sSubSup>
              </m:e>
            </m:rad>
          </m:e>
        </m:d>
      </m:oMath>
      <w:r>
        <w:t xml:space="preserve">  </w:t>
      </w:r>
    </w:p>
    <w:p w14:paraId="3B34E4CC" w14:textId="77777777" w:rsidR="00480E11" w:rsidRDefault="00000000">
      <w:pPr>
        <w:ind w:left="360"/>
        <w:jc w:val="center"/>
      </w:pPr>
      <m:oMathPara>
        <m:oMath>
          <m:sSubSup>
            <m:sSubSupPr>
              <m:ctrlPr>
                <w:rPr>
                  <w:rFonts w:ascii="Cambria Math" w:hAnsi="Cambria Math"/>
                </w:rPr>
              </m:ctrlPr>
            </m:sSubSupPr>
            <m:e>
              <m:r>
                <w:rPr>
                  <w:rFonts w:ascii="Cambria Math" w:hAnsi="Cambria Math"/>
                </w:rPr>
                <m:t>H</m:t>
              </m:r>
            </m:e>
            <m:sub>
              <m:r>
                <w:rPr>
                  <w:rFonts w:ascii="Cambria Math" w:hAnsi="Cambria Math"/>
                </w:rPr>
                <m:t>t</m:t>
              </m:r>
            </m:sub>
            <m:sup/>
          </m:sSubSup>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t</m:t>
              </m:r>
            </m:sub>
            <m:sup/>
          </m:sSubSup>
          <m:sSubSup>
            <m:sSubSupPr>
              <m:ctrlPr>
                <w:rPr>
                  <w:rFonts w:ascii="Cambria Math" w:hAnsi="Cambria Math"/>
                </w:rPr>
              </m:ctrlPr>
            </m:sSubSupPr>
            <m:e>
              <m:r>
                <w:rPr>
                  <w:rFonts w:ascii="Cambria Math" w:hAnsi="Cambria Math"/>
                </w:rPr>
                <m:t>R</m:t>
              </m:r>
            </m:e>
            <m:sub/>
            <m:sup/>
          </m:sSubSup>
          <m:sSubSup>
            <m:sSubSupPr>
              <m:ctrlPr>
                <w:rPr>
                  <w:rFonts w:ascii="Cambria Math" w:hAnsi="Cambria Math"/>
                </w:rPr>
              </m:ctrlPr>
            </m:sSubSupPr>
            <m:e>
              <m:r>
                <w:rPr>
                  <w:rFonts w:ascii="Cambria Math" w:hAnsi="Cambria Math"/>
                </w:rPr>
                <m:t>D</m:t>
              </m:r>
            </m:e>
            <m:sub>
              <m:r>
                <w:rPr>
                  <w:rFonts w:ascii="Cambria Math" w:hAnsi="Cambria Math"/>
                </w:rPr>
                <m:t>t</m:t>
              </m:r>
            </m:sub>
            <m:sup/>
          </m:sSubSup>
        </m:oMath>
      </m:oMathPara>
    </w:p>
    <w:p w14:paraId="773A2C2A" w14:textId="3DB8C7E4" w:rsidR="00480E11" w:rsidRDefault="00000000">
      <w:pPr>
        <w:jc w:val="both"/>
      </w:pPr>
      <w:r>
        <w:t xml:space="preserve">where </w:t>
      </w:r>
      <m:oMath>
        <m:sSubSup>
          <m:sSubSupPr>
            <m:ctrlPr>
              <w:rPr>
                <w:rFonts w:ascii="Cambria Math" w:hAnsi="Cambria Math"/>
              </w:rPr>
            </m:ctrlPr>
          </m:sSubSupPr>
          <m:e>
            <m:r>
              <w:rPr>
                <w:rFonts w:ascii="Cambria Math" w:hAnsi="Cambria Math"/>
              </w:rPr>
              <m:t>H</m:t>
            </m:r>
          </m:e>
          <m:sub>
            <m:r>
              <w:rPr>
                <w:rFonts w:ascii="Cambria Math" w:hAnsi="Cambria Math"/>
              </w:rPr>
              <m:t>t</m:t>
            </m:r>
          </m:sub>
          <m:sup/>
        </m:sSubSup>
      </m:oMath>
      <w:r>
        <w:t xml:space="preserve"> is the conditional variance-covariance matrix of residuals, </w:t>
      </w:r>
      <m:oMath>
        <m:sSubSup>
          <m:sSubSupPr>
            <m:ctrlPr>
              <w:rPr>
                <w:rFonts w:ascii="Cambria Math" w:hAnsi="Cambria Math"/>
              </w:rPr>
            </m:ctrlPr>
          </m:sSubSupPr>
          <m:e>
            <m:r>
              <w:rPr>
                <w:rFonts w:ascii="Cambria Math" w:hAnsi="Cambria Math"/>
              </w:rPr>
              <m:t>D</m:t>
            </m:r>
          </m:e>
          <m:sub>
            <m:r>
              <w:rPr>
                <w:rFonts w:ascii="Cambria Math" w:hAnsi="Cambria Math"/>
              </w:rPr>
              <m:t>t</m:t>
            </m:r>
          </m:sub>
          <m:sup/>
        </m:sSubSup>
      </m:oMath>
      <w:r>
        <w:t xml:space="preserve">is the conditional standard deviations. </w:t>
      </w:r>
      <m:oMath>
        <m:r>
          <w:rPr>
            <w:rFonts w:ascii="Cambria Math" w:hAnsi="Cambria Math"/>
          </w:rPr>
          <m:t>R</m:t>
        </m:r>
      </m:oMath>
      <w:r>
        <w:t xml:space="preserve"> is the constant correlation matrix.</w:t>
      </w:r>
    </w:p>
    <w:p w14:paraId="0DBD4118" w14:textId="2E57304F" w:rsidR="00480E11" w:rsidRDefault="00000000">
      <w:pPr>
        <w:pStyle w:val="Heading2"/>
        <w:jc w:val="both"/>
      </w:pPr>
      <w:bookmarkStart w:id="9" w:name="_Toc166705770"/>
      <w:r>
        <w:t>3.</w:t>
      </w:r>
      <w:r w:rsidR="00BA099E">
        <w:t>4</w:t>
      </w:r>
      <w:r>
        <w:t xml:space="preserve"> Time-varying Portfolio Optimization</w:t>
      </w:r>
      <w:bookmarkEnd w:id="9"/>
    </w:p>
    <w:p w14:paraId="3076F6AF" w14:textId="11EE2397" w:rsidR="00480E11" w:rsidRDefault="00000000">
      <w:pPr>
        <w:jc w:val="both"/>
      </w:pPr>
      <w:r>
        <w:t xml:space="preserve">By considering different risk and return objectives. We construct seven portfolios for optimization: equal weight, mean-variance, minimum variance, minimum correlation, maximum </w:t>
      </w:r>
      <w:r w:rsidR="001A015A" w:rsidRPr="001A015A">
        <w:t>Sharpe</w:t>
      </w:r>
      <w:r>
        <w:t xml:space="preserve"> ratio, maximum </w:t>
      </w:r>
      <w:r w:rsidR="001A015A">
        <w:t>S</w:t>
      </w:r>
      <w:r>
        <w:t>ortino ratio, and mean-CVaR.</w:t>
      </w:r>
    </w:p>
    <w:p w14:paraId="5EE25D8E" w14:textId="14F8ADA3" w:rsidR="00480E11" w:rsidRDefault="00000000">
      <w:pPr>
        <w:pStyle w:val="Heading3"/>
        <w:jc w:val="both"/>
        <w:rPr>
          <w:highlight w:val="white"/>
        </w:rPr>
      </w:pPr>
      <w:r>
        <w:rPr>
          <w:highlight w:val="white"/>
        </w:rPr>
        <w:t>3.</w:t>
      </w:r>
      <w:r w:rsidR="0060664D">
        <w:rPr>
          <w:highlight w:val="white"/>
        </w:rPr>
        <w:t>4</w:t>
      </w:r>
      <w:r>
        <w:rPr>
          <w:highlight w:val="white"/>
        </w:rPr>
        <w:t xml:space="preserve">.1 Equal Weight Portfolio </w:t>
      </w:r>
    </w:p>
    <w:p w14:paraId="2D2C0374" w14:textId="25A3F55B" w:rsidR="00480E11" w:rsidRDefault="00000000">
      <w:pPr>
        <w:jc w:val="both"/>
        <w:rPr>
          <w:highlight w:val="white"/>
        </w:rPr>
      </w:pPr>
      <w:r>
        <w:rPr>
          <w:highlight w:val="white"/>
        </w:rPr>
        <w:t xml:space="preserve">We build the </w:t>
      </w:r>
      <w:r w:rsidR="00F83CB0" w:rsidRPr="00F83CB0">
        <w:t>equal</w:t>
      </w:r>
      <w:r w:rsidR="00F83CB0">
        <w:t xml:space="preserve">ly </w:t>
      </w:r>
      <w:r w:rsidR="00F83CB0" w:rsidRPr="00F83CB0">
        <w:t>weight</w:t>
      </w:r>
      <w:r w:rsidR="00F83CB0">
        <w:t>ed</w:t>
      </w:r>
      <w:r>
        <w:rPr>
          <w:highlight w:val="white"/>
        </w:rPr>
        <w:t xml:space="preserve"> portfolio by setting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oMath>
      <w:r>
        <w:t xml:space="preserve">, where </w:t>
      </w:r>
      <m:oMath>
        <m:sSubSup>
          <m:sSubSupPr>
            <m:ctrlPr>
              <w:rPr>
                <w:rFonts w:ascii="Cambria Math" w:hAnsi="Cambria Math"/>
              </w:rPr>
            </m:ctrlPr>
          </m:sSubSupPr>
          <m:e>
            <m:r>
              <w:rPr>
                <w:rFonts w:ascii="Cambria Math" w:hAnsi="Cambria Math"/>
              </w:rPr>
              <m:t>w</m:t>
            </m:r>
          </m:e>
          <m:sub>
            <m:r>
              <w:rPr>
                <w:rFonts w:ascii="Cambria Math" w:hAnsi="Cambria Math"/>
              </w:rPr>
              <m:t>it</m:t>
            </m:r>
          </m:sub>
          <m:sup/>
        </m:sSubSup>
      </m:oMath>
      <w:r>
        <w:t xml:space="preserve">is the weight for commodity i, and </w:t>
      </w:r>
      <m:oMath>
        <m:r>
          <w:rPr>
            <w:rFonts w:ascii="Cambria Math" w:hAnsi="Cambria Math"/>
          </w:rPr>
          <m:t>N</m:t>
        </m:r>
      </m:oMath>
      <w:r>
        <w:t xml:space="preserve"> is the number of commodity types in the portfolio. </w:t>
      </w:r>
      <w:r>
        <w:rPr>
          <w:highlight w:val="white"/>
        </w:rPr>
        <w:t>This portfolio is not rebalanced through time, and it serves as a benchmark for all other portfolios.</w:t>
      </w:r>
    </w:p>
    <w:p w14:paraId="0C8D3E14" w14:textId="5CB42760" w:rsidR="00480E11" w:rsidRDefault="00000000">
      <w:pPr>
        <w:pStyle w:val="Heading3"/>
        <w:jc w:val="both"/>
        <w:rPr>
          <w:sz w:val="22"/>
          <w:szCs w:val="22"/>
        </w:rPr>
      </w:pPr>
      <w:r>
        <w:t>3.</w:t>
      </w:r>
      <w:r w:rsidR="0060664D">
        <w:t>4</w:t>
      </w:r>
      <w:r>
        <w:t xml:space="preserve">.2 Mean-Variance Portfolio </w:t>
      </w:r>
    </w:p>
    <w:p w14:paraId="21933CF1" w14:textId="1649AEBB" w:rsidR="00480E11" w:rsidRDefault="00000000">
      <w:pPr>
        <w:jc w:val="both"/>
      </w:pPr>
      <w:r>
        <w:t xml:space="preserve">The basic portfolio optimization method is the mean-variance method developed by Markowitz (1952), in which investors seek to find the maximum returns and the minimum volatility of the portfolio. The return and variance of the portfolio based on the multivariate GARCH models </w:t>
      </w:r>
      <w:r w:rsidR="0072575B" w:rsidRPr="0072575B">
        <w:t>are</w:t>
      </w:r>
      <w:r>
        <w:t xml:space="preserve"> as follows: </w:t>
      </w:r>
    </w:p>
    <w:p w14:paraId="28959B74" w14:textId="6D10F723" w:rsidR="00480E11" w:rsidRDefault="00000000">
      <w:pPr>
        <w:ind w:left="360"/>
        <w:jc w:val="center"/>
      </w:pPr>
      <m:oMathPara>
        <m:oMath>
          <m:sSubSup>
            <m:sSubSupPr>
              <m:ctrlPr>
                <w:rPr>
                  <w:rFonts w:ascii="Cambria Math" w:hAnsi="Cambria Math"/>
                </w:rPr>
              </m:ctrlPr>
            </m:sSubSupPr>
            <m:e>
              <m:r>
                <w:rPr>
                  <w:rFonts w:ascii="Cambria Math" w:hAnsi="Cambria Math"/>
                </w:rPr>
                <m:t>E(R</m:t>
              </m:r>
            </m:e>
            <m:sub>
              <m:r>
                <w:rPr>
                  <w:rFonts w:ascii="Cambria Math" w:hAnsi="Cambria Math"/>
                </w:rPr>
                <m:t>p</m:t>
              </m:r>
            </m:sub>
            <m:sup/>
          </m:sSubSup>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μ</m:t>
              </m:r>
            </m:e>
            <m:sub>
              <m:r>
                <w:rPr>
                  <w:rFonts w:ascii="Cambria Math" w:hAnsi="Cambria Math"/>
                </w:rPr>
                <m:t>it</m:t>
              </m:r>
            </m:sub>
            <m:sup/>
          </m:sSubSup>
          <m:sSubSup>
            <m:sSubSupPr>
              <m:ctrlPr>
                <w:rPr>
                  <w:rFonts w:ascii="Cambria Math" w:hAnsi="Cambria Math"/>
                </w:rPr>
              </m:ctrlPr>
            </m:sSubSupPr>
            <m:e>
              <m:r>
                <w:rPr>
                  <w:rFonts w:ascii="Cambria Math" w:hAnsi="Cambria Math"/>
                </w:rPr>
                <m:t>w</m:t>
              </m:r>
            </m:e>
            <m:sub>
              <m:r>
                <w:rPr>
                  <w:rFonts w:ascii="Cambria Math" w:hAnsi="Cambria Math"/>
                </w:rPr>
                <m:t>it</m:t>
              </m:r>
            </m:sub>
            <m:sup/>
          </m:sSubSup>
        </m:oMath>
      </m:oMathPara>
    </w:p>
    <w:p w14:paraId="0E7989EF" w14:textId="77777777" w:rsidR="00480E11" w:rsidRDefault="00000000">
      <w:pPr>
        <w:ind w:left="360"/>
        <w:jc w:val="center"/>
      </w:pPr>
      <m:oMathPara>
        <m:oMath>
          <m:sSubSup>
            <m:sSubSupPr>
              <m:ctrlPr>
                <w:rPr>
                  <w:rFonts w:ascii="Cambria Math" w:hAnsi="Cambria Math"/>
                </w:rPr>
              </m:ctrlPr>
            </m:sSubSupPr>
            <m:e>
              <m:r>
                <w:rPr>
                  <w:rFonts w:ascii="Cambria Math" w:hAnsi="Cambria Math"/>
                </w:rPr>
                <m:t>Var(R</m:t>
              </m:r>
            </m:e>
            <m:sub>
              <m:r>
                <w:rPr>
                  <w:rFonts w:ascii="Cambria Math" w:hAnsi="Cambria Math"/>
                </w:rPr>
                <m:t>p</m:t>
              </m:r>
            </m:sub>
            <m:sup/>
          </m:sSubSup>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nary>
          <m:nary>
            <m:naryPr>
              <m:chr m:val="∑"/>
              <m:ctrlPr>
                <w:rPr>
                  <w:rFonts w:ascii="Cambria Math" w:hAnsi="Cambria Math"/>
                </w:rPr>
              </m:ctrlPr>
            </m:naryPr>
            <m:sub>
              <m:r>
                <w:rPr>
                  <w:rFonts w:ascii="Cambria Math" w:hAnsi="Cambria Math"/>
                </w:rPr>
                <m:t>j=1</m:t>
              </m:r>
            </m:sub>
            <m:sup>
              <m:r>
                <w:rPr>
                  <w:rFonts w:ascii="Cambria Math" w:hAnsi="Cambria Math"/>
                </w:rPr>
                <m:t>n</m:t>
              </m:r>
            </m:sup>
            <m:e/>
          </m:nary>
          <m:sSubSup>
            <m:sSubSupPr>
              <m:ctrlPr>
                <w:rPr>
                  <w:rFonts w:ascii="Cambria Math" w:hAnsi="Cambria Math"/>
                </w:rPr>
              </m:ctrlPr>
            </m:sSubSupPr>
            <m:e>
              <m:r>
                <w:rPr>
                  <w:rFonts w:ascii="Cambria Math" w:hAnsi="Cambria Math"/>
                </w:rPr>
                <m:t>σ</m:t>
              </m:r>
            </m:e>
            <m:sub>
              <m:r>
                <w:rPr>
                  <w:rFonts w:ascii="Cambria Math" w:hAnsi="Cambria Math"/>
                </w:rPr>
                <m:t>ij</m:t>
              </m:r>
            </m:sub>
            <m:sup/>
          </m:sSubSup>
          <m:sSubSup>
            <m:sSubSupPr>
              <m:ctrlPr>
                <w:rPr>
                  <w:rFonts w:ascii="Cambria Math" w:hAnsi="Cambria Math"/>
                </w:rPr>
              </m:ctrlPr>
            </m:sSubSupPr>
            <m:e>
              <m:r>
                <w:rPr>
                  <w:rFonts w:ascii="Cambria Math" w:hAnsi="Cambria Math"/>
                </w:rPr>
                <m:t>w</m:t>
              </m:r>
            </m:e>
            <m:sub>
              <m:r>
                <w:rPr>
                  <w:rFonts w:ascii="Cambria Math" w:hAnsi="Cambria Math"/>
                </w:rPr>
                <m:t>it</m:t>
              </m:r>
            </m:sub>
            <m:sup/>
          </m:sSubSup>
          <m:sSubSup>
            <m:sSubSupPr>
              <m:ctrlPr>
                <w:rPr>
                  <w:rFonts w:ascii="Cambria Math" w:hAnsi="Cambria Math"/>
                </w:rPr>
              </m:ctrlPr>
            </m:sSubSupPr>
            <m:e>
              <m:r>
                <w:rPr>
                  <w:rFonts w:ascii="Cambria Math" w:hAnsi="Cambria Math"/>
                </w:rPr>
                <m:t>w</m:t>
              </m:r>
            </m:e>
            <m:sub>
              <m:r>
                <w:rPr>
                  <w:rFonts w:ascii="Cambria Math" w:hAnsi="Cambria Math"/>
                </w:rPr>
                <m:t>jt</m:t>
              </m:r>
            </m:sub>
            <m:sup/>
          </m:sSubSup>
          <m:r>
            <w:rPr>
              <w:rFonts w:ascii="Cambria Math" w:hAnsi="Cambria Math"/>
            </w:rPr>
            <m:t>=</m:t>
          </m:r>
          <m:sSubSup>
            <m:sSubSupPr>
              <m:ctrlPr>
                <w:rPr>
                  <w:rFonts w:ascii="Cambria Math" w:hAnsi="Cambria Math"/>
                </w:rPr>
              </m:ctrlPr>
            </m:sSubSupPr>
            <m:e>
              <m:r>
                <w:rPr>
                  <w:rFonts w:ascii="Cambria Math" w:hAnsi="Cambria Math"/>
                </w:rPr>
                <m:t>w</m:t>
              </m:r>
            </m:e>
            <m:sub/>
            <m:sup>
              <m:r>
                <w:rPr>
                  <w:rFonts w:ascii="Cambria Math" w:hAnsi="Cambria Math"/>
                </w:rPr>
                <m:t>T</m:t>
              </m:r>
            </m:sup>
          </m:sSubSup>
          <m:sSubSup>
            <m:sSubSupPr>
              <m:ctrlPr>
                <w:rPr>
                  <w:rFonts w:ascii="Cambria Math" w:hAnsi="Cambria Math"/>
                </w:rPr>
              </m:ctrlPr>
            </m:sSubSupPr>
            <m:e>
              <m:r>
                <w:rPr>
                  <w:rFonts w:ascii="Cambria Math" w:hAnsi="Cambria Math"/>
                </w:rPr>
                <m:t>Q</m:t>
              </m:r>
            </m:e>
            <m:sub>
              <m:r>
                <w:rPr>
                  <w:rFonts w:ascii="Cambria Math" w:hAnsi="Cambria Math"/>
                </w:rPr>
                <m:t>t</m:t>
              </m:r>
            </m:sub>
            <m:sup/>
          </m:sSubSup>
          <m:r>
            <w:rPr>
              <w:rFonts w:ascii="Cambria Math" w:hAnsi="Cambria Math"/>
            </w:rPr>
            <m:t>w</m:t>
          </m:r>
        </m:oMath>
      </m:oMathPara>
    </w:p>
    <w:p w14:paraId="67AD52AA" w14:textId="77777777" w:rsidR="00480E11" w:rsidRDefault="00000000">
      <w:pPr>
        <w:jc w:val="both"/>
      </w:pPr>
      <w:r>
        <w:t xml:space="preserve">By assuming no short-selling opportunities, we can build a quadratic optimization process by using the time-varying covariance matrix and the expected mean return </w:t>
      </w:r>
      <w:hyperlink r:id="rId87">
        <w:r>
          <w:t>(see for Ghaemi Asl et al., 2024)</w:t>
        </w:r>
      </w:hyperlink>
      <w:r>
        <w:t xml:space="preserve">: </w:t>
      </w:r>
    </w:p>
    <w:p w14:paraId="7F49307A" w14:textId="77777777" w:rsidR="00480E11" w:rsidRDefault="00000000">
      <w:pPr>
        <w:ind w:left="360"/>
        <w:jc w:val="center"/>
      </w:pPr>
      <w:r>
        <w:t xml:space="preserve">    </w:t>
      </w:r>
      <m:oMath>
        <m:r>
          <w:rPr>
            <w:rFonts w:ascii="Cambria Math" w:hAnsi="Cambria Math"/>
          </w:rPr>
          <m:t xml:space="preserve">Max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sup>
                <m:r>
                  <w:rPr>
                    <w:rFonts w:ascii="Cambria Math" w:hAnsi="Cambria Math"/>
                  </w:rPr>
                  <m:t>T</m:t>
                </m:r>
              </m:sup>
            </m:sSubSup>
            <m:sSub>
              <m:sSubPr>
                <m:ctrlPr>
                  <w:rPr>
                    <w:rFonts w:ascii="Cambria Math" w:hAnsi="Cambria Math"/>
                  </w:rPr>
                </m:ctrlPr>
              </m:sSubPr>
              <m:e>
                <m:r>
                  <w:rPr>
                    <w:rFonts w:ascii="Cambria Math" w:hAnsi="Cambria Math"/>
                  </w:rPr>
                  <m:t>μ</m:t>
                </m:r>
              </m:e>
              <m:sub/>
            </m:sSub>
            <m:r>
              <w:rPr>
                <w:rFonts w:ascii="Cambria Math" w:hAnsi="Cambria Math"/>
              </w:rPr>
              <m:t>-</m:t>
            </m:r>
            <m:f>
              <m:fPr>
                <m:ctrlPr>
                  <w:rPr>
                    <w:rFonts w:ascii="Cambria Math" w:hAnsi="Cambria Math"/>
                  </w:rPr>
                </m:ctrlPr>
              </m:fPr>
              <m:num>
                <m:r>
                  <w:rPr>
                    <w:rFonts w:ascii="Cambria Math" w:hAnsi="Cambria Math"/>
                  </w:rPr>
                  <m:t>γ</m:t>
                </m:r>
              </m:num>
              <m:den>
                <m:r>
                  <w:rPr>
                    <w:rFonts w:ascii="Cambria Math" w:hAnsi="Cambria Math"/>
                  </w:rPr>
                  <m:t>2</m:t>
                </m:r>
              </m:den>
            </m:f>
            <m:sSubSup>
              <m:sSubSupPr>
                <m:ctrlPr>
                  <w:rPr>
                    <w:rFonts w:ascii="Cambria Math" w:hAnsi="Cambria Math"/>
                  </w:rPr>
                </m:ctrlPr>
              </m:sSubSupPr>
              <m:e>
                <m:r>
                  <w:rPr>
                    <w:rFonts w:ascii="Cambria Math" w:hAnsi="Cambria Math"/>
                  </w:rPr>
                  <m:t>w</m:t>
                </m:r>
              </m:e>
              <m:sub/>
              <m:sup>
                <m:r>
                  <w:rPr>
                    <w:rFonts w:ascii="Cambria Math" w:hAnsi="Cambria Math"/>
                  </w:rPr>
                  <m:t>T</m:t>
                </m:r>
              </m:sup>
            </m:sSubSup>
            <m:sSubSup>
              <m:sSubSupPr>
                <m:ctrlPr>
                  <w:rPr>
                    <w:rFonts w:ascii="Cambria Math" w:hAnsi="Cambria Math"/>
                  </w:rPr>
                </m:ctrlPr>
              </m:sSubSupPr>
              <m:e>
                <m:r>
                  <w:rPr>
                    <w:rFonts w:ascii="Cambria Math" w:hAnsi="Cambria Math"/>
                  </w:rPr>
                  <m:t>Q</m:t>
                </m:r>
              </m:e>
              <m:sub>
                <m:r>
                  <w:rPr>
                    <w:rFonts w:ascii="Cambria Math" w:hAnsi="Cambria Math"/>
                  </w:rPr>
                  <m:t>t</m:t>
                </m:r>
              </m:sub>
              <m:sup/>
            </m:sSubSup>
            <m:r>
              <w:rPr>
                <w:rFonts w:ascii="Cambria Math" w:hAnsi="Cambria Math"/>
              </w:rPr>
              <m:t>w</m:t>
            </m:r>
          </m:e>
        </m:d>
      </m:oMath>
      <w:r>
        <w:t xml:space="preserve">,         subject to </w:t>
      </w:r>
      <m:oMath>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=1</m:t>
        </m:r>
      </m:oMath>
      <w:r>
        <w:t xml:space="preserve"> and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&gt;0</m:t>
        </m:r>
      </m:oMath>
    </w:p>
    <w:p w14:paraId="35D5A7AA" w14:textId="4305D949" w:rsidR="00480E11" w:rsidRDefault="00000000">
      <w:pPr>
        <w:jc w:val="both"/>
      </w:pPr>
      <w:r>
        <w:t xml:space="preserve">where </w:t>
      </w:r>
      <m:oMath>
        <m:r>
          <w:rPr>
            <w:rFonts w:ascii="Cambria Math" w:hAnsi="Cambria Math"/>
          </w:rPr>
          <m:t>γ</m:t>
        </m:r>
      </m:oMath>
      <w:r>
        <w:t xml:space="preserve"> is the risk aversion coefficient, </w:t>
      </w:r>
      <m:oMath>
        <m:sSubSup>
          <m:sSubSupPr>
            <m:ctrlPr>
              <w:rPr>
                <w:rFonts w:ascii="Cambria Math" w:hAnsi="Cambria Math"/>
              </w:rPr>
            </m:ctrlPr>
          </m:sSubSupPr>
          <m:e>
            <m:r>
              <w:rPr>
                <w:rFonts w:ascii="Cambria Math" w:hAnsi="Cambria Math"/>
              </w:rPr>
              <m:t>Q</m:t>
            </m:r>
          </m:e>
          <m:sub>
            <m:r>
              <w:rPr>
                <w:rFonts w:ascii="Cambria Math" w:hAnsi="Cambria Math"/>
              </w:rPr>
              <m:t>t</m:t>
            </m:r>
          </m:sub>
          <m:sup/>
        </m:sSubSup>
      </m:oMath>
      <w:r>
        <w:t xml:space="preserve"> is the covariance matrix with the dimension of </w:t>
      </w:r>
      <m:oMath>
        <m:r>
          <w:rPr>
            <w:rFonts w:ascii="Cambria Math" w:hAnsi="Cambria Math"/>
          </w:rPr>
          <m:t>i×i×T</m:t>
        </m:r>
      </m:oMath>
      <w:r>
        <w:t xml:space="preserve">, </w:t>
      </w:r>
      <m:oMath>
        <m:r>
          <w:rPr>
            <w:rFonts w:ascii="Cambria Math" w:hAnsi="Cambria Math"/>
          </w:rPr>
          <m:t>μ</m:t>
        </m:r>
      </m:oMath>
      <w:r>
        <w:t xml:space="preserve"> is the expected mean return calculated in the GARCH model, and </w:t>
      </w:r>
      <m:oMath>
        <m:r>
          <w:rPr>
            <w:rFonts w:ascii="Cambria Math" w:hAnsi="Cambria Math"/>
          </w:rPr>
          <m:t>w</m:t>
        </m:r>
      </m:oMath>
      <w:r>
        <w:t xml:space="preserve"> is the weight of each commodity.</w:t>
      </w:r>
    </w:p>
    <w:p w14:paraId="608DFB99" w14:textId="1B9C4368" w:rsidR="00480E11" w:rsidRDefault="00000000">
      <w:pPr>
        <w:pStyle w:val="Heading3"/>
        <w:jc w:val="both"/>
      </w:pPr>
      <w:r>
        <w:t>3.</w:t>
      </w:r>
      <w:r w:rsidR="007F5E5D">
        <w:t>4</w:t>
      </w:r>
      <w:r>
        <w:t xml:space="preserve">.3 Minimum Variance Portfolio </w:t>
      </w:r>
    </w:p>
    <w:p w14:paraId="41FA0A6D" w14:textId="3DD0E045" w:rsidR="00480E11" w:rsidRDefault="00000000">
      <w:pPr>
        <w:jc w:val="both"/>
      </w:pPr>
      <w:r>
        <w:t xml:space="preserve">We can create a portfolio that reduces the investor's risk by minimizing the portfolio's variance. </w:t>
      </w:r>
      <w:r w:rsidR="00513875" w:rsidRPr="00513875">
        <w:t>To define the minimum variance portfolio, we use a function that incorporates the variances and covariances of the returns of the assets within the portfolio. The objective is to find the set of weights for the assets that result in the lowest possible variance for the portfolio's returns.</w:t>
      </w:r>
      <w:r w:rsidR="00513875">
        <w:t xml:space="preserve"> </w:t>
      </w:r>
      <w:r>
        <w:t xml:space="preserve">The function is defined as follows: </w:t>
      </w:r>
    </w:p>
    <w:p w14:paraId="306EDC61" w14:textId="30EDED04" w:rsidR="00480E11" w:rsidRDefault="00000000" w:rsidP="00E626C9">
      <w:pPr>
        <w:ind w:left="360" w:firstLine="240"/>
        <w:jc w:val="center"/>
      </w:pPr>
      <m:oMath>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sup>
                <m:r>
                  <w:rPr>
                    <w:rFonts w:ascii="Cambria Math" w:hAnsi="Cambria Math"/>
                  </w:rPr>
                  <m:t>T</m:t>
                </m:r>
              </m:sup>
            </m:sSubSup>
            <m:sSubSup>
              <m:sSubSupPr>
                <m:ctrlPr>
                  <w:rPr>
                    <w:rFonts w:ascii="Cambria Math" w:hAnsi="Cambria Math"/>
                  </w:rPr>
                </m:ctrlPr>
              </m:sSubSupPr>
              <m:e>
                <m:r>
                  <w:rPr>
                    <w:rFonts w:ascii="Cambria Math" w:hAnsi="Cambria Math"/>
                  </w:rPr>
                  <m:t>Q</m:t>
                </m:r>
              </m:e>
              <m:sub>
                <m:r>
                  <w:rPr>
                    <w:rFonts w:ascii="Cambria Math" w:hAnsi="Cambria Math"/>
                  </w:rPr>
                  <m:t>t</m:t>
                </m:r>
              </m:sub>
              <m:sup/>
            </m:sSubSup>
            <m:r>
              <w:rPr>
                <w:rFonts w:ascii="Cambria Math" w:hAnsi="Cambria Math"/>
              </w:rPr>
              <m:t>w</m:t>
            </m:r>
          </m:e>
        </m:d>
      </m:oMath>
      <w:r>
        <w:t xml:space="preserve">,         subject to </w:t>
      </w:r>
      <m:oMath>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=1</m:t>
        </m:r>
      </m:oMath>
      <w:r>
        <w:t xml:space="preserve"> and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&gt;0</m:t>
        </m:r>
      </m:oMath>
    </w:p>
    <w:p w14:paraId="545ADAE0" w14:textId="16CDA397" w:rsidR="00E626C9" w:rsidRDefault="005458A5" w:rsidP="00E626C9">
      <w:pPr>
        <w:jc w:val="both"/>
        <w:rPr>
          <w:highlight w:val="white"/>
        </w:rPr>
      </w:pPr>
      <w:r>
        <w:rPr>
          <w:highlight w:val="white"/>
        </w:rPr>
        <w:t>w</w:t>
      </w:r>
      <w:r w:rsidR="00D376E3">
        <w:rPr>
          <w:highlight w:val="white"/>
        </w:rPr>
        <w:t xml:space="preserve">here </w:t>
      </w:r>
      <m:oMath>
        <m:sSubSup>
          <m:sSubSupPr>
            <m:ctrlPr>
              <w:rPr>
                <w:rFonts w:ascii="Cambria Math" w:hAnsi="Cambria Math"/>
              </w:rPr>
            </m:ctrlPr>
          </m:sSubSupPr>
          <m:e>
            <m:r>
              <w:rPr>
                <w:rFonts w:ascii="Cambria Math" w:hAnsi="Cambria Math"/>
              </w:rPr>
              <m:t>Q</m:t>
            </m:r>
          </m:e>
          <m:sub>
            <m:r>
              <w:rPr>
                <w:rFonts w:ascii="Cambria Math" w:hAnsi="Cambria Math"/>
              </w:rPr>
              <m:t>t</m:t>
            </m:r>
          </m:sub>
          <m:sup/>
        </m:sSubSup>
      </m:oMath>
      <w:r w:rsidR="00420A62">
        <w:t xml:space="preserve"> is the </w:t>
      </w:r>
      <w:r w:rsidR="00420A62" w:rsidRPr="00420A62">
        <w:t>conditional</w:t>
      </w:r>
      <w:r w:rsidR="00420A62">
        <w:t xml:space="preserve"> covariance matrix</w:t>
      </w:r>
      <w:r w:rsidR="00E626C9">
        <w:rPr>
          <w:highlight w:val="white"/>
        </w:rPr>
        <w:t>.</w:t>
      </w:r>
      <w:r w:rsidR="000F5AED">
        <w:rPr>
          <w:highlight w:val="white"/>
        </w:rPr>
        <w:t xml:space="preserve"> </w:t>
      </w:r>
    </w:p>
    <w:p w14:paraId="2809347B" w14:textId="71AE0236" w:rsidR="00480E11" w:rsidRDefault="00000000">
      <w:pPr>
        <w:pStyle w:val="Heading3"/>
        <w:jc w:val="both"/>
        <w:rPr>
          <w:highlight w:val="white"/>
        </w:rPr>
      </w:pPr>
      <w:r>
        <w:rPr>
          <w:highlight w:val="white"/>
        </w:rPr>
        <w:t>3.</w:t>
      </w:r>
      <w:r w:rsidR="00C607A0">
        <w:rPr>
          <w:highlight w:val="white"/>
        </w:rPr>
        <w:t>4</w:t>
      </w:r>
      <w:r>
        <w:rPr>
          <w:highlight w:val="white"/>
        </w:rPr>
        <w:t>.4 Minimum Correlation Portfolio</w:t>
      </w:r>
    </w:p>
    <w:p w14:paraId="042F11DA" w14:textId="3F33D47F" w:rsidR="00480E11" w:rsidRDefault="00000000">
      <w:pPr>
        <w:jc w:val="both"/>
        <w:rPr>
          <w:highlight w:val="white"/>
        </w:rPr>
      </w:pPr>
      <w:r>
        <w:rPr>
          <w:highlight w:val="white"/>
        </w:rPr>
        <w:t xml:space="preserve">We create the minimum correlation portfolio based on the time-varying conditional correlation matrix. The correlation between assets has a significant impact on the risk and return of the portfolio. If assets are highly positively correlated, when one asset suffers losses, others may also be affected, thereby increasing the overall risk of the portfolio. Conversely, if assets exhibit a negative correlation or low correlation, it may provide some degree of hedging when some assets perform poorly, thereby reducing the overall risk of the portfolio. By constructing a </w:t>
      </w:r>
      <w:r w:rsidR="00454B4B">
        <w:rPr>
          <w:highlight w:val="white"/>
        </w:rPr>
        <w:t>m</w:t>
      </w:r>
      <w:r>
        <w:rPr>
          <w:highlight w:val="white"/>
        </w:rPr>
        <w:t xml:space="preserve">inimum </w:t>
      </w:r>
      <w:r w:rsidR="00454B4B">
        <w:rPr>
          <w:highlight w:val="white"/>
        </w:rPr>
        <w:t>c</w:t>
      </w:r>
      <w:r>
        <w:rPr>
          <w:highlight w:val="white"/>
        </w:rPr>
        <w:t xml:space="preserve">orrelation </w:t>
      </w:r>
      <w:r w:rsidR="00454B4B">
        <w:rPr>
          <w:highlight w:val="white"/>
        </w:rPr>
        <w:t>p</w:t>
      </w:r>
      <w:r>
        <w:rPr>
          <w:highlight w:val="white"/>
        </w:rPr>
        <w:t>ortfolio, we can further reduce the overall risk of the portfolio and seek more effective asset allocation.</w:t>
      </w:r>
    </w:p>
    <w:p w14:paraId="1CCC9065" w14:textId="77777777" w:rsidR="00480E11" w:rsidRDefault="00000000">
      <w:pPr>
        <w:ind w:left="360"/>
        <w:jc w:val="center"/>
      </w:pPr>
      <w:r>
        <w:t xml:space="preserve">    </w:t>
      </w:r>
      <m:oMath>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w</m:t>
                </m:r>
              </m:e>
              <m:sub/>
              <m:sup>
                <m:r>
                  <w:rPr>
                    <w:rFonts w:ascii="Cambria Math" w:hAnsi="Cambria Math"/>
                  </w:rPr>
                  <m:t>T</m:t>
                </m:r>
              </m:sup>
            </m:sSubSup>
            <m:sSubSup>
              <m:sSubSupPr>
                <m:ctrlPr>
                  <w:rPr>
                    <w:rFonts w:ascii="Cambria Math" w:hAnsi="Cambria Math"/>
                  </w:rPr>
                </m:ctrlPr>
              </m:sSubSupPr>
              <m:e>
                <m:r>
                  <w:rPr>
                    <w:rFonts w:ascii="Cambria Math" w:hAnsi="Cambria Math"/>
                  </w:rPr>
                  <m:t>R</m:t>
                </m:r>
              </m:e>
              <m:sub>
                <m:r>
                  <w:rPr>
                    <w:rFonts w:ascii="Cambria Math" w:hAnsi="Cambria Math"/>
                  </w:rPr>
                  <m:t>t</m:t>
                </m:r>
              </m:sub>
              <m:sup/>
            </m:sSubSup>
            <m:r>
              <w:rPr>
                <w:rFonts w:ascii="Cambria Math" w:hAnsi="Cambria Math"/>
              </w:rPr>
              <m:t>w</m:t>
            </m:r>
          </m:e>
        </m:d>
      </m:oMath>
      <w:r>
        <w:t xml:space="preserve">,         subject to </w:t>
      </w:r>
      <m:oMath>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=1</m:t>
        </m:r>
      </m:oMath>
      <w:r>
        <w:t xml:space="preserve"> and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&gt;0</m:t>
        </m:r>
      </m:oMath>
    </w:p>
    <w:p w14:paraId="6ECC2F02" w14:textId="77777777" w:rsidR="00480E11" w:rsidRDefault="00000000">
      <w:pPr>
        <w:jc w:val="both"/>
      </w:pPr>
      <w:r>
        <w:t xml:space="preserve">where </w:t>
      </w:r>
      <m:oMath>
        <m:sSubSup>
          <m:sSubSupPr>
            <m:ctrlPr>
              <w:rPr>
                <w:rFonts w:ascii="Cambria Math" w:hAnsi="Cambria Math"/>
              </w:rPr>
            </m:ctrlPr>
          </m:sSubSupPr>
          <m:e>
            <m:r>
              <w:rPr>
                <w:rFonts w:ascii="Cambria Math" w:hAnsi="Cambria Math"/>
              </w:rPr>
              <m:t>R</m:t>
            </m:r>
          </m:e>
          <m:sub>
            <m:r>
              <w:rPr>
                <w:rFonts w:ascii="Cambria Math" w:hAnsi="Cambria Math"/>
              </w:rPr>
              <m:t>t</m:t>
            </m:r>
          </m:sub>
          <m:sup/>
        </m:sSubSup>
      </m:oMath>
      <w:r>
        <w:t xml:space="preserve"> is the time-varying conditional correlation matrix.</w:t>
      </w:r>
    </w:p>
    <w:p w14:paraId="2A344209" w14:textId="5CF6DC34" w:rsidR="00480E11" w:rsidRDefault="00000000">
      <w:pPr>
        <w:pStyle w:val="Heading3"/>
        <w:jc w:val="both"/>
      </w:pPr>
      <w:r>
        <w:t>3.</w:t>
      </w:r>
      <w:r w:rsidR="0073270A">
        <w:t>4</w:t>
      </w:r>
      <w:r>
        <w:t>.5 Maximum Sharpe Ratio Portfolio</w:t>
      </w:r>
    </w:p>
    <w:p w14:paraId="31D612BC" w14:textId="4F3D4081" w:rsidR="00480E11" w:rsidRDefault="00000000">
      <w:pPr>
        <w:jc w:val="both"/>
      </w:pPr>
      <w:r>
        <w:t xml:space="preserve">The maximum </w:t>
      </w:r>
      <w:r w:rsidR="00AB6D14" w:rsidRPr="00AB6D14">
        <w:t>Sharpe</w:t>
      </w:r>
      <w:r>
        <w:t xml:space="preserve"> ratio aims to optimize the ratio of the portfolio's excess return to its standard deviation, thus maximizing risk-adjusted return. The function for the maximized </w:t>
      </w:r>
      <w:r w:rsidR="00C6727E">
        <w:t>S</w:t>
      </w:r>
      <w:r>
        <w:t xml:space="preserve">harpe ratio with a fixed risk-free rate is as follows: </w:t>
      </w:r>
    </w:p>
    <w:p w14:paraId="7C998A5D" w14:textId="77777777" w:rsidR="00480E11" w:rsidRDefault="00000000">
      <w:pPr>
        <w:ind w:left="360"/>
        <w:jc w:val="center"/>
      </w:pPr>
      <m:oMath>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w:rPr>
                    <w:rFonts w:ascii="Cambria Math" w:hAnsi="Cambria Math"/>
                  </w:rPr>
                  <m:t>μ-</m:t>
                </m:r>
                <m:sSubSup>
                  <m:sSubSupPr>
                    <m:ctrlPr>
                      <w:rPr>
                        <w:rFonts w:ascii="Cambria Math" w:hAnsi="Cambria Math"/>
                      </w:rPr>
                    </m:ctrlPr>
                  </m:sSubSupPr>
                  <m:e>
                    <m:r>
                      <w:rPr>
                        <w:rFonts w:ascii="Cambria Math" w:hAnsi="Cambria Math"/>
                      </w:rPr>
                      <m:t>R</m:t>
                    </m:r>
                  </m:e>
                  <m:sub>
                    <m:r>
                      <w:rPr>
                        <w:rFonts w:ascii="Cambria Math" w:hAnsi="Cambria Math"/>
                      </w:rPr>
                      <m:t>f</m:t>
                    </m:r>
                  </m:sub>
                  <m:sup/>
                </m:sSubSup>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w</m:t>
                        </m:r>
                      </m:e>
                      <m:sub/>
                      <m:sup>
                        <m:r>
                          <w:rPr>
                            <w:rFonts w:ascii="Cambria Math" w:hAnsi="Cambria Math"/>
                          </w:rPr>
                          <m:t>T</m:t>
                        </m:r>
                      </m:sup>
                    </m:sSubSup>
                    <m:sSubSup>
                      <m:sSubSupPr>
                        <m:ctrlPr>
                          <w:rPr>
                            <w:rFonts w:ascii="Cambria Math" w:hAnsi="Cambria Math"/>
                          </w:rPr>
                        </m:ctrlPr>
                      </m:sSubSupPr>
                      <m:e>
                        <m:r>
                          <w:rPr>
                            <w:rFonts w:ascii="Cambria Math" w:hAnsi="Cambria Math"/>
                          </w:rPr>
                          <m:t>Q</m:t>
                        </m:r>
                      </m:e>
                      <m:sub>
                        <m:r>
                          <w:rPr>
                            <w:rFonts w:ascii="Cambria Math" w:hAnsi="Cambria Math"/>
                          </w:rPr>
                          <m:t>t</m:t>
                        </m:r>
                      </m:sub>
                      <m:sup/>
                    </m:sSubSup>
                    <m:r>
                      <w:rPr>
                        <w:rFonts w:ascii="Cambria Math" w:hAnsi="Cambria Math"/>
                      </w:rPr>
                      <m:t>w</m:t>
                    </m:r>
                  </m:e>
                </m:rad>
              </m:den>
            </m:f>
          </m:e>
        </m:d>
      </m:oMath>
      <w:r>
        <w:t xml:space="preserve">,         subject to </w:t>
      </w:r>
      <m:oMath>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=1</m:t>
        </m:r>
      </m:oMath>
      <w:r>
        <w:t xml:space="preserve"> and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&gt;0</m:t>
        </m:r>
      </m:oMath>
    </w:p>
    <w:p w14:paraId="295E0A59" w14:textId="77777777" w:rsidR="00480E11" w:rsidRDefault="00000000">
      <w:pPr>
        <w:jc w:val="both"/>
      </w:pPr>
      <w:r>
        <w:t xml:space="preserve">where </w:t>
      </w:r>
      <m:oMath>
        <m:sSubSup>
          <m:sSubSupPr>
            <m:ctrlPr>
              <w:rPr>
                <w:rFonts w:ascii="Cambria Math" w:hAnsi="Cambria Math"/>
              </w:rPr>
            </m:ctrlPr>
          </m:sSubSupPr>
          <m:e>
            <m:r>
              <w:rPr>
                <w:rFonts w:ascii="Cambria Math" w:hAnsi="Cambria Math"/>
              </w:rPr>
              <m:t>R</m:t>
            </m:r>
          </m:e>
          <m:sub>
            <m:r>
              <w:rPr>
                <w:rFonts w:ascii="Cambria Math" w:hAnsi="Cambria Math"/>
              </w:rPr>
              <m:t>f</m:t>
            </m:r>
          </m:sub>
          <m:sup/>
        </m:sSubSup>
      </m:oMath>
      <w:r>
        <w:t xml:space="preserve"> is the risk-free rate. </w:t>
      </w:r>
    </w:p>
    <w:p w14:paraId="17BFB5DA" w14:textId="1C99ED98" w:rsidR="00480E11" w:rsidRDefault="00000000">
      <w:pPr>
        <w:pStyle w:val="Heading3"/>
        <w:jc w:val="both"/>
      </w:pPr>
      <w:r>
        <w:t>3.</w:t>
      </w:r>
      <w:r w:rsidR="00D32532">
        <w:t>4</w:t>
      </w:r>
      <w:r>
        <w:t>.6 Maximum Sortino Ratio Portfolio</w:t>
      </w:r>
    </w:p>
    <w:p w14:paraId="30B0248B" w14:textId="7753D8CA" w:rsidR="00480E11" w:rsidRDefault="00000000">
      <w:pPr>
        <w:jc w:val="both"/>
      </w:pPr>
      <w:r>
        <w:t xml:space="preserve">The maximum </w:t>
      </w:r>
      <w:r w:rsidR="00FE5BE5">
        <w:t>S</w:t>
      </w:r>
      <w:r>
        <w:t xml:space="preserve">ortino ratio is similar to the maximum </w:t>
      </w:r>
      <w:r w:rsidR="00D8664C" w:rsidRPr="00D8664C">
        <w:t>Sharpe</w:t>
      </w:r>
      <w:r>
        <w:t xml:space="preserve"> ratio, but it focuses on downside risk rather than total standard deviation of returns, making it more suited for portfolios that </w:t>
      </w:r>
      <w:r w:rsidR="00D8664C">
        <w:t>aim</w:t>
      </w:r>
      <w:r>
        <w:t xml:space="preserve"> to prevent losses rather than maximize risk-adjusted returns. </w:t>
      </w:r>
    </w:p>
    <w:p w14:paraId="7076B2BF" w14:textId="77777777" w:rsidR="00480E11" w:rsidRDefault="00000000">
      <w:pPr>
        <w:ind w:left="360"/>
        <w:jc w:val="center"/>
      </w:pPr>
      <m:oMath>
        <m:r>
          <w:rPr>
            <w:rFonts w:ascii="Cambria Math" w:hAnsi="Cambria Math"/>
          </w:rPr>
          <m:t xml:space="preserve">Max </m:t>
        </m:r>
        <m:d>
          <m:dPr>
            <m:begChr m:val="{"/>
            <m:endChr m:val="}"/>
            <m:ctrlPr>
              <w:rPr>
                <w:rFonts w:ascii="Cambria Math" w:hAnsi="Cambria Math"/>
              </w:rPr>
            </m:ctrlPr>
          </m:dPr>
          <m:e>
            <m:f>
              <m:fPr>
                <m:ctrlPr>
                  <w:rPr>
                    <w:rFonts w:ascii="Cambria Math" w:hAnsi="Cambria Math"/>
                  </w:rPr>
                </m:ctrlPr>
              </m:fPr>
              <m:num>
                <m:r>
                  <w:rPr>
                    <w:rFonts w:ascii="Cambria Math" w:hAnsi="Cambria Math"/>
                  </w:rPr>
                  <m:t>μ-</m:t>
                </m:r>
                <m:sSubSup>
                  <m:sSubSupPr>
                    <m:ctrlPr>
                      <w:rPr>
                        <w:rFonts w:ascii="Cambria Math" w:hAnsi="Cambria Math"/>
                      </w:rPr>
                    </m:ctrlPr>
                  </m:sSubSupPr>
                  <m:e>
                    <m:r>
                      <w:rPr>
                        <w:rFonts w:ascii="Cambria Math" w:hAnsi="Cambria Math"/>
                      </w:rPr>
                      <m:t>R</m:t>
                    </m:r>
                  </m:e>
                  <m:sub>
                    <m:r>
                      <w:rPr>
                        <w:rFonts w:ascii="Cambria Math" w:hAnsi="Cambria Math"/>
                      </w:rPr>
                      <m:t>f</m:t>
                    </m:r>
                  </m:sub>
                  <m:sup/>
                </m:sSubSup>
              </m:num>
              <m:den>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w</m:t>
                        </m:r>
                      </m:e>
                      <m:sub/>
                      <m:sup>
                        <m:r>
                          <w:rPr>
                            <w:rFonts w:ascii="Cambria Math" w:hAnsi="Cambria Math"/>
                          </w:rPr>
                          <m:t>T</m:t>
                        </m:r>
                      </m:sup>
                    </m:sSubSup>
                    <m:sSubSup>
                      <m:sSubSupPr>
                        <m:ctrlPr>
                          <w:rPr>
                            <w:rFonts w:ascii="Cambria Math" w:hAnsi="Cambria Math"/>
                          </w:rPr>
                        </m:ctrlPr>
                      </m:sSubSupPr>
                      <m:e>
                        <m:r>
                          <w:rPr>
                            <w:rFonts w:ascii="Cambria Math" w:hAnsi="Cambria Math"/>
                          </w:rPr>
                          <m:t>D</m:t>
                        </m:r>
                      </m:e>
                      <m:sub>
                        <m:r>
                          <w:rPr>
                            <w:rFonts w:ascii="Cambria Math" w:hAnsi="Cambria Math"/>
                          </w:rPr>
                          <m:t>t</m:t>
                        </m:r>
                      </m:sub>
                      <m:sup/>
                    </m:sSubSup>
                    <m:r>
                      <w:rPr>
                        <w:rFonts w:ascii="Cambria Math" w:hAnsi="Cambria Math"/>
                      </w:rPr>
                      <m:t>w</m:t>
                    </m:r>
                  </m:e>
                </m:rad>
              </m:den>
            </m:f>
          </m:e>
        </m:d>
      </m:oMath>
      <w:r>
        <w:t xml:space="preserve">,         subject to </w:t>
      </w:r>
      <m:oMath>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=1</m:t>
        </m:r>
      </m:oMath>
      <w:r>
        <w:t xml:space="preserve"> and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&gt;0</m:t>
        </m:r>
      </m:oMath>
    </w:p>
    <w:p w14:paraId="14B449D1" w14:textId="026F430A" w:rsidR="00480E11" w:rsidRDefault="00000000">
      <w:pPr>
        <w:jc w:val="both"/>
      </w:pPr>
      <w:r>
        <w:t xml:space="preserve">where </w:t>
      </w:r>
      <m:oMath>
        <m:sSubSup>
          <m:sSubSupPr>
            <m:ctrlPr>
              <w:rPr>
                <w:rFonts w:ascii="Cambria Math" w:hAnsi="Cambria Math"/>
              </w:rPr>
            </m:ctrlPr>
          </m:sSubSupPr>
          <m:e>
            <m:r>
              <w:rPr>
                <w:rFonts w:ascii="Cambria Math" w:hAnsi="Cambria Math"/>
              </w:rPr>
              <m:t>D</m:t>
            </m:r>
          </m:e>
          <m:sub>
            <m:r>
              <w:rPr>
                <w:rFonts w:ascii="Cambria Math" w:hAnsi="Cambria Math"/>
              </w:rPr>
              <m:t>t</m:t>
            </m:r>
          </m:sub>
          <m:sup/>
        </m:sSubSup>
      </m:oMath>
      <w:r>
        <w:t xml:space="preserve"> is the downside risk, which considers only the variances-covariances of returns falling below </w:t>
      </w:r>
      <w:r w:rsidR="00775E55" w:rsidRPr="00775E55">
        <w:t xml:space="preserve">the </w:t>
      </w:r>
      <w:r>
        <w:t xml:space="preserve">risk-free rate. </w:t>
      </w:r>
    </w:p>
    <w:p w14:paraId="6380974A" w14:textId="65182FAD" w:rsidR="00480E11" w:rsidRDefault="00000000">
      <w:pPr>
        <w:pStyle w:val="Heading3"/>
        <w:jc w:val="both"/>
      </w:pPr>
      <w:r>
        <w:t>3.</w:t>
      </w:r>
      <w:r w:rsidR="00887157">
        <w:t>4</w:t>
      </w:r>
      <w:r>
        <w:t>.7 Mean-CVaR Portfolio</w:t>
      </w:r>
    </w:p>
    <w:p w14:paraId="5738CCD8" w14:textId="77777777" w:rsidR="00480E11" w:rsidRDefault="00000000">
      <w:pPr>
        <w:jc w:val="both"/>
        <w:rPr>
          <w:highlight w:val="white"/>
        </w:rPr>
      </w:pPr>
      <w:r>
        <w:rPr>
          <w:highlight w:val="white"/>
        </w:rPr>
        <w:t>The mean-CVaR (conditional value-at-risk) focuses on the extreme losses during the sample period. During the optimization process, VaR is calculated using the historical simulation as no assumptions of distribution are required for this non-parametric method. The CVaR is calculated as below the mean return and the optimization is the balance of return and extreme losses.</w:t>
      </w:r>
    </w:p>
    <w:p w14:paraId="391767F1" w14:textId="6182160D" w:rsidR="00480E11" w:rsidRDefault="00000000">
      <w:pPr>
        <w:ind w:left="360"/>
        <w:jc w:val="center"/>
        <w:rPr>
          <w:highlight w:val="white"/>
        </w:rPr>
      </w:pPr>
      <m:oMathPara>
        <m:oMath>
          <m:sSubSup>
            <m:sSubSupPr>
              <m:ctrlPr>
                <w:rPr>
                  <w:rFonts w:ascii="Cambria Math" w:hAnsi="Cambria Math"/>
                  <w:highlight w:val="white"/>
                </w:rPr>
              </m:ctrlPr>
            </m:sSubSupPr>
            <m:e>
              <m:r>
                <w:rPr>
                  <w:rFonts w:ascii="Cambria Math" w:hAnsi="Cambria Math"/>
                  <w:highlight w:val="white"/>
                </w:rPr>
                <m:t>VaR</m:t>
              </m:r>
            </m:e>
            <m:sub>
              <m:r>
                <w:rPr>
                  <w:rFonts w:ascii="Cambria Math" w:hAnsi="Cambria Math"/>
                  <w:highlight w:val="white"/>
                </w:rPr>
                <m:t>α</m:t>
              </m:r>
            </m:sub>
            <m:sup>
              <m:r>
                <w:rPr>
                  <w:rFonts w:ascii="Cambria Math" w:hAnsi="Cambria Math"/>
                  <w:highlight w:val="white"/>
                </w:rPr>
                <m:t xml:space="preserve"> </m:t>
              </m:r>
            </m:sup>
          </m:sSubSup>
          <m:r>
            <w:rPr>
              <w:rFonts w:ascii="Cambria Math" w:hAnsi="Cambria Math"/>
              <w:highlight w:val="white"/>
            </w:rPr>
            <m:t>=-sorted return</m:t>
          </m:r>
          <m:sSub>
            <m:sSubPr>
              <m:ctrlPr>
                <w:rPr>
                  <w:rFonts w:ascii="Cambria Math" w:hAnsi="Cambria Math"/>
                  <w:highlight w:val="white"/>
                </w:rPr>
              </m:ctrlPr>
            </m:sSubPr>
            <m:e>
              <m:r>
                <w:rPr>
                  <w:rFonts w:ascii="Cambria Math" w:hAnsi="Cambria Math"/>
                  <w:highlight w:val="white"/>
                </w:rPr>
                <m:t>s</m:t>
              </m:r>
            </m:e>
            <m:sub>
              <m:r>
                <w:rPr>
                  <w:rFonts w:ascii="Cambria Math" w:hAnsi="Cambria Math"/>
                  <w:highlight w:val="white"/>
                </w:rPr>
                <m:t>(1-α)N</m:t>
              </m:r>
            </m:sub>
          </m:sSub>
        </m:oMath>
      </m:oMathPara>
    </w:p>
    <w:p w14:paraId="51FB4A7D" w14:textId="77777777" w:rsidR="00480E11" w:rsidRDefault="00000000">
      <w:pPr>
        <w:ind w:left="360"/>
        <w:jc w:val="center"/>
      </w:pPr>
      <m:oMathPara>
        <m:oMath>
          <m:sSubSup>
            <m:sSubSupPr>
              <m:ctrlPr>
                <w:rPr>
                  <w:rFonts w:ascii="Cambria Math" w:hAnsi="Cambria Math"/>
                </w:rPr>
              </m:ctrlPr>
            </m:sSubSupPr>
            <m:e>
              <m:r>
                <w:rPr>
                  <w:rFonts w:ascii="Cambria Math" w:hAnsi="Cambria Math"/>
                </w:rPr>
                <m:t>CVaR</m:t>
              </m:r>
            </m:e>
            <m:sub>
              <m:r>
                <w:rPr>
                  <w:rFonts w:ascii="Cambria Math" w:hAnsi="Cambria Math"/>
                </w:rPr>
                <m:t>α</m:t>
              </m:r>
            </m:sub>
            <m:sup/>
          </m:sSubSup>
          <m:r>
            <w:rPr>
              <w:rFonts w:ascii="Cambria Math" w:hAnsi="Cambria Math"/>
            </w:rPr>
            <m:t>=E(R|R≤</m:t>
          </m:r>
          <m:sSubSup>
            <m:sSubSupPr>
              <m:ctrlPr>
                <w:rPr>
                  <w:rFonts w:ascii="Cambria Math" w:hAnsi="Cambria Math"/>
                </w:rPr>
              </m:ctrlPr>
            </m:sSubSupPr>
            <m:e>
              <m:r>
                <w:rPr>
                  <w:rFonts w:ascii="Cambria Math" w:hAnsi="Cambria Math"/>
                </w:rPr>
                <m:t>VaR</m:t>
              </m:r>
            </m:e>
            <m:sub>
              <m:r>
                <w:rPr>
                  <w:rFonts w:ascii="Cambria Math" w:hAnsi="Cambria Math"/>
                </w:rPr>
                <m:t>α</m:t>
              </m:r>
            </m:sub>
            <m:sup/>
          </m:sSubSup>
          <m:r>
            <w:rPr>
              <w:rFonts w:ascii="Cambria Math" w:hAnsi="Cambria Math"/>
            </w:rPr>
            <m:t>)</m:t>
          </m:r>
        </m:oMath>
      </m:oMathPara>
    </w:p>
    <w:p w14:paraId="30657142" w14:textId="77777777" w:rsidR="00480E11" w:rsidRDefault="00000000">
      <w:pPr>
        <w:ind w:left="360"/>
        <w:jc w:val="center"/>
      </w:pPr>
      <m:oMath>
        <m:r>
          <w:rPr>
            <w:rFonts w:ascii="Cambria Math" w:hAnsi="Cambria Math"/>
          </w:rPr>
          <m:t xml:space="preserve">Min </m:t>
        </m:r>
        <m:d>
          <m:dPr>
            <m:begChr m:val="{"/>
            <m:endChr m:val="}"/>
            <m:ctrlPr>
              <w:rPr>
                <w:rFonts w:ascii="Cambria Math" w:hAnsi="Cambria Math"/>
              </w:rPr>
            </m:ctrlPr>
          </m:dPr>
          <m:e>
            <m:sSubSup>
              <m:sSubSupPr>
                <m:ctrlPr>
                  <w:rPr>
                    <w:rFonts w:ascii="Cambria Math" w:hAnsi="Cambria Math"/>
                  </w:rPr>
                </m:ctrlPr>
              </m:sSubSupPr>
              <m:e>
                <m:f>
                  <m:fPr>
                    <m:ctrlPr>
                      <w:rPr>
                        <w:rFonts w:ascii="Cambria Math" w:hAnsi="Cambria Math"/>
                      </w:rPr>
                    </m:ctrlPr>
                  </m:fPr>
                  <m:num>
                    <m:r>
                      <w:rPr>
                        <w:rFonts w:ascii="Cambria Math" w:hAnsi="Cambria Math"/>
                      </w:rPr>
                      <m:t>γ</m:t>
                    </m:r>
                  </m:num>
                  <m:den>
                    <m:r>
                      <w:rPr>
                        <w:rFonts w:ascii="Cambria Math" w:hAnsi="Cambria Math"/>
                      </w:rPr>
                      <m:t>2</m:t>
                    </m:r>
                  </m:den>
                </m:f>
                <m:r>
                  <w:rPr>
                    <w:rFonts w:ascii="Cambria Math" w:hAnsi="Cambria Math"/>
                  </w:rPr>
                  <m:t>CVa</m:t>
                </m:r>
                <m:sSub>
                  <m:sSubPr>
                    <m:ctrlPr>
                      <w:rPr>
                        <w:rFonts w:ascii="Cambria Math" w:hAnsi="Cambria Math"/>
                      </w:rPr>
                    </m:ctrlPr>
                  </m:sSubPr>
                  <m:e>
                    <m:r>
                      <w:rPr>
                        <w:rFonts w:ascii="Cambria Math" w:hAnsi="Cambria Math"/>
                      </w:rPr>
                      <m:t>R</m:t>
                    </m:r>
                  </m:e>
                  <m:sub>
                    <m:r>
                      <w:rPr>
                        <w:rFonts w:ascii="Cambria Math" w:hAnsi="Cambria Math"/>
                      </w:rPr>
                      <m:t>α</m:t>
                    </m:r>
                  </m:sub>
                </m:sSub>
              </m:e>
              <m:sub/>
              <m:sup/>
            </m:sSubSup>
            <m:r>
              <w:rPr>
                <w:rFonts w:ascii="Cambria Math" w:hAnsi="Cambria Math"/>
              </w:rPr>
              <m:t>(R)-(1-</m:t>
            </m:r>
            <m:f>
              <m:fPr>
                <m:ctrlPr>
                  <w:rPr>
                    <w:rFonts w:ascii="Cambria Math" w:hAnsi="Cambria Math"/>
                  </w:rPr>
                </m:ctrlPr>
              </m:fPr>
              <m:num>
                <m:r>
                  <w:rPr>
                    <w:rFonts w:ascii="Cambria Math" w:hAnsi="Cambria Math"/>
                  </w:rPr>
                  <m:t>γ</m:t>
                </m:r>
              </m:num>
              <m:den>
                <m:r>
                  <w:rPr>
                    <w:rFonts w:ascii="Cambria Math" w:hAnsi="Cambria Math"/>
                  </w:rPr>
                  <m:t>2</m:t>
                </m:r>
              </m:den>
            </m:f>
            <m:r>
              <w:rPr>
                <w:rFonts w:ascii="Cambria Math" w:hAnsi="Cambria Math"/>
              </w:rPr>
              <m:t>)E(R)</m:t>
            </m:r>
          </m:e>
        </m:d>
      </m:oMath>
      <w:r>
        <w:t xml:space="preserve">         subject to </w:t>
      </w:r>
      <m:oMath>
        <m:sSubSup>
          <m:sSubSupPr>
            <m:ctrlPr>
              <w:rPr>
                <w:rFonts w:ascii="Cambria Math" w:hAnsi="Cambria Math"/>
              </w:rPr>
            </m:ctrlPr>
          </m:sSubSupPr>
          <m:e>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=1</m:t>
        </m:r>
      </m:oMath>
      <w:r>
        <w:t xml:space="preserve"> and </w:t>
      </w:r>
      <m:oMath>
        <m:sSubSup>
          <m:sSubSupPr>
            <m:ctrlPr>
              <w:rPr>
                <w:rFonts w:ascii="Cambria Math" w:hAnsi="Cambria Math"/>
              </w:rPr>
            </m:ctrlPr>
          </m:sSubSupPr>
          <m:e>
            <m:sSubSup>
              <m:sSubSupPr>
                <m:ctrlPr>
                  <w:rPr>
                    <w:rFonts w:ascii="Cambria Math" w:hAnsi="Cambria Math"/>
                  </w:rPr>
                </m:ctrlPr>
              </m:sSubSupPr>
              <m:e>
                <m:r>
                  <w:rPr>
                    <w:rFonts w:ascii="Cambria Math" w:hAnsi="Cambria Math"/>
                  </w:rPr>
                  <m:t>w</m:t>
                </m:r>
              </m:e>
              <m:sub>
                <m:r>
                  <w:rPr>
                    <w:rFonts w:ascii="Cambria Math" w:hAnsi="Cambria Math"/>
                  </w:rPr>
                  <m:t>it</m:t>
                </m:r>
              </m:sub>
              <m:sup/>
            </m:sSubSup>
          </m:e>
          <m:sub/>
          <m:sup/>
        </m:sSubSup>
        <m:r>
          <w:rPr>
            <w:rFonts w:ascii="Cambria Math" w:hAnsi="Cambria Math"/>
          </w:rPr>
          <m:t>&gt;0</m:t>
        </m:r>
      </m:oMath>
    </w:p>
    <w:p w14:paraId="3EB6AE45" w14:textId="7D07A810" w:rsidR="00480E11" w:rsidRDefault="00000000">
      <w:pPr>
        <w:jc w:val="both"/>
      </w:pPr>
      <w:r>
        <w:t xml:space="preserve">where α represents the confidence level of VaR, </w:t>
      </w:r>
      <m:oMath>
        <m:r>
          <w:rPr>
            <w:rFonts w:ascii="Cambria Math" w:hAnsi="Cambria Math"/>
          </w:rPr>
          <m:t>N</m:t>
        </m:r>
      </m:oMath>
      <w:r>
        <w:t xml:space="preserve"> is the sample size used for VaR calculation, and γ is a parameter used to balance the trade-off between conditional value-at-risk and expected return. By adjusting γ, investors can tune </w:t>
      </w:r>
      <w:r w:rsidR="00247D09">
        <w:t xml:space="preserve">the </w:t>
      </w:r>
      <w:r w:rsidR="007D6E09">
        <w:t>optimization</w:t>
      </w:r>
      <w:r w:rsidR="00247D09">
        <w:t xml:space="preserve"> based on </w:t>
      </w:r>
      <w:r>
        <w:t>their preferences between expected returns and extreme losses.</w:t>
      </w:r>
    </w:p>
    <w:p w14:paraId="014856E0" w14:textId="767CF00F" w:rsidR="00480E11" w:rsidRDefault="00000000">
      <w:pPr>
        <w:pStyle w:val="Heading2"/>
        <w:jc w:val="both"/>
      </w:pPr>
      <w:bookmarkStart w:id="10" w:name="_Toc166705771"/>
      <w:r>
        <w:t>3.</w:t>
      </w:r>
      <w:r w:rsidR="00A43F58">
        <w:t>5</w:t>
      </w:r>
      <w:r>
        <w:t xml:space="preserve"> Hedge Ratios</w:t>
      </w:r>
      <w:bookmarkEnd w:id="10"/>
    </w:p>
    <w:p w14:paraId="4F397FA1" w14:textId="389B2B11" w:rsidR="00480E11" w:rsidRDefault="00000000">
      <w:pPr>
        <w:jc w:val="both"/>
      </w:pPr>
      <w:r>
        <w:t xml:space="preserve">The commodity market is highly volatile, which can be caused by a range of factors. For metal commodities, industrial metal prices can </w:t>
      </w:r>
      <w:r w:rsidR="00EF7A42" w:rsidRPr="00EF7A42">
        <w:t>fluctuate</w:t>
      </w:r>
      <w:r>
        <w:t xml:space="preserve"> due to changes in industry demand, mining production levels, and geopolitical events. Energy prices, such as oil and gas, are influenced by wars and heating. Agricultural commodities are particularly sensitive to seasonal changes and weather conditions, which will affect crop yields and livestock production. One effective way to reduce the above risk is hedging. By focusing on commodity futures, we can analyze inter-commodity hedging. The primary benefit of inter-commodity hedging is diversification. By spreading risk across different but related commodities, investors can reduce the impact of price volatility in the commodity future market. We use conditional volatility from the multivariate GARCH model to construct the hedge ratios </w:t>
      </w:r>
      <w:hyperlink r:id="rId88">
        <w:r>
          <w:t>(Kroner &amp; Sultan, 1993)</w:t>
        </w:r>
      </w:hyperlink>
      <w:r>
        <w:t xml:space="preserve">. </w:t>
      </w:r>
    </w:p>
    <w:p w14:paraId="6BE21C6D" w14:textId="77777777" w:rsidR="00480E11" w:rsidRDefault="00000000">
      <w:pPr>
        <w:jc w:val="center"/>
      </w:pPr>
      <m:oMathPara>
        <m:oMath>
          <m:sSubSup>
            <m:sSubSupPr>
              <m:ctrlPr>
                <w:rPr>
                  <w:rFonts w:ascii="Cambria Math" w:hAnsi="Cambria Math"/>
                </w:rPr>
              </m:ctrlPr>
            </m:sSubSupPr>
            <m:e>
              <m:r>
                <w:rPr>
                  <w:rFonts w:ascii="Cambria Math" w:hAnsi="Cambria Math"/>
                </w:rPr>
                <m:t>β</m:t>
              </m:r>
            </m:e>
            <m:sub>
              <m:r>
                <w:rPr>
                  <w:rFonts w:ascii="Cambria Math" w:hAnsi="Cambria Math"/>
                </w:rPr>
                <m:t>ij,t</m:t>
              </m:r>
            </m:sub>
            <m:sup/>
          </m:sSubSup>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ij,t</m:t>
                  </m:r>
                </m:sub>
                <m:sup/>
              </m:sSubSup>
            </m:num>
            <m:den>
              <m:sSubSup>
                <m:sSubSupPr>
                  <m:ctrlPr>
                    <w:rPr>
                      <w:rFonts w:ascii="Cambria Math" w:hAnsi="Cambria Math"/>
                    </w:rPr>
                  </m:ctrlPr>
                </m:sSubSupPr>
                <m:e>
                  <m:r>
                    <w:rPr>
                      <w:rFonts w:ascii="Cambria Math" w:hAnsi="Cambria Math"/>
                    </w:rPr>
                    <m:t>h</m:t>
                  </m:r>
                </m:e>
                <m:sub>
                  <m:r>
                    <w:rPr>
                      <w:rFonts w:ascii="Cambria Math" w:hAnsi="Cambria Math"/>
                    </w:rPr>
                    <m:t>jj,t</m:t>
                  </m:r>
                </m:sub>
                <m:sup/>
              </m:sSubSup>
            </m:den>
          </m:f>
        </m:oMath>
      </m:oMathPara>
    </w:p>
    <w:p w14:paraId="5C697E34" w14:textId="77777777" w:rsidR="00480E11" w:rsidRDefault="00000000">
      <w:pPr>
        <w:jc w:val="both"/>
      </w:pPr>
      <w:r>
        <w:t xml:space="preserve">where </w:t>
      </w:r>
      <m:oMath>
        <m:sSubSup>
          <m:sSubSupPr>
            <m:ctrlPr>
              <w:rPr>
                <w:rFonts w:ascii="Cambria Math" w:hAnsi="Cambria Math"/>
              </w:rPr>
            </m:ctrlPr>
          </m:sSubSupPr>
          <m:e>
            <m:r>
              <w:rPr>
                <w:rFonts w:ascii="Cambria Math" w:hAnsi="Cambria Math"/>
              </w:rPr>
              <m:t>β</m:t>
            </m:r>
          </m:e>
          <m:sub>
            <m:r>
              <w:rPr>
                <w:rFonts w:ascii="Cambria Math" w:hAnsi="Cambria Math"/>
              </w:rPr>
              <m:t>ij,t</m:t>
            </m:r>
          </m:sub>
          <m:sup/>
        </m:sSubSup>
      </m:oMath>
      <w:r>
        <w:t xml:space="preserve"> is the hedge ratio over time between asset </w:t>
      </w:r>
      <m:oMath>
        <m:r>
          <w:rPr>
            <w:rFonts w:ascii="Cambria Math" w:hAnsi="Cambria Math"/>
          </w:rPr>
          <m:t>i</m:t>
        </m:r>
      </m:oMath>
      <w:r>
        <w:t xml:space="preserve"> and asset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h</m:t>
            </m:r>
          </m:e>
          <m:sub>
            <m:r>
              <w:rPr>
                <w:rFonts w:ascii="Cambria Math" w:hAnsi="Cambria Math"/>
              </w:rPr>
              <m:t>ij,t</m:t>
            </m:r>
          </m:sub>
          <m:sup/>
        </m:sSubSup>
      </m:oMath>
      <w:r>
        <w:t xml:space="preserve"> are the conditional covariance between asset </w:t>
      </w:r>
      <m:oMath>
        <m:r>
          <w:rPr>
            <w:rFonts w:ascii="Cambria Math" w:hAnsi="Cambria Math"/>
          </w:rPr>
          <m:t>i</m:t>
        </m:r>
      </m:oMath>
      <w:r>
        <w:t xml:space="preserve"> and asset </w:t>
      </w:r>
      <m:oMath>
        <m:r>
          <w:rPr>
            <w:rFonts w:ascii="Cambria Math" w:hAnsi="Cambria Math"/>
          </w:rPr>
          <m:t>j</m:t>
        </m:r>
      </m:oMath>
      <w:r>
        <w:t xml:space="preserve">, while </w:t>
      </w:r>
      <m:oMath>
        <m:sSubSup>
          <m:sSubSupPr>
            <m:ctrlPr>
              <w:rPr>
                <w:rFonts w:ascii="Cambria Math" w:hAnsi="Cambria Math"/>
              </w:rPr>
            </m:ctrlPr>
          </m:sSubSupPr>
          <m:e>
            <m:r>
              <w:rPr>
                <w:rFonts w:ascii="Cambria Math" w:hAnsi="Cambria Math"/>
              </w:rPr>
              <m:t>h</m:t>
            </m:r>
          </m:e>
          <m:sub>
            <m:r>
              <w:rPr>
                <w:rFonts w:ascii="Cambria Math" w:hAnsi="Cambria Math"/>
              </w:rPr>
              <m:t>jj,t</m:t>
            </m:r>
          </m:sub>
          <m:sup/>
        </m:sSubSup>
      </m:oMath>
      <w:r>
        <w:t xml:space="preserve"> is the conditional variance of the returns of asset </w:t>
      </w:r>
      <m:oMath>
        <m:r>
          <w:rPr>
            <w:rFonts w:ascii="Cambria Math" w:hAnsi="Cambria Math"/>
          </w:rPr>
          <m:t>j</m:t>
        </m:r>
      </m:oMath>
      <w:r>
        <w:t xml:space="preserve"> at time </w:t>
      </w:r>
      <m:oMath>
        <m:r>
          <w:rPr>
            <w:rFonts w:ascii="Cambria Math" w:hAnsi="Cambria Math"/>
          </w:rPr>
          <m:t>t</m:t>
        </m:r>
      </m:oMath>
      <w:r>
        <w:t xml:space="preserve">. This hedge ratio normalizes the conditional covariance, which is useful for determining the size of the hedge position. When the conditional covariance between the two commodities is high and the variance of the hedging commodity is low, the hedge ratio will be higher. This means that we need a larger position in the hedging commodity to effectively hedge the risk associated with the primary commodity. </w:t>
      </w:r>
    </w:p>
    <w:p w14:paraId="59E3CA85" w14:textId="77777777" w:rsidR="00480E11" w:rsidRDefault="00000000">
      <w:pPr>
        <w:pStyle w:val="Heading1"/>
        <w:jc w:val="both"/>
      </w:pPr>
      <w:bookmarkStart w:id="11" w:name="_ji8f3xpyrayd" w:colFirst="0" w:colLast="0"/>
      <w:bookmarkEnd w:id="11"/>
      <w:r>
        <w:br w:type="page"/>
      </w:r>
    </w:p>
    <w:p w14:paraId="12DD242A" w14:textId="19B29714" w:rsidR="00480E11" w:rsidRDefault="00000000">
      <w:pPr>
        <w:pStyle w:val="Heading1"/>
        <w:jc w:val="both"/>
      </w:pPr>
      <w:bookmarkStart w:id="12" w:name="_Toc166705772"/>
      <w:r>
        <w:t>4. Result</w:t>
      </w:r>
      <w:bookmarkEnd w:id="12"/>
      <w:r w:rsidR="00946421">
        <w:t>s</w:t>
      </w:r>
    </w:p>
    <w:p w14:paraId="48C11C8D" w14:textId="79C9257F" w:rsidR="00480E11" w:rsidRDefault="00000000">
      <w:r>
        <w:t>This section presents the results by using the returns of the three commodity groups of metal, energy, and agricultural. We get the estimated parameters</w:t>
      </w:r>
      <w:r w:rsidR="00897027">
        <w:t xml:space="preserve"> and goodness of fit</w:t>
      </w:r>
      <w:r>
        <w:t xml:space="preserve"> </w:t>
      </w:r>
      <w:r w:rsidR="00897027">
        <w:t>from</w:t>
      </w:r>
      <w:r>
        <w:t xml:space="preserve"> the multivariate GARCH model: diagonal VECH, diagonal BEKK, and CCC. By using the time-varying covariance and correlation of these multivariate models, we can do portfolio optimization, and thus get the time-varying weights for the individual commodities groups. By calculating the portfolio performance of average return, variance, </w:t>
      </w:r>
      <w:r w:rsidR="00A47808">
        <w:t>S</w:t>
      </w:r>
      <w:r>
        <w:t>harpe ratio, and CVaR, we can compare the portfolios under different market conditions. Additionally, in order to hedge against the risk associated with the commodities, we calculate the hedge ratios for commodity pairs. In conclusion, the presented result will be the GARCH result, average optimal weights, portfolio performance, and hedge ratios.</w:t>
      </w:r>
    </w:p>
    <w:p w14:paraId="33711707" w14:textId="122F91F1" w:rsidR="00480E11" w:rsidRDefault="00000000">
      <w:pPr>
        <w:pStyle w:val="Heading2"/>
        <w:jc w:val="both"/>
      </w:pPr>
      <w:bookmarkStart w:id="13" w:name="_Toc166705773"/>
      <w:r>
        <w:t>4.1 GARCH Model</w:t>
      </w:r>
      <w:bookmarkEnd w:id="13"/>
    </w:p>
    <w:p w14:paraId="148D3E2A" w14:textId="18D54D5B" w:rsidR="00480E11" w:rsidRDefault="00000000">
      <w:pPr>
        <w:jc w:val="both"/>
      </w:pPr>
      <w:r>
        <w:t>As our data displays asymmetry and fat-tailedness features, we choose different distributions of normal and student-t distribution to fit the errors. The multivariate GARCH models that are used for comparison are diagonal VECH, diagonal BEKK, and CCC.</w:t>
      </w:r>
    </w:p>
    <w:p w14:paraId="099683D7" w14:textId="77777777" w:rsidR="00480E11" w:rsidRDefault="00000000">
      <w:pPr>
        <w:pStyle w:val="Heading3"/>
        <w:jc w:val="both"/>
      </w:pPr>
      <w:r>
        <w:t>4.1.1 GARCH Model Results</w:t>
      </w:r>
    </w:p>
    <w:p w14:paraId="6E4C7385" w14:textId="4A631DA9" w:rsidR="004D76DD" w:rsidRDefault="00000000">
      <w:pPr>
        <w:jc w:val="both"/>
      </w:pPr>
      <w:r>
        <w:t>As shown in Table 4, the criteria used for comparison are the log-likelihood, AIC, and BIC. Under the normal distribution assumption, the diagonal VECH model estimates a total of 24 parameters and has the highest log-likelihood of 56886.42. It also has the lowest AIC and BIC values, indicating its best fit within the normal distribution assumption. The diagonal BEKK and CCC model has lower log-likelihood, indicating less goodness of fit. When using the student t distribution, we will get one more estimated parameter compared to the normal distribution. This additional estimated parameter is the degree of freedom. Under this assumption, the diagonal VECH also achieves the highest log-likelihood of 57459.74  among other student-t distribution models. Similarly, the diagonal BEKK and CCC model still has lower log-likelihood values, along with higher AIC and BIC values. Finally, by comparing the results of normal and student-t distributions, we can see that the models assuming student-t distributions generally show better goodness of fit compared to models assuming normal distributions. These results align with the data features of the high kurtosis observed in metal and energy commodities because the student t distribution is better at handling heavy tails and extreme values compared to the normal distribution.</w:t>
      </w:r>
    </w:p>
    <w:p w14:paraId="5775A825" w14:textId="77777777" w:rsidR="004D76DD" w:rsidRDefault="004D76DD">
      <w:r>
        <w:br w:type="page"/>
      </w:r>
    </w:p>
    <w:p w14:paraId="1DBBD83B" w14:textId="77777777" w:rsidR="00480E11" w:rsidRDefault="00480E11">
      <w:pPr>
        <w:jc w:val="both"/>
      </w:pPr>
    </w:p>
    <w:p w14:paraId="05F899CD" w14:textId="646B263B" w:rsidR="00480E11" w:rsidRDefault="00000000" w:rsidP="00B1081F">
      <w:pPr>
        <w:jc w:val="center"/>
      </w:pPr>
      <w:r>
        <w:t xml:space="preserve">Table 4: </w:t>
      </w:r>
      <w:r w:rsidR="00F9256A" w:rsidRPr="00F9256A">
        <w:t>Multivariate</w:t>
      </w:r>
      <w:r>
        <w:t xml:space="preserve"> GARCH (1, 1) model</w:t>
      </w:r>
      <w:r w:rsidR="009C04FF">
        <w:t>s</w:t>
      </w:r>
      <w:r w:rsidR="008B0076">
        <w:t>’</w:t>
      </w:r>
      <w:r>
        <w:t xml:space="preserve"> </w:t>
      </w:r>
      <w:r w:rsidR="00DF4D4F">
        <w:t>goodness of fit</w:t>
      </w:r>
    </w:p>
    <w:tbl>
      <w:tblPr>
        <w:tblStyle w:val="a2"/>
        <w:tblW w:w="5000" w:type="pct"/>
        <w:tblBorders>
          <w:top w:val="nil"/>
          <w:left w:val="nil"/>
          <w:bottom w:val="nil"/>
          <w:right w:val="nil"/>
          <w:insideH w:val="nil"/>
          <w:insideV w:val="nil"/>
        </w:tblBorders>
        <w:tblLook w:val="0600" w:firstRow="0" w:lastRow="0" w:firstColumn="0" w:lastColumn="0" w:noHBand="1" w:noVBand="1"/>
      </w:tblPr>
      <w:tblGrid>
        <w:gridCol w:w="1357"/>
        <w:gridCol w:w="983"/>
        <w:gridCol w:w="1838"/>
        <w:gridCol w:w="2048"/>
        <w:gridCol w:w="1608"/>
        <w:gridCol w:w="1526"/>
      </w:tblGrid>
      <w:tr w:rsidR="00480E11" w14:paraId="254ACECB" w14:textId="77777777" w:rsidTr="00CF6F96">
        <w:trPr>
          <w:trHeight w:val="345"/>
        </w:trPr>
        <w:tc>
          <w:tcPr>
            <w:tcW w:w="7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D30F0EA" w14:textId="77777777" w:rsidR="00480E11" w:rsidRDefault="00480E11">
            <w:pPr>
              <w:widowControl w:val="0"/>
              <w:spacing w:after="0" w:line="276" w:lineRule="auto"/>
              <w:rPr>
                <w:rFonts w:ascii="Arial" w:eastAsia="Arial" w:hAnsi="Arial" w:cs="Arial"/>
                <w:sz w:val="20"/>
                <w:szCs w:val="20"/>
              </w:rPr>
            </w:pPr>
          </w:p>
        </w:tc>
        <w:tc>
          <w:tcPr>
            <w:tcW w:w="52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99717A0" w14:textId="77777777" w:rsidR="00480E11" w:rsidRDefault="00480E11">
            <w:pPr>
              <w:widowControl w:val="0"/>
              <w:spacing w:after="0" w:line="276" w:lineRule="auto"/>
              <w:rPr>
                <w:rFonts w:ascii="Arial" w:eastAsia="Arial" w:hAnsi="Arial" w:cs="Arial"/>
                <w:sz w:val="20"/>
                <w:szCs w:val="20"/>
              </w:rPr>
            </w:pPr>
          </w:p>
        </w:tc>
        <w:tc>
          <w:tcPr>
            <w:tcW w:w="982"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4722E11" w14:textId="77777777" w:rsidR="00480E11" w:rsidRDefault="00000000" w:rsidP="007F5AC6">
            <w:pPr>
              <w:widowControl w:val="0"/>
              <w:spacing w:after="0" w:line="276" w:lineRule="auto"/>
              <w:jc w:val="center"/>
              <w:rPr>
                <w:rFonts w:ascii="Arial" w:eastAsia="Arial" w:hAnsi="Arial" w:cs="Arial"/>
                <w:sz w:val="20"/>
                <w:szCs w:val="20"/>
              </w:rPr>
            </w:pPr>
            <w:r>
              <w:rPr>
                <w:b/>
                <w:sz w:val="22"/>
                <w:szCs w:val="22"/>
              </w:rPr>
              <w:t>Num_para</w:t>
            </w:r>
          </w:p>
        </w:tc>
        <w:tc>
          <w:tcPr>
            <w:tcW w:w="1094"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B5E0CF4" w14:textId="77777777" w:rsidR="00480E11" w:rsidRDefault="00000000" w:rsidP="007F5AC6">
            <w:pPr>
              <w:widowControl w:val="0"/>
              <w:spacing w:after="0" w:line="276" w:lineRule="auto"/>
              <w:jc w:val="center"/>
              <w:rPr>
                <w:rFonts w:ascii="Arial" w:eastAsia="Arial" w:hAnsi="Arial" w:cs="Arial"/>
                <w:sz w:val="20"/>
                <w:szCs w:val="20"/>
              </w:rPr>
            </w:pPr>
            <w:r>
              <w:rPr>
                <w:b/>
                <w:sz w:val="22"/>
                <w:szCs w:val="22"/>
              </w:rPr>
              <w:t>Log-likelihood</w:t>
            </w:r>
          </w:p>
        </w:tc>
        <w:tc>
          <w:tcPr>
            <w:tcW w:w="859"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223D11F" w14:textId="77777777" w:rsidR="00480E11" w:rsidRDefault="00000000" w:rsidP="007F5AC6">
            <w:pPr>
              <w:widowControl w:val="0"/>
              <w:spacing w:after="0" w:line="276" w:lineRule="auto"/>
              <w:jc w:val="center"/>
              <w:rPr>
                <w:rFonts w:ascii="Arial" w:eastAsia="Arial" w:hAnsi="Arial" w:cs="Arial"/>
                <w:sz w:val="20"/>
                <w:szCs w:val="20"/>
              </w:rPr>
            </w:pPr>
            <w:r>
              <w:rPr>
                <w:b/>
                <w:sz w:val="22"/>
                <w:szCs w:val="22"/>
              </w:rPr>
              <w:t>AIC</w:t>
            </w:r>
          </w:p>
        </w:tc>
        <w:tc>
          <w:tcPr>
            <w:tcW w:w="81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31A5C12" w14:textId="77777777" w:rsidR="00480E11" w:rsidRDefault="00000000" w:rsidP="007F5AC6">
            <w:pPr>
              <w:widowControl w:val="0"/>
              <w:spacing w:after="0" w:line="276" w:lineRule="auto"/>
              <w:jc w:val="center"/>
              <w:rPr>
                <w:rFonts w:ascii="Arial" w:eastAsia="Arial" w:hAnsi="Arial" w:cs="Arial"/>
                <w:sz w:val="20"/>
                <w:szCs w:val="20"/>
              </w:rPr>
            </w:pPr>
            <w:r>
              <w:rPr>
                <w:b/>
                <w:sz w:val="22"/>
                <w:szCs w:val="22"/>
              </w:rPr>
              <w:t>BIC</w:t>
            </w:r>
          </w:p>
        </w:tc>
      </w:tr>
      <w:tr w:rsidR="00480E11" w14:paraId="5CE8940F" w14:textId="77777777" w:rsidTr="00CF6F96">
        <w:trPr>
          <w:trHeight w:val="315"/>
        </w:trPr>
        <w:tc>
          <w:tcPr>
            <w:tcW w:w="725" w:type="pct"/>
            <w:tcBorders>
              <w:top w:val="nil"/>
              <w:left w:val="nil"/>
              <w:bottom w:val="nil"/>
              <w:right w:val="nil"/>
            </w:tcBorders>
            <w:tcMar>
              <w:top w:w="40" w:type="dxa"/>
              <w:left w:w="40" w:type="dxa"/>
              <w:bottom w:w="40" w:type="dxa"/>
              <w:right w:w="40" w:type="dxa"/>
            </w:tcMar>
            <w:vAlign w:val="bottom"/>
          </w:tcPr>
          <w:p w14:paraId="41EC1AB0" w14:textId="77777777" w:rsidR="00480E11" w:rsidRDefault="00000000">
            <w:pPr>
              <w:widowControl w:val="0"/>
              <w:spacing w:after="0" w:line="276" w:lineRule="auto"/>
              <w:rPr>
                <w:rFonts w:ascii="Arial" w:eastAsia="Arial" w:hAnsi="Arial" w:cs="Arial"/>
                <w:sz w:val="20"/>
                <w:szCs w:val="20"/>
              </w:rPr>
            </w:pPr>
            <w:r>
              <w:rPr>
                <w:sz w:val="22"/>
                <w:szCs w:val="22"/>
              </w:rPr>
              <w:t>Norm</w:t>
            </w:r>
          </w:p>
        </w:tc>
        <w:tc>
          <w:tcPr>
            <w:tcW w:w="525" w:type="pct"/>
            <w:tcBorders>
              <w:top w:val="nil"/>
              <w:left w:val="nil"/>
              <w:bottom w:val="nil"/>
              <w:right w:val="nil"/>
            </w:tcBorders>
            <w:tcMar>
              <w:top w:w="40" w:type="dxa"/>
              <w:left w:w="40" w:type="dxa"/>
              <w:bottom w:w="40" w:type="dxa"/>
              <w:right w:w="40" w:type="dxa"/>
            </w:tcMar>
            <w:vAlign w:val="bottom"/>
          </w:tcPr>
          <w:p w14:paraId="19C8B3B9" w14:textId="77777777" w:rsidR="00480E11" w:rsidRDefault="00000000">
            <w:pPr>
              <w:widowControl w:val="0"/>
              <w:spacing w:after="0"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43A37542"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24</w:t>
            </w:r>
          </w:p>
        </w:tc>
        <w:tc>
          <w:tcPr>
            <w:tcW w:w="1094" w:type="pct"/>
            <w:tcBorders>
              <w:top w:val="nil"/>
              <w:left w:val="nil"/>
              <w:bottom w:val="nil"/>
              <w:right w:val="nil"/>
            </w:tcBorders>
            <w:tcMar>
              <w:top w:w="40" w:type="dxa"/>
              <w:left w:w="40" w:type="dxa"/>
              <w:bottom w:w="40" w:type="dxa"/>
              <w:right w:w="40" w:type="dxa"/>
            </w:tcMar>
            <w:vAlign w:val="bottom"/>
          </w:tcPr>
          <w:p w14:paraId="70D62F87"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56886.42</w:t>
            </w:r>
          </w:p>
        </w:tc>
        <w:tc>
          <w:tcPr>
            <w:tcW w:w="859" w:type="pct"/>
            <w:tcBorders>
              <w:top w:val="nil"/>
              <w:left w:val="nil"/>
              <w:bottom w:val="nil"/>
              <w:right w:val="nil"/>
            </w:tcBorders>
            <w:tcMar>
              <w:top w:w="40" w:type="dxa"/>
              <w:left w:w="40" w:type="dxa"/>
              <w:bottom w:w="40" w:type="dxa"/>
              <w:right w:w="40" w:type="dxa"/>
            </w:tcMar>
            <w:vAlign w:val="bottom"/>
          </w:tcPr>
          <w:p w14:paraId="63EA43FA"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-17.97</w:t>
            </w:r>
          </w:p>
        </w:tc>
        <w:tc>
          <w:tcPr>
            <w:tcW w:w="815" w:type="pct"/>
            <w:tcBorders>
              <w:top w:val="nil"/>
              <w:left w:val="nil"/>
              <w:bottom w:val="nil"/>
              <w:right w:val="nil"/>
            </w:tcBorders>
            <w:tcMar>
              <w:top w:w="40" w:type="dxa"/>
              <w:left w:w="40" w:type="dxa"/>
              <w:bottom w:w="40" w:type="dxa"/>
              <w:right w:w="40" w:type="dxa"/>
            </w:tcMar>
            <w:vAlign w:val="bottom"/>
          </w:tcPr>
          <w:p w14:paraId="2D3ECA6D"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-17.95</w:t>
            </w:r>
          </w:p>
        </w:tc>
      </w:tr>
      <w:tr w:rsidR="00480E11" w14:paraId="059723B0" w14:textId="77777777" w:rsidTr="00CF6F96">
        <w:trPr>
          <w:trHeight w:val="315"/>
        </w:trPr>
        <w:tc>
          <w:tcPr>
            <w:tcW w:w="725" w:type="pct"/>
            <w:tcBorders>
              <w:top w:val="nil"/>
              <w:left w:val="nil"/>
              <w:bottom w:val="nil"/>
              <w:right w:val="nil"/>
            </w:tcBorders>
            <w:tcMar>
              <w:top w:w="40" w:type="dxa"/>
              <w:left w:w="40" w:type="dxa"/>
              <w:bottom w:w="40" w:type="dxa"/>
              <w:right w:w="40" w:type="dxa"/>
            </w:tcMar>
            <w:vAlign w:val="bottom"/>
          </w:tcPr>
          <w:p w14:paraId="6184E2D5" w14:textId="77777777" w:rsidR="00480E11" w:rsidRDefault="00480E11">
            <w:pPr>
              <w:widowControl w:val="0"/>
              <w:spacing w:after="0"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41FEE7FC" w14:textId="77777777" w:rsidR="00480E11" w:rsidRDefault="00000000">
            <w:pPr>
              <w:widowControl w:val="0"/>
              <w:spacing w:after="0"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6B1689E2"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5AB48D0D"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56837.02</w:t>
            </w:r>
          </w:p>
        </w:tc>
        <w:tc>
          <w:tcPr>
            <w:tcW w:w="859" w:type="pct"/>
            <w:tcBorders>
              <w:top w:val="nil"/>
              <w:left w:val="nil"/>
              <w:bottom w:val="nil"/>
              <w:right w:val="nil"/>
            </w:tcBorders>
            <w:tcMar>
              <w:top w:w="40" w:type="dxa"/>
              <w:left w:w="40" w:type="dxa"/>
              <w:bottom w:w="40" w:type="dxa"/>
              <w:right w:w="40" w:type="dxa"/>
            </w:tcMar>
            <w:vAlign w:val="bottom"/>
          </w:tcPr>
          <w:p w14:paraId="5B93FF91"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-17.96</w:t>
            </w:r>
          </w:p>
        </w:tc>
        <w:tc>
          <w:tcPr>
            <w:tcW w:w="815" w:type="pct"/>
            <w:tcBorders>
              <w:top w:val="nil"/>
              <w:left w:val="nil"/>
              <w:bottom w:val="nil"/>
              <w:right w:val="nil"/>
            </w:tcBorders>
            <w:tcMar>
              <w:top w:w="40" w:type="dxa"/>
              <w:left w:w="40" w:type="dxa"/>
              <w:bottom w:w="40" w:type="dxa"/>
              <w:right w:w="40" w:type="dxa"/>
            </w:tcMar>
            <w:vAlign w:val="bottom"/>
          </w:tcPr>
          <w:p w14:paraId="57C04154"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-17.94</w:t>
            </w:r>
          </w:p>
        </w:tc>
      </w:tr>
      <w:tr w:rsidR="00480E11" w14:paraId="0D32A609" w14:textId="77777777" w:rsidTr="00CF6F96">
        <w:trPr>
          <w:trHeight w:val="315"/>
        </w:trPr>
        <w:tc>
          <w:tcPr>
            <w:tcW w:w="725" w:type="pct"/>
            <w:tcBorders>
              <w:top w:val="nil"/>
              <w:left w:val="nil"/>
              <w:bottom w:val="nil"/>
              <w:right w:val="nil"/>
            </w:tcBorders>
            <w:tcMar>
              <w:top w:w="40" w:type="dxa"/>
              <w:left w:w="40" w:type="dxa"/>
              <w:bottom w:w="40" w:type="dxa"/>
              <w:right w:w="40" w:type="dxa"/>
            </w:tcMar>
            <w:vAlign w:val="bottom"/>
          </w:tcPr>
          <w:p w14:paraId="1240C732" w14:textId="77777777" w:rsidR="00480E11" w:rsidRDefault="00480E11">
            <w:pPr>
              <w:widowControl w:val="0"/>
              <w:spacing w:after="0"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5A267BBD" w14:textId="77777777" w:rsidR="00480E11" w:rsidRDefault="00000000">
            <w:pPr>
              <w:widowControl w:val="0"/>
              <w:spacing w:after="0" w:line="276" w:lineRule="auto"/>
              <w:rPr>
                <w:rFonts w:ascii="Arial" w:eastAsia="Arial" w:hAnsi="Arial" w:cs="Arial"/>
                <w:sz w:val="20"/>
                <w:szCs w:val="20"/>
              </w:rPr>
            </w:pPr>
            <w:r>
              <w:rPr>
                <w:sz w:val="22"/>
                <w:szCs w:val="22"/>
              </w:rPr>
              <w:t>CCC</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1165F2CE"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w:t>
            </w:r>
          </w:p>
        </w:tc>
        <w:tc>
          <w:tcPr>
            <w:tcW w:w="1094" w:type="pct"/>
            <w:tcBorders>
              <w:top w:val="nil"/>
              <w:left w:val="nil"/>
              <w:bottom w:val="nil"/>
              <w:right w:val="nil"/>
            </w:tcBorders>
            <w:tcMar>
              <w:top w:w="40" w:type="dxa"/>
              <w:left w:w="40" w:type="dxa"/>
              <w:bottom w:w="40" w:type="dxa"/>
              <w:right w:w="40" w:type="dxa"/>
            </w:tcMar>
            <w:vAlign w:val="bottom"/>
          </w:tcPr>
          <w:p w14:paraId="0F2086F4"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56798.86</w:t>
            </w:r>
          </w:p>
        </w:tc>
        <w:tc>
          <w:tcPr>
            <w:tcW w:w="859" w:type="pct"/>
            <w:tcBorders>
              <w:top w:val="nil"/>
              <w:left w:val="nil"/>
              <w:bottom w:val="nil"/>
              <w:right w:val="nil"/>
            </w:tcBorders>
            <w:tcMar>
              <w:top w:w="40" w:type="dxa"/>
              <w:left w:w="40" w:type="dxa"/>
              <w:bottom w:w="40" w:type="dxa"/>
              <w:right w:w="40" w:type="dxa"/>
            </w:tcMar>
            <w:vAlign w:val="bottom"/>
          </w:tcPr>
          <w:p w14:paraId="6DE6085E"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-17.95</w:t>
            </w:r>
          </w:p>
        </w:tc>
        <w:tc>
          <w:tcPr>
            <w:tcW w:w="815" w:type="pct"/>
            <w:tcBorders>
              <w:top w:val="nil"/>
              <w:left w:val="nil"/>
              <w:bottom w:val="nil"/>
              <w:right w:val="nil"/>
            </w:tcBorders>
            <w:tcMar>
              <w:top w:w="40" w:type="dxa"/>
              <w:left w:w="40" w:type="dxa"/>
              <w:bottom w:w="40" w:type="dxa"/>
              <w:right w:w="40" w:type="dxa"/>
            </w:tcMar>
            <w:vAlign w:val="bottom"/>
          </w:tcPr>
          <w:p w14:paraId="2CDBF429"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-17.93</w:t>
            </w:r>
          </w:p>
        </w:tc>
      </w:tr>
      <w:tr w:rsidR="00480E11" w14:paraId="76A21AF6" w14:textId="77777777" w:rsidTr="00CF6F96">
        <w:trPr>
          <w:trHeight w:val="315"/>
        </w:trPr>
        <w:tc>
          <w:tcPr>
            <w:tcW w:w="725" w:type="pct"/>
            <w:tcBorders>
              <w:top w:val="nil"/>
              <w:left w:val="nil"/>
              <w:bottom w:val="nil"/>
              <w:right w:val="nil"/>
            </w:tcBorders>
            <w:tcMar>
              <w:top w:w="40" w:type="dxa"/>
              <w:left w:w="40" w:type="dxa"/>
              <w:bottom w:w="40" w:type="dxa"/>
              <w:right w:w="40" w:type="dxa"/>
            </w:tcMar>
            <w:vAlign w:val="bottom"/>
          </w:tcPr>
          <w:p w14:paraId="6B185247" w14:textId="77777777" w:rsidR="00480E11" w:rsidRDefault="00000000">
            <w:pPr>
              <w:widowControl w:val="0"/>
              <w:spacing w:after="0" w:line="276" w:lineRule="auto"/>
              <w:rPr>
                <w:rFonts w:ascii="Arial" w:eastAsia="Arial" w:hAnsi="Arial" w:cs="Arial"/>
                <w:sz w:val="20"/>
                <w:szCs w:val="20"/>
              </w:rPr>
            </w:pPr>
            <w:r>
              <w:rPr>
                <w:sz w:val="22"/>
                <w:szCs w:val="22"/>
              </w:rPr>
              <w:t>T</w:t>
            </w:r>
          </w:p>
        </w:tc>
        <w:tc>
          <w:tcPr>
            <w:tcW w:w="525" w:type="pct"/>
            <w:tcBorders>
              <w:top w:val="nil"/>
              <w:left w:val="nil"/>
              <w:bottom w:val="nil"/>
              <w:right w:val="nil"/>
            </w:tcBorders>
            <w:tcMar>
              <w:top w:w="40" w:type="dxa"/>
              <w:left w:w="40" w:type="dxa"/>
              <w:bottom w:w="40" w:type="dxa"/>
              <w:right w:w="40" w:type="dxa"/>
            </w:tcMar>
            <w:vAlign w:val="bottom"/>
          </w:tcPr>
          <w:p w14:paraId="1F1951AD" w14:textId="77777777" w:rsidR="00480E11" w:rsidRDefault="00000000">
            <w:pPr>
              <w:widowControl w:val="0"/>
              <w:spacing w:after="0" w:line="276" w:lineRule="auto"/>
              <w:rPr>
                <w:rFonts w:ascii="Arial" w:eastAsia="Arial" w:hAnsi="Arial" w:cs="Arial"/>
                <w:sz w:val="20"/>
                <w:szCs w:val="20"/>
              </w:rPr>
            </w:pPr>
            <w:r>
              <w:rPr>
                <w:sz w:val="22"/>
                <w:szCs w:val="22"/>
              </w:rPr>
              <w:t>VECH</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295F1245"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25</w:t>
            </w:r>
          </w:p>
        </w:tc>
        <w:tc>
          <w:tcPr>
            <w:tcW w:w="1094" w:type="pct"/>
            <w:tcBorders>
              <w:top w:val="nil"/>
              <w:left w:val="nil"/>
              <w:bottom w:val="nil"/>
              <w:right w:val="nil"/>
            </w:tcBorders>
            <w:tcMar>
              <w:top w:w="40" w:type="dxa"/>
              <w:left w:w="40" w:type="dxa"/>
              <w:bottom w:w="40" w:type="dxa"/>
              <w:right w:w="40" w:type="dxa"/>
            </w:tcMar>
            <w:vAlign w:val="bottom"/>
          </w:tcPr>
          <w:p w14:paraId="3F4CB24A"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57459.74</w:t>
            </w:r>
          </w:p>
        </w:tc>
        <w:tc>
          <w:tcPr>
            <w:tcW w:w="859" w:type="pct"/>
            <w:tcBorders>
              <w:top w:val="nil"/>
              <w:left w:val="nil"/>
              <w:bottom w:val="nil"/>
              <w:right w:val="nil"/>
            </w:tcBorders>
            <w:tcMar>
              <w:top w:w="40" w:type="dxa"/>
              <w:left w:w="40" w:type="dxa"/>
              <w:bottom w:w="40" w:type="dxa"/>
              <w:right w:w="40" w:type="dxa"/>
            </w:tcMar>
            <w:vAlign w:val="bottom"/>
          </w:tcPr>
          <w:p w14:paraId="7C6096D2"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-18.15</w:t>
            </w:r>
          </w:p>
        </w:tc>
        <w:tc>
          <w:tcPr>
            <w:tcW w:w="815" w:type="pct"/>
            <w:tcBorders>
              <w:top w:val="nil"/>
              <w:left w:val="nil"/>
              <w:bottom w:val="nil"/>
              <w:right w:val="nil"/>
            </w:tcBorders>
            <w:tcMar>
              <w:top w:w="40" w:type="dxa"/>
              <w:left w:w="40" w:type="dxa"/>
              <w:bottom w:w="40" w:type="dxa"/>
              <w:right w:w="40" w:type="dxa"/>
            </w:tcMar>
            <w:vAlign w:val="bottom"/>
          </w:tcPr>
          <w:p w14:paraId="2087039B"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-18.13</w:t>
            </w:r>
          </w:p>
        </w:tc>
      </w:tr>
      <w:tr w:rsidR="00480E11" w14:paraId="05210FF3" w14:textId="77777777" w:rsidTr="00CF6F96">
        <w:trPr>
          <w:trHeight w:val="315"/>
        </w:trPr>
        <w:tc>
          <w:tcPr>
            <w:tcW w:w="725" w:type="pct"/>
            <w:tcBorders>
              <w:top w:val="nil"/>
              <w:left w:val="nil"/>
              <w:bottom w:val="nil"/>
              <w:right w:val="nil"/>
            </w:tcBorders>
            <w:tcMar>
              <w:top w:w="40" w:type="dxa"/>
              <w:left w:w="40" w:type="dxa"/>
              <w:bottom w:w="40" w:type="dxa"/>
              <w:right w:w="40" w:type="dxa"/>
            </w:tcMar>
            <w:vAlign w:val="bottom"/>
          </w:tcPr>
          <w:p w14:paraId="43F13E69" w14:textId="77777777" w:rsidR="00480E11" w:rsidRDefault="00480E11">
            <w:pPr>
              <w:widowControl w:val="0"/>
              <w:spacing w:after="0" w:line="276" w:lineRule="auto"/>
              <w:rPr>
                <w:rFonts w:ascii="Arial" w:eastAsia="Arial" w:hAnsi="Arial" w:cs="Arial"/>
                <w:sz w:val="20"/>
                <w:szCs w:val="20"/>
              </w:rPr>
            </w:pPr>
          </w:p>
        </w:tc>
        <w:tc>
          <w:tcPr>
            <w:tcW w:w="525" w:type="pct"/>
            <w:tcBorders>
              <w:top w:val="nil"/>
              <w:left w:val="nil"/>
              <w:bottom w:val="nil"/>
              <w:right w:val="nil"/>
            </w:tcBorders>
            <w:tcMar>
              <w:top w:w="40" w:type="dxa"/>
              <w:left w:w="40" w:type="dxa"/>
              <w:bottom w:w="40" w:type="dxa"/>
              <w:right w:w="40" w:type="dxa"/>
            </w:tcMar>
            <w:vAlign w:val="bottom"/>
          </w:tcPr>
          <w:p w14:paraId="18F4237B" w14:textId="77777777" w:rsidR="00480E11" w:rsidRDefault="00000000">
            <w:pPr>
              <w:widowControl w:val="0"/>
              <w:spacing w:after="0" w:line="276" w:lineRule="auto"/>
              <w:rPr>
                <w:rFonts w:ascii="Arial" w:eastAsia="Arial" w:hAnsi="Arial" w:cs="Arial"/>
                <w:sz w:val="20"/>
                <w:szCs w:val="20"/>
              </w:rPr>
            </w:pPr>
            <w:r>
              <w:rPr>
                <w:sz w:val="22"/>
                <w:szCs w:val="22"/>
              </w:rPr>
              <w:t>BEKK</w:t>
            </w:r>
          </w:p>
        </w:tc>
        <w:tc>
          <w:tcPr>
            <w:tcW w:w="982" w:type="pct"/>
            <w:tcBorders>
              <w:top w:val="nil"/>
              <w:left w:val="nil"/>
              <w:bottom w:val="nil"/>
              <w:right w:val="nil"/>
            </w:tcBorders>
            <w:shd w:val="clear" w:color="auto" w:fill="auto"/>
            <w:tcMar>
              <w:top w:w="40" w:type="dxa"/>
              <w:left w:w="40" w:type="dxa"/>
              <w:bottom w:w="40" w:type="dxa"/>
              <w:right w:w="40" w:type="dxa"/>
            </w:tcMar>
            <w:vAlign w:val="bottom"/>
          </w:tcPr>
          <w:p w14:paraId="6901D749"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19</w:t>
            </w:r>
          </w:p>
        </w:tc>
        <w:tc>
          <w:tcPr>
            <w:tcW w:w="1094" w:type="pct"/>
            <w:tcBorders>
              <w:top w:val="nil"/>
              <w:left w:val="nil"/>
              <w:bottom w:val="nil"/>
              <w:right w:val="nil"/>
            </w:tcBorders>
            <w:tcMar>
              <w:top w:w="40" w:type="dxa"/>
              <w:left w:w="40" w:type="dxa"/>
              <w:bottom w:w="40" w:type="dxa"/>
              <w:right w:w="40" w:type="dxa"/>
            </w:tcMar>
            <w:vAlign w:val="bottom"/>
          </w:tcPr>
          <w:p w14:paraId="06ACEECE"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57415.96</w:t>
            </w:r>
          </w:p>
        </w:tc>
        <w:tc>
          <w:tcPr>
            <w:tcW w:w="859" w:type="pct"/>
            <w:tcBorders>
              <w:top w:val="nil"/>
              <w:left w:val="nil"/>
              <w:bottom w:val="nil"/>
              <w:right w:val="nil"/>
            </w:tcBorders>
            <w:tcMar>
              <w:top w:w="40" w:type="dxa"/>
              <w:left w:w="40" w:type="dxa"/>
              <w:bottom w:w="40" w:type="dxa"/>
              <w:right w:w="40" w:type="dxa"/>
            </w:tcMar>
            <w:vAlign w:val="bottom"/>
          </w:tcPr>
          <w:p w14:paraId="3351FBCD"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-18.14</w:t>
            </w:r>
          </w:p>
        </w:tc>
        <w:tc>
          <w:tcPr>
            <w:tcW w:w="815" w:type="pct"/>
            <w:tcBorders>
              <w:top w:val="nil"/>
              <w:left w:val="nil"/>
              <w:bottom w:val="nil"/>
              <w:right w:val="nil"/>
            </w:tcBorders>
            <w:tcMar>
              <w:top w:w="40" w:type="dxa"/>
              <w:left w:w="40" w:type="dxa"/>
              <w:bottom w:w="40" w:type="dxa"/>
              <w:right w:w="40" w:type="dxa"/>
            </w:tcMar>
            <w:vAlign w:val="bottom"/>
          </w:tcPr>
          <w:p w14:paraId="6B35AC54"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-18.12</w:t>
            </w:r>
          </w:p>
        </w:tc>
      </w:tr>
      <w:tr w:rsidR="00480E11" w14:paraId="6B5300CD" w14:textId="77777777" w:rsidTr="00CF6F96">
        <w:trPr>
          <w:trHeight w:val="330"/>
        </w:trPr>
        <w:tc>
          <w:tcPr>
            <w:tcW w:w="725" w:type="pct"/>
            <w:tcBorders>
              <w:top w:val="nil"/>
              <w:left w:val="nil"/>
              <w:bottom w:val="single" w:sz="4" w:space="0" w:color="000000"/>
              <w:right w:val="nil"/>
            </w:tcBorders>
            <w:tcMar>
              <w:top w:w="40" w:type="dxa"/>
              <w:left w:w="40" w:type="dxa"/>
              <w:bottom w:w="40" w:type="dxa"/>
              <w:right w:w="40" w:type="dxa"/>
            </w:tcMar>
            <w:vAlign w:val="bottom"/>
          </w:tcPr>
          <w:p w14:paraId="606D9373" w14:textId="77777777" w:rsidR="00480E11" w:rsidRDefault="00480E11">
            <w:pPr>
              <w:widowControl w:val="0"/>
              <w:spacing w:after="0" w:line="276" w:lineRule="auto"/>
              <w:rPr>
                <w:rFonts w:ascii="Arial" w:eastAsia="Arial" w:hAnsi="Arial" w:cs="Arial"/>
                <w:sz w:val="20"/>
                <w:szCs w:val="20"/>
              </w:rPr>
            </w:pPr>
          </w:p>
        </w:tc>
        <w:tc>
          <w:tcPr>
            <w:tcW w:w="525" w:type="pct"/>
            <w:tcBorders>
              <w:top w:val="nil"/>
              <w:left w:val="nil"/>
              <w:bottom w:val="single" w:sz="4" w:space="0" w:color="000000"/>
              <w:right w:val="nil"/>
            </w:tcBorders>
            <w:tcMar>
              <w:top w:w="40" w:type="dxa"/>
              <w:left w:w="40" w:type="dxa"/>
              <w:bottom w:w="40" w:type="dxa"/>
              <w:right w:w="40" w:type="dxa"/>
            </w:tcMar>
            <w:vAlign w:val="bottom"/>
          </w:tcPr>
          <w:p w14:paraId="66BE8921" w14:textId="77777777" w:rsidR="00480E11" w:rsidRDefault="00000000">
            <w:pPr>
              <w:widowControl w:val="0"/>
              <w:spacing w:after="0" w:line="276" w:lineRule="auto"/>
              <w:rPr>
                <w:rFonts w:ascii="Arial" w:eastAsia="Arial" w:hAnsi="Arial" w:cs="Arial"/>
                <w:sz w:val="20"/>
                <w:szCs w:val="20"/>
              </w:rPr>
            </w:pPr>
            <w:r>
              <w:rPr>
                <w:sz w:val="22"/>
                <w:szCs w:val="22"/>
              </w:rPr>
              <w:t>CCC</w:t>
            </w:r>
          </w:p>
        </w:tc>
        <w:tc>
          <w:tcPr>
            <w:tcW w:w="98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69F9579"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19</w:t>
            </w:r>
          </w:p>
        </w:tc>
        <w:tc>
          <w:tcPr>
            <w:tcW w:w="1094" w:type="pct"/>
            <w:tcBorders>
              <w:top w:val="nil"/>
              <w:left w:val="nil"/>
              <w:bottom w:val="single" w:sz="4" w:space="0" w:color="000000"/>
              <w:right w:val="nil"/>
            </w:tcBorders>
            <w:tcMar>
              <w:top w:w="40" w:type="dxa"/>
              <w:left w:w="40" w:type="dxa"/>
              <w:bottom w:w="40" w:type="dxa"/>
              <w:right w:w="40" w:type="dxa"/>
            </w:tcMar>
            <w:vAlign w:val="bottom"/>
          </w:tcPr>
          <w:p w14:paraId="23361EAC"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57406.78</w:t>
            </w:r>
          </w:p>
        </w:tc>
        <w:tc>
          <w:tcPr>
            <w:tcW w:w="859" w:type="pct"/>
            <w:tcBorders>
              <w:top w:val="nil"/>
              <w:left w:val="nil"/>
              <w:bottom w:val="single" w:sz="4" w:space="0" w:color="000000"/>
              <w:right w:val="nil"/>
            </w:tcBorders>
            <w:tcMar>
              <w:top w:w="40" w:type="dxa"/>
              <w:left w:w="40" w:type="dxa"/>
              <w:bottom w:w="40" w:type="dxa"/>
              <w:right w:w="40" w:type="dxa"/>
            </w:tcMar>
            <w:vAlign w:val="bottom"/>
          </w:tcPr>
          <w:p w14:paraId="6E436C8C"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-18.14</w:t>
            </w:r>
          </w:p>
        </w:tc>
        <w:tc>
          <w:tcPr>
            <w:tcW w:w="815" w:type="pct"/>
            <w:tcBorders>
              <w:top w:val="nil"/>
              <w:left w:val="nil"/>
              <w:bottom w:val="single" w:sz="4" w:space="0" w:color="000000"/>
              <w:right w:val="nil"/>
            </w:tcBorders>
            <w:tcMar>
              <w:top w:w="40" w:type="dxa"/>
              <w:left w:w="40" w:type="dxa"/>
              <w:bottom w:w="40" w:type="dxa"/>
              <w:right w:w="40" w:type="dxa"/>
            </w:tcMar>
            <w:vAlign w:val="bottom"/>
          </w:tcPr>
          <w:p w14:paraId="2BA81C50" w14:textId="77777777" w:rsidR="00480E11" w:rsidRDefault="00000000" w:rsidP="007F5AC6">
            <w:pPr>
              <w:widowControl w:val="0"/>
              <w:spacing w:after="0" w:line="276" w:lineRule="auto"/>
              <w:jc w:val="center"/>
              <w:rPr>
                <w:rFonts w:ascii="Arial" w:eastAsia="Arial" w:hAnsi="Arial" w:cs="Arial"/>
                <w:sz w:val="20"/>
                <w:szCs w:val="20"/>
              </w:rPr>
            </w:pPr>
            <w:r>
              <w:rPr>
                <w:sz w:val="22"/>
                <w:szCs w:val="22"/>
              </w:rPr>
              <w:t>-18.12</w:t>
            </w:r>
          </w:p>
        </w:tc>
      </w:tr>
      <w:tr w:rsidR="00480E11" w14:paraId="00CBCA76" w14:textId="77777777" w:rsidTr="00CF6F96">
        <w:trPr>
          <w:trHeight w:val="1470"/>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6A52AD35" w14:textId="77777777" w:rsidR="00480E11" w:rsidRDefault="00000000">
            <w:pPr>
              <w:widowControl w:val="0"/>
              <w:spacing w:after="0" w:line="276" w:lineRule="auto"/>
              <w:rPr>
                <w:rFonts w:ascii="Arial" w:eastAsia="Arial" w:hAnsi="Arial" w:cs="Arial"/>
                <w:sz w:val="20"/>
                <w:szCs w:val="20"/>
              </w:rPr>
            </w:pPr>
            <w:r>
              <w:rPr>
                <w:sz w:val="22"/>
                <w:szCs w:val="22"/>
              </w:rPr>
              <w:t>Note: Norm is the normal distribution, and t is the student t distribution. Num_para is the number of parameters to be estimated during the estimation process. AIC is Akaike Information Criterion and BIC is Bayesian Information Criterion. Higher values of log-likelihood, along with lower values of AIC and BIC, indicate better goodness of fit.</w:t>
            </w:r>
          </w:p>
        </w:tc>
      </w:tr>
    </w:tbl>
    <w:p w14:paraId="4099E3BD" w14:textId="77777777" w:rsidR="00480E11" w:rsidRDefault="00000000">
      <w:pPr>
        <w:pStyle w:val="Heading3"/>
        <w:jc w:val="both"/>
      </w:pPr>
      <w:r>
        <w:t>4.1.2 Diagnostic Tests</w:t>
      </w:r>
    </w:p>
    <w:p w14:paraId="6AC2A362" w14:textId="341CD70F" w:rsidR="00480E11" w:rsidRDefault="00000000">
      <w:pPr>
        <w:jc w:val="both"/>
      </w:pPr>
      <w:r>
        <w:t>Table 5 presents the results of diagnostic tests for standardized residuals using the Ljung-Box test with 15 lags. The tests evaluate the correlation and covariance matrices of residuals under normal and student-t distributions for the multivariate GARCH models. Across all models, the P-values are relatively high, with none below 0.10, indicating that there is no significant autocorrelation in the standardized residuals. Models under the student-t distribution generally show slightly higher P-values, implying a marginally better fit in handling autocorrelation compared to those under the normal distribution. This supports the effectiveness of the models in capturing the autocorrelation present in the original data, validating their performance.</w:t>
      </w:r>
    </w:p>
    <w:p w14:paraId="4802E754" w14:textId="77777777" w:rsidR="00480E11" w:rsidRDefault="00000000" w:rsidP="0045686A">
      <w:pPr>
        <w:jc w:val="center"/>
      </w:pPr>
      <w:r>
        <w:t>Table 5: Diagnostic Tests for Standardized Residuals</w:t>
      </w:r>
    </w:p>
    <w:tbl>
      <w:tblPr>
        <w:tblStyle w:val="a3"/>
        <w:tblW w:w="5000" w:type="pct"/>
        <w:tblBorders>
          <w:top w:val="nil"/>
          <w:left w:val="nil"/>
          <w:bottom w:val="nil"/>
          <w:right w:val="nil"/>
          <w:insideH w:val="nil"/>
          <w:insideV w:val="nil"/>
        </w:tblBorders>
        <w:tblLook w:val="0600" w:firstRow="0" w:lastRow="0" w:firstColumn="0" w:lastColumn="0" w:noHBand="1" w:noVBand="1"/>
      </w:tblPr>
      <w:tblGrid>
        <w:gridCol w:w="900"/>
        <w:gridCol w:w="1685"/>
        <w:gridCol w:w="1876"/>
        <w:gridCol w:w="1589"/>
        <w:gridCol w:w="1397"/>
        <w:gridCol w:w="1913"/>
      </w:tblGrid>
      <w:tr w:rsidR="00480E11" w14:paraId="525ABE36" w14:textId="77777777" w:rsidTr="00185785">
        <w:trPr>
          <w:trHeight w:val="330"/>
        </w:trPr>
        <w:tc>
          <w:tcPr>
            <w:tcW w:w="481" w:type="pct"/>
            <w:tcBorders>
              <w:top w:val="single" w:sz="4" w:space="0" w:color="000000"/>
              <w:left w:val="nil"/>
              <w:bottom w:val="nil"/>
              <w:right w:val="nil"/>
            </w:tcBorders>
            <w:tcMar>
              <w:top w:w="40" w:type="dxa"/>
              <w:left w:w="40" w:type="dxa"/>
              <w:bottom w:w="40" w:type="dxa"/>
              <w:right w:w="40" w:type="dxa"/>
            </w:tcMar>
            <w:vAlign w:val="center"/>
          </w:tcPr>
          <w:p w14:paraId="32715D9B" w14:textId="77777777" w:rsidR="00480E11" w:rsidRDefault="00480E11">
            <w:pPr>
              <w:widowControl w:val="0"/>
              <w:spacing w:after="0" w:line="276" w:lineRule="auto"/>
              <w:rPr>
                <w:rFonts w:ascii="Arial" w:eastAsia="Arial" w:hAnsi="Arial" w:cs="Arial"/>
                <w:sz w:val="20"/>
                <w:szCs w:val="20"/>
              </w:rPr>
            </w:pPr>
          </w:p>
        </w:tc>
        <w:tc>
          <w:tcPr>
            <w:tcW w:w="900" w:type="pct"/>
            <w:tcBorders>
              <w:top w:val="single" w:sz="4" w:space="0" w:color="000000"/>
              <w:left w:val="nil"/>
              <w:bottom w:val="nil"/>
              <w:right w:val="nil"/>
            </w:tcBorders>
            <w:tcMar>
              <w:top w:w="40" w:type="dxa"/>
              <w:left w:w="40" w:type="dxa"/>
              <w:bottom w:w="40" w:type="dxa"/>
              <w:right w:w="40" w:type="dxa"/>
            </w:tcMar>
            <w:vAlign w:val="center"/>
          </w:tcPr>
          <w:p w14:paraId="4220BFDA" w14:textId="77777777" w:rsidR="00480E11" w:rsidRDefault="00480E11">
            <w:pPr>
              <w:widowControl w:val="0"/>
              <w:spacing w:after="0" w:line="276" w:lineRule="auto"/>
              <w:rPr>
                <w:rFonts w:ascii="Arial" w:eastAsia="Arial" w:hAnsi="Arial" w:cs="Arial"/>
                <w:sz w:val="20"/>
                <w:szCs w:val="20"/>
              </w:rPr>
            </w:pPr>
          </w:p>
        </w:tc>
        <w:tc>
          <w:tcPr>
            <w:tcW w:w="1851" w:type="pct"/>
            <w:gridSpan w:val="2"/>
            <w:tcBorders>
              <w:top w:val="single" w:sz="4" w:space="0" w:color="000000"/>
              <w:left w:val="nil"/>
              <w:bottom w:val="nil"/>
              <w:right w:val="nil"/>
            </w:tcBorders>
            <w:tcMar>
              <w:top w:w="40" w:type="dxa"/>
              <w:left w:w="40" w:type="dxa"/>
              <w:bottom w:w="40" w:type="dxa"/>
              <w:right w:w="40" w:type="dxa"/>
            </w:tcMar>
            <w:vAlign w:val="center"/>
          </w:tcPr>
          <w:p w14:paraId="7D6CDF0A" w14:textId="77777777" w:rsidR="00480E11" w:rsidRDefault="00000000" w:rsidP="00E75118">
            <w:pPr>
              <w:widowControl w:val="0"/>
              <w:spacing w:after="0" w:line="276" w:lineRule="auto"/>
              <w:jc w:val="center"/>
              <w:rPr>
                <w:rFonts w:ascii="Arial" w:eastAsia="Arial" w:hAnsi="Arial" w:cs="Arial"/>
                <w:sz w:val="20"/>
                <w:szCs w:val="20"/>
              </w:rPr>
            </w:pPr>
            <w:r>
              <w:rPr>
                <w:b/>
                <w:sz w:val="22"/>
                <w:szCs w:val="22"/>
              </w:rPr>
              <w:t>Cor</w:t>
            </w:r>
          </w:p>
        </w:tc>
        <w:tc>
          <w:tcPr>
            <w:tcW w:w="1769" w:type="pct"/>
            <w:gridSpan w:val="2"/>
            <w:tcBorders>
              <w:top w:val="single" w:sz="4" w:space="0" w:color="000000"/>
              <w:left w:val="nil"/>
              <w:bottom w:val="nil"/>
              <w:right w:val="nil"/>
            </w:tcBorders>
            <w:shd w:val="clear" w:color="auto" w:fill="auto"/>
            <w:tcMar>
              <w:top w:w="40" w:type="dxa"/>
              <w:left w:w="40" w:type="dxa"/>
              <w:bottom w:w="40" w:type="dxa"/>
              <w:right w:w="40" w:type="dxa"/>
            </w:tcMar>
            <w:vAlign w:val="center"/>
          </w:tcPr>
          <w:p w14:paraId="54B58276" w14:textId="77777777" w:rsidR="00480E11" w:rsidRDefault="00000000" w:rsidP="00E75118">
            <w:pPr>
              <w:widowControl w:val="0"/>
              <w:spacing w:after="0" w:line="276" w:lineRule="auto"/>
              <w:jc w:val="center"/>
              <w:rPr>
                <w:rFonts w:ascii="Arial" w:eastAsia="Arial" w:hAnsi="Arial" w:cs="Arial"/>
                <w:sz w:val="20"/>
                <w:szCs w:val="20"/>
              </w:rPr>
            </w:pPr>
            <w:r>
              <w:rPr>
                <w:b/>
                <w:sz w:val="22"/>
                <w:szCs w:val="22"/>
              </w:rPr>
              <w:t>Cov</w:t>
            </w:r>
          </w:p>
        </w:tc>
      </w:tr>
      <w:tr w:rsidR="00480E11" w14:paraId="6738A170" w14:textId="77777777" w:rsidTr="00185785">
        <w:trPr>
          <w:trHeight w:val="330"/>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E3FF32F" w14:textId="77777777" w:rsidR="00480E11" w:rsidRDefault="00480E11">
            <w:pPr>
              <w:widowControl w:val="0"/>
              <w:spacing w:after="0"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6613C8B" w14:textId="77777777" w:rsidR="00480E11" w:rsidRDefault="00480E11">
            <w:pPr>
              <w:widowControl w:val="0"/>
              <w:spacing w:after="0" w:line="276" w:lineRule="auto"/>
              <w:rPr>
                <w:rFonts w:ascii="Arial" w:eastAsia="Arial" w:hAnsi="Arial" w:cs="Arial"/>
                <w:sz w:val="20"/>
                <w:szCs w:val="20"/>
              </w:rPr>
            </w:pP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0B5CA50C"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Q-Stat</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C347D45"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P-value</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04B6BDF3"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Q-Stat</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center"/>
          </w:tcPr>
          <w:p w14:paraId="71A1CCBF"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P-value</w:t>
            </w:r>
          </w:p>
        </w:tc>
      </w:tr>
      <w:tr w:rsidR="00480E11" w14:paraId="644A1A30" w14:textId="77777777" w:rsidTr="00185785">
        <w:trPr>
          <w:trHeight w:val="31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02962ED1" w14:textId="77777777" w:rsidR="00480E11" w:rsidRDefault="00000000">
            <w:pPr>
              <w:widowControl w:val="0"/>
              <w:spacing w:after="0" w:line="276" w:lineRule="auto"/>
              <w:rPr>
                <w:rFonts w:ascii="Arial" w:eastAsia="Arial" w:hAnsi="Arial" w:cs="Arial"/>
                <w:sz w:val="20"/>
                <w:szCs w:val="20"/>
              </w:rPr>
            </w:pPr>
            <w:r>
              <w:rPr>
                <w:sz w:val="22"/>
                <w:szCs w:val="22"/>
              </w:rPr>
              <w:t>Norm</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568EB555" w14:textId="77777777" w:rsidR="00480E11" w:rsidRDefault="00000000">
            <w:pPr>
              <w:widowControl w:val="0"/>
              <w:spacing w:after="0"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3BCF5A91"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151.80</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1CD2519B"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4B91747C"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150.42</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262E9656"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0.17</w:t>
            </w:r>
          </w:p>
        </w:tc>
      </w:tr>
      <w:tr w:rsidR="00480E11" w14:paraId="2BE0F7E3" w14:textId="77777777" w:rsidTr="00185785">
        <w:trPr>
          <w:trHeight w:val="31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09DB7F14" w14:textId="77777777" w:rsidR="00480E11" w:rsidRDefault="00480E11">
            <w:pPr>
              <w:widowControl w:val="0"/>
              <w:spacing w:after="0"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44A6DB5C" w14:textId="77777777" w:rsidR="00480E11" w:rsidRDefault="00000000">
            <w:pPr>
              <w:widowControl w:val="0"/>
              <w:spacing w:after="0"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503A41FF"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154.36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6602AADA"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0.12</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0F615786"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153.38</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2467597E"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0.13</w:t>
            </w:r>
          </w:p>
        </w:tc>
      </w:tr>
      <w:tr w:rsidR="00480E11" w14:paraId="1F72EC08" w14:textId="77777777" w:rsidTr="00185785">
        <w:trPr>
          <w:trHeight w:val="31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70929362" w14:textId="77777777" w:rsidR="00480E11" w:rsidRDefault="00480E11">
            <w:pPr>
              <w:widowControl w:val="0"/>
              <w:spacing w:after="0"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422D013A" w14:textId="77777777" w:rsidR="00480E11" w:rsidRDefault="00000000">
            <w:pPr>
              <w:widowControl w:val="0"/>
              <w:spacing w:after="0" w:line="276" w:lineRule="auto"/>
              <w:rPr>
                <w:rFonts w:ascii="Arial" w:eastAsia="Arial" w:hAnsi="Arial" w:cs="Arial"/>
                <w:sz w:val="20"/>
                <w:szCs w:val="20"/>
              </w:rPr>
            </w:pPr>
            <w:r>
              <w:rPr>
                <w:sz w:val="22"/>
                <w:szCs w:val="22"/>
              </w:rPr>
              <w:t>CCC</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5394D3D4"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147.96</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0F8F49FB"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0.21</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0715CD1F"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147.90</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6A6AD4CF"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0.21</w:t>
            </w:r>
          </w:p>
        </w:tc>
      </w:tr>
      <w:tr w:rsidR="00480E11" w14:paraId="30CBB1BE" w14:textId="77777777" w:rsidTr="00185785">
        <w:trPr>
          <w:trHeight w:val="31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16D5B8CA" w14:textId="77777777" w:rsidR="00480E11" w:rsidRDefault="00000000">
            <w:pPr>
              <w:widowControl w:val="0"/>
              <w:spacing w:after="0" w:line="276" w:lineRule="auto"/>
              <w:rPr>
                <w:rFonts w:ascii="Arial" w:eastAsia="Arial" w:hAnsi="Arial" w:cs="Arial"/>
                <w:sz w:val="20"/>
                <w:szCs w:val="20"/>
              </w:rPr>
            </w:pPr>
            <w:r>
              <w:rPr>
                <w:sz w:val="22"/>
                <w:szCs w:val="22"/>
              </w:rPr>
              <w:t>T</w:t>
            </w: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201ED49B" w14:textId="77777777" w:rsidR="00480E11" w:rsidRDefault="00000000">
            <w:pPr>
              <w:widowControl w:val="0"/>
              <w:spacing w:after="0" w:line="276" w:lineRule="auto"/>
              <w:rPr>
                <w:rFonts w:ascii="Arial" w:eastAsia="Arial" w:hAnsi="Arial" w:cs="Arial"/>
                <w:sz w:val="20"/>
                <w:szCs w:val="20"/>
              </w:rPr>
            </w:pPr>
            <w:r>
              <w:rPr>
                <w:sz w:val="22"/>
                <w:szCs w:val="22"/>
              </w:rPr>
              <w:t>VECH</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59CF1320"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145.87</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781DA423"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0.25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42EDA0A"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144.86</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346F66E8"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0.27</w:t>
            </w:r>
          </w:p>
        </w:tc>
      </w:tr>
      <w:tr w:rsidR="00480E11" w14:paraId="38DA862F" w14:textId="77777777" w:rsidTr="00185785">
        <w:trPr>
          <w:trHeight w:val="315"/>
        </w:trPr>
        <w:tc>
          <w:tcPr>
            <w:tcW w:w="481" w:type="pct"/>
            <w:tcBorders>
              <w:top w:val="nil"/>
              <w:left w:val="nil"/>
              <w:bottom w:val="nil"/>
              <w:right w:val="nil"/>
            </w:tcBorders>
            <w:shd w:val="clear" w:color="auto" w:fill="auto"/>
            <w:tcMar>
              <w:top w:w="40" w:type="dxa"/>
              <w:left w:w="40" w:type="dxa"/>
              <w:bottom w:w="40" w:type="dxa"/>
              <w:right w:w="40" w:type="dxa"/>
            </w:tcMar>
            <w:vAlign w:val="bottom"/>
          </w:tcPr>
          <w:p w14:paraId="116E893D" w14:textId="77777777" w:rsidR="00480E11" w:rsidRDefault="00480E11">
            <w:pPr>
              <w:widowControl w:val="0"/>
              <w:spacing w:after="0" w:line="276" w:lineRule="auto"/>
              <w:rPr>
                <w:rFonts w:ascii="Arial" w:eastAsia="Arial" w:hAnsi="Arial" w:cs="Arial"/>
                <w:sz w:val="20"/>
                <w:szCs w:val="20"/>
              </w:rPr>
            </w:pPr>
          </w:p>
        </w:tc>
        <w:tc>
          <w:tcPr>
            <w:tcW w:w="900" w:type="pct"/>
            <w:tcBorders>
              <w:top w:val="nil"/>
              <w:left w:val="nil"/>
              <w:bottom w:val="nil"/>
              <w:right w:val="nil"/>
            </w:tcBorders>
            <w:shd w:val="clear" w:color="auto" w:fill="auto"/>
            <w:tcMar>
              <w:top w:w="40" w:type="dxa"/>
              <w:left w:w="40" w:type="dxa"/>
              <w:bottom w:w="40" w:type="dxa"/>
              <w:right w:w="40" w:type="dxa"/>
            </w:tcMar>
            <w:vAlign w:val="bottom"/>
          </w:tcPr>
          <w:p w14:paraId="58939A03" w14:textId="77777777" w:rsidR="00480E11" w:rsidRDefault="00000000">
            <w:pPr>
              <w:widowControl w:val="0"/>
              <w:spacing w:after="0" w:line="276" w:lineRule="auto"/>
              <w:rPr>
                <w:rFonts w:ascii="Arial" w:eastAsia="Arial" w:hAnsi="Arial" w:cs="Arial"/>
                <w:sz w:val="20"/>
                <w:szCs w:val="20"/>
              </w:rPr>
            </w:pPr>
            <w:r>
              <w:rPr>
                <w:sz w:val="22"/>
                <w:szCs w:val="22"/>
              </w:rPr>
              <w:t>BEKK</w:t>
            </w:r>
          </w:p>
        </w:tc>
        <w:tc>
          <w:tcPr>
            <w:tcW w:w="1002" w:type="pct"/>
            <w:tcBorders>
              <w:top w:val="nil"/>
              <w:left w:val="nil"/>
              <w:bottom w:val="nil"/>
              <w:right w:val="nil"/>
            </w:tcBorders>
            <w:shd w:val="clear" w:color="auto" w:fill="auto"/>
            <w:tcMar>
              <w:top w:w="40" w:type="dxa"/>
              <w:left w:w="40" w:type="dxa"/>
              <w:bottom w:w="40" w:type="dxa"/>
              <w:right w:w="40" w:type="dxa"/>
            </w:tcMar>
            <w:vAlign w:val="bottom"/>
          </w:tcPr>
          <w:p w14:paraId="31884F6A"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151.85</w:t>
            </w:r>
          </w:p>
        </w:tc>
        <w:tc>
          <w:tcPr>
            <w:tcW w:w="849" w:type="pct"/>
            <w:tcBorders>
              <w:top w:val="nil"/>
              <w:left w:val="nil"/>
              <w:bottom w:val="nil"/>
              <w:right w:val="nil"/>
            </w:tcBorders>
            <w:shd w:val="clear" w:color="auto" w:fill="auto"/>
            <w:tcMar>
              <w:top w:w="40" w:type="dxa"/>
              <w:left w:w="40" w:type="dxa"/>
              <w:bottom w:w="40" w:type="dxa"/>
              <w:right w:w="40" w:type="dxa"/>
            </w:tcMar>
            <w:vAlign w:val="bottom"/>
          </w:tcPr>
          <w:p w14:paraId="555B65AE"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0.15</w:t>
            </w:r>
          </w:p>
        </w:tc>
        <w:tc>
          <w:tcPr>
            <w:tcW w:w="746" w:type="pct"/>
            <w:tcBorders>
              <w:top w:val="nil"/>
              <w:left w:val="nil"/>
              <w:bottom w:val="nil"/>
              <w:right w:val="nil"/>
            </w:tcBorders>
            <w:shd w:val="clear" w:color="auto" w:fill="auto"/>
            <w:tcMar>
              <w:top w:w="40" w:type="dxa"/>
              <w:left w:w="40" w:type="dxa"/>
              <w:bottom w:w="40" w:type="dxa"/>
              <w:right w:w="40" w:type="dxa"/>
            </w:tcMar>
            <w:vAlign w:val="bottom"/>
          </w:tcPr>
          <w:p w14:paraId="2E58ABB0"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151.13</w:t>
            </w:r>
          </w:p>
        </w:tc>
        <w:tc>
          <w:tcPr>
            <w:tcW w:w="1022" w:type="pct"/>
            <w:tcBorders>
              <w:top w:val="nil"/>
              <w:left w:val="nil"/>
              <w:bottom w:val="nil"/>
              <w:right w:val="nil"/>
            </w:tcBorders>
            <w:shd w:val="clear" w:color="auto" w:fill="auto"/>
            <w:tcMar>
              <w:top w:w="40" w:type="dxa"/>
              <w:left w:w="40" w:type="dxa"/>
              <w:bottom w:w="40" w:type="dxa"/>
              <w:right w:w="40" w:type="dxa"/>
            </w:tcMar>
            <w:vAlign w:val="bottom"/>
          </w:tcPr>
          <w:p w14:paraId="1ABF52DC"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0.16</w:t>
            </w:r>
          </w:p>
        </w:tc>
      </w:tr>
      <w:tr w:rsidR="00480E11" w14:paraId="24CD97A0" w14:textId="77777777" w:rsidTr="00185785">
        <w:trPr>
          <w:trHeight w:val="330"/>
        </w:trPr>
        <w:tc>
          <w:tcPr>
            <w:tcW w:w="48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25A7EC2" w14:textId="77777777" w:rsidR="00480E11" w:rsidRDefault="00480E11">
            <w:pPr>
              <w:widowControl w:val="0"/>
              <w:spacing w:after="0" w:line="276" w:lineRule="auto"/>
              <w:rPr>
                <w:rFonts w:ascii="Arial" w:eastAsia="Arial" w:hAnsi="Arial" w:cs="Arial"/>
                <w:sz w:val="20"/>
                <w:szCs w:val="20"/>
              </w:rPr>
            </w:pPr>
          </w:p>
        </w:tc>
        <w:tc>
          <w:tcPr>
            <w:tcW w:w="90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4BDAF78" w14:textId="77777777" w:rsidR="00480E11" w:rsidRDefault="00000000">
            <w:pPr>
              <w:widowControl w:val="0"/>
              <w:spacing w:after="0" w:line="276" w:lineRule="auto"/>
              <w:rPr>
                <w:rFonts w:ascii="Arial" w:eastAsia="Arial" w:hAnsi="Arial" w:cs="Arial"/>
                <w:sz w:val="20"/>
                <w:szCs w:val="20"/>
              </w:rPr>
            </w:pPr>
            <w:r>
              <w:rPr>
                <w:sz w:val="22"/>
                <w:szCs w:val="22"/>
              </w:rPr>
              <w:t>CCC</w:t>
            </w:r>
          </w:p>
        </w:tc>
        <w:tc>
          <w:tcPr>
            <w:tcW w:w="100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C016404"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141.67</w:t>
            </w:r>
          </w:p>
        </w:tc>
        <w:tc>
          <w:tcPr>
            <w:tcW w:w="849"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C66A3A1"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0.33</w:t>
            </w:r>
          </w:p>
        </w:tc>
        <w:tc>
          <w:tcPr>
            <w:tcW w:w="746"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8A01779"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141.71</w:t>
            </w:r>
          </w:p>
        </w:tc>
        <w:tc>
          <w:tcPr>
            <w:tcW w:w="1022"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0B181CE" w14:textId="77777777" w:rsidR="00480E11" w:rsidRDefault="00000000" w:rsidP="001F0506">
            <w:pPr>
              <w:widowControl w:val="0"/>
              <w:spacing w:after="0" w:line="276" w:lineRule="auto"/>
              <w:jc w:val="center"/>
              <w:rPr>
                <w:rFonts w:ascii="Arial" w:eastAsia="Arial" w:hAnsi="Arial" w:cs="Arial"/>
                <w:sz w:val="20"/>
                <w:szCs w:val="20"/>
              </w:rPr>
            </w:pPr>
            <w:r>
              <w:rPr>
                <w:sz w:val="22"/>
                <w:szCs w:val="22"/>
              </w:rPr>
              <w:t>0.33</w:t>
            </w:r>
          </w:p>
        </w:tc>
      </w:tr>
      <w:tr w:rsidR="00480E11" w14:paraId="42F98BDD" w14:textId="77777777" w:rsidTr="00224F2B">
        <w:trPr>
          <w:trHeight w:val="1520"/>
        </w:trPr>
        <w:tc>
          <w:tcPr>
            <w:tcW w:w="5000" w:type="pct"/>
            <w:gridSpan w:val="6"/>
            <w:tcBorders>
              <w:top w:val="nil"/>
              <w:left w:val="nil"/>
              <w:bottom w:val="nil"/>
              <w:right w:val="nil"/>
            </w:tcBorders>
            <w:shd w:val="clear" w:color="auto" w:fill="auto"/>
            <w:tcMar>
              <w:top w:w="40" w:type="dxa"/>
              <w:left w:w="40" w:type="dxa"/>
              <w:bottom w:w="40" w:type="dxa"/>
              <w:right w:w="40" w:type="dxa"/>
            </w:tcMar>
          </w:tcPr>
          <w:p w14:paraId="7E3E9C27" w14:textId="77777777" w:rsidR="00480E11" w:rsidRDefault="00000000">
            <w:pPr>
              <w:widowControl w:val="0"/>
              <w:spacing w:after="0" w:line="276" w:lineRule="auto"/>
              <w:rPr>
                <w:rFonts w:ascii="Arial" w:eastAsia="Arial" w:hAnsi="Arial" w:cs="Arial"/>
                <w:sz w:val="20"/>
                <w:szCs w:val="20"/>
              </w:rPr>
            </w:pPr>
            <w:r>
              <w:rPr>
                <w:sz w:val="22"/>
                <w:szCs w:val="22"/>
              </w:rPr>
              <w:t>Note: The table is the result of the Ljung-Box test with lags of 15. Norm is the normal distribution, and t is the student t distribution. Cor and Cov denote the square root of the correlation and covariance matrix of residuals. By using the standardized residuals of the square root of correlation and covariance, we can adjust for autocorrelation in the residuals.</w:t>
            </w:r>
          </w:p>
        </w:tc>
      </w:tr>
    </w:tbl>
    <w:p w14:paraId="53DCDB66" w14:textId="77777777" w:rsidR="00480E11" w:rsidRDefault="00000000">
      <w:pPr>
        <w:pStyle w:val="Heading2"/>
        <w:jc w:val="both"/>
      </w:pPr>
      <w:bookmarkStart w:id="14" w:name="_Toc166705774"/>
      <w:r>
        <w:t>4.2 Optimal Portfolio Weights</w:t>
      </w:r>
      <w:bookmarkEnd w:id="14"/>
    </w:p>
    <w:p w14:paraId="5AD9C7C5" w14:textId="3FD27719" w:rsidR="00480E11" w:rsidRDefault="00000000">
      <w:pPr>
        <w:jc w:val="both"/>
      </w:pPr>
      <w:r>
        <w:t xml:space="preserve">After using the multivariate GARCH model, we get the time-varying conditional covariance matrix </w:t>
      </w:r>
      <m:oMath>
        <m:sSubSup>
          <m:sSubSupPr>
            <m:ctrlPr>
              <w:rPr>
                <w:rFonts w:ascii="Cambria Math" w:hAnsi="Cambria Math"/>
              </w:rPr>
            </m:ctrlPr>
          </m:sSubSupPr>
          <m:e>
            <m:r>
              <w:rPr>
                <w:rFonts w:ascii="Cambria Math" w:hAnsi="Cambria Math"/>
              </w:rPr>
              <m:t>Q</m:t>
            </m:r>
          </m:e>
          <m:sub>
            <m:r>
              <w:rPr>
                <w:rFonts w:ascii="Cambria Math" w:hAnsi="Cambria Math"/>
              </w:rPr>
              <m:t>t</m:t>
            </m:r>
          </m:sub>
          <m:sup/>
        </m:sSubSup>
      </m:oMath>
      <w:r>
        <w:t xml:space="preserve">and correlation matrix </w:t>
      </w:r>
      <m:oMath>
        <m:sSubSup>
          <m:sSubSupPr>
            <m:ctrlPr>
              <w:rPr>
                <w:rFonts w:ascii="Cambria Math" w:hAnsi="Cambria Math"/>
              </w:rPr>
            </m:ctrlPr>
          </m:sSubSupPr>
          <m:e>
            <m:r>
              <w:rPr>
                <w:rFonts w:ascii="Cambria Math" w:hAnsi="Cambria Math"/>
              </w:rPr>
              <m:t>R</m:t>
            </m:r>
          </m:e>
          <m:sub>
            <m:r>
              <w:rPr>
                <w:rFonts w:ascii="Cambria Math" w:hAnsi="Cambria Math"/>
              </w:rPr>
              <m:t>t</m:t>
            </m:r>
          </m:sub>
          <m:sup/>
        </m:sSubSup>
      </m:oMath>
      <w:r>
        <w:t xml:space="preserve"> with the dimension of </w:t>
      </w:r>
      <m:oMath>
        <m:r>
          <w:rPr>
            <w:rFonts w:ascii="Cambria Math" w:hAnsi="Cambria Math"/>
          </w:rPr>
          <m:t>N×N×T</m:t>
        </m:r>
      </m:oMath>
      <w:r>
        <w:t xml:space="preserve">. Based on the loglikelihood, AIC, and BIC, we choose the diagonal VECH model as the most suitable model for modeling commodity volatility and dependence. By applying the seven portfolio methods: equal weight, mean-variance, minimum variance, minimum correlation, maximum </w:t>
      </w:r>
      <w:r w:rsidR="001C7D2F" w:rsidRPr="001C7D2F">
        <w:t>Sharpe</w:t>
      </w:r>
      <w:r>
        <w:t xml:space="preserve"> ratio, maximum </w:t>
      </w:r>
      <w:r w:rsidR="001C7D2F">
        <w:t>S</w:t>
      </w:r>
      <w:r>
        <w:t>ortino ratio, and CVaR, we can obtain the time-varying weight for the 3 commodities to form portfolios. The average optimal portfolio weights of the three commodity groups are shown in Table 6.</w:t>
      </w:r>
    </w:p>
    <w:p w14:paraId="6FD1CA19" w14:textId="70818DBF" w:rsidR="00480E11" w:rsidRDefault="00000000">
      <w:pPr>
        <w:jc w:val="both"/>
      </w:pPr>
      <w:r>
        <w:t xml:space="preserve">Different portfolios are efficient for different investment objectives. The equal weight portfolio serves as the benchmark for all the portfolio strategies. The mean-variance portfolio optimized the weight by maximizing the return and minimizing the risk. When we do not consider short-selling opportunities, the result of the optimal weight is mainly focusing on allocating weights to metal and energy commodities, and this portfolio strategy has the best performance compared to others under the sample period from 1991 to 2023. With a focus on reducing the risk, the minimum variance portfolio allocates more weight to agricultural products. Also, considering the diversified portfolio, the min correlation portfolio approximately allocated equal weight to the three commodity groups. The performance of this portfolio strategy is similar to the min variance portfolio strategy. In contrast, other portfolio strategies of maximum </w:t>
      </w:r>
      <w:r w:rsidR="006703C5" w:rsidRPr="006703C5">
        <w:t>Sharpe</w:t>
      </w:r>
      <w:r>
        <w:t xml:space="preserve"> ratio and maximum </w:t>
      </w:r>
      <w:r w:rsidR="006703C5">
        <w:t>S</w:t>
      </w:r>
      <w:r>
        <w:t>ortino ratio consider the risk-adjusted factor with sortino ratio focusing on the downside risk. Their results show that</w:t>
      </w:r>
      <w:r w:rsidR="006703C5" w:rsidRPr="006703C5">
        <w:t xml:space="preserve"> </w:t>
      </w:r>
      <w:r>
        <w:t xml:space="preserve">investors should allocate all the weight to energy commodities. However, these two portfolio strategies have higher variance and lower CVaR. In order to manage the risk under extreme scenarios, the mean-CVaR focuses on tail risks. This portfolio allocate the majority of the weight to energy commodities, which suggests that energy commodities might have relatively lower tail risk compared to metal and agricultural commodities. </w:t>
      </w:r>
    </w:p>
    <w:p w14:paraId="5E4312BF" w14:textId="6F799E09" w:rsidR="00480E11" w:rsidRDefault="00000000">
      <w:pPr>
        <w:jc w:val="both"/>
      </w:pPr>
      <w:r>
        <w:t xml:space="preserve">When the investment objective is achieving higher returns while bearing higher risk, we consider the short-selling opportunity. As shown in Table 6, the mean-variance, </w:t>
      </w:r>
      <w:r w:rsidR="002031E1" w:rsidRPr="002031E1">
        <w:t>Sharpe</w:t>
      </w:r>
      <w:r>
        <w:t xml:space="preserve"> ratio, </w:t>
      </w:r>
      <w:r w:rsidR="002031E1">
        <w:t>S</w:t>
      </w:r>
      <w:r>
        <w:t xml:space="preserve">ortino ratio, and mean-CVaR portfolios exit short-selling weights. Also, these strategies are all short-sell agricultural commodities. This suggests that agricultural commodities are underperformed compared to metals and energy commodities. In such cases, short-selling agricultural commodities allows the investor to benefit from the anticipated decline. Additionally, short-sell agricultural commodities can also be attributed to the seasonally predictable volatilities for the agricultural products. Regarding the portfolio performance of the short selling conditions, portfolio strategies of mean-variance and maximum </w:t>
      </w:r>
      <w:r w:rsidR="00243BC9" w:rsidRPr="00243BC9">
        <w:t>Sharpe</w:t>
      </w:r>
      <w:r>
        <w:t xml:space="preserve"> ratio archive higher return and volatility compared to no short selling opportunity conditions. However, the performance of short-selling maximum sortino ratio and mean-CVaR ratio is generally worse than conditions without short-selling. This is because short selling can increase volatility and the chance of significant losses, which makes the portfolios more risky. </w:t>
      </w:r>
    </w:p>
    <w:p w14:paraId="4E33185B" w14:textId="77777777" w:rsidR="00480E11" w:rsidRDefault="00000000" w:rsidP="00A96269">
      <w:pPr>
        <w:jc w:val="center"/>
      </w:pPr>
      <w:r>
        <w:t>Table 6: Average Weights of Portfolios</w:t>
      </w:r>
    </w:p>
    <w:tbl>
      <w:tblPr>
        <w:tblStyle w:val="a4"/>
        <w:tblW w:w="11985" w:type="dxa"/>
        <w:tblInd w:w="-1320" w:type="dxa"/>
        <w:tblBorders>
          <w:top w:val="nil"/>
          <w:left w:val="nil"/>
          <w:bottom w:val="nil"/>
          <w:right w:val="nil"/>
          <w:insideH w:val="nil"/>
          <w:insideV w:val="nil"/>
        </w:tblBorders>
        <w:tblLayout w:type="fixed"/>
        <w:tblLook w:val="0600" w:firstRow="0" w:lastRow="0" w:firstColumn="0" w:lastColumn="0" w:noHBand="1" w:noVBand="1"/>
      </w:tblPr>
      <w:tblGrid>
        <w:gridCol w:w="1462"/>
        <w:gridCol w:w="1418"/>
        <w:gridCol w:w="1620"/>
        <w:gridCol w:w="1410"/>
        <w:gridCol w:w="1800"/>
        <w:gridCol w:w="1365"/>
        <w:gridCol w:w="1530"/>
        <w:gridCol w:w="1380"/>
      </w:tblGrid>
      <w:tr w:rsidR="00480E11" w14:paraId="200E9610" w14:textId="77777777" w:rsidTr="00DB455D">
        <w:trPr>
          <w:trHeight w:val="345"/>
        </w:trPr>
        <w:tc>
          <w:tcPr>
            <w:tcW w:w="1462"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193A3546" w14:textId="77777777" w:rsidR="00480E11" w:rsidRDefault="00480E11">
            <w:pPr>
              <w:widowControl w:val="0"/>
              <w:spacing w:after="0" w:line="276" w:lineRule="auto"/>
              <w:rPr>
                <w:rFonts w:ascii="Arial" w:eastAsia="Arial" w:hAnsi="Arial" w:cs="Arial"/>
                <w:sz w:val="20"/>
                <w:szCs w:val="20"/>
              </w:rPr>
            </w:pPr>
          </w:p>
        </w:tc>
        <w:tc>
          <w:tcPr>
            <w:tcW w:w="1418"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691A8C94" w14:textId="77777777" w:rsidR="00480E11" w:rsidRDefault="00000000">
            <w:pPr>
              <w:widowControl w:val="0"/>
              <w:spacing w:after="0" w:line="276" w:lineRule="auto"/>
              <w:rPr>
                <w:rFonts w:ascii="Arial" w:eastAsia="Arial" w:hAnsi="Arial" w:cs="Arial"/>
                <w:sz w:val="20"/>
                <w:szCs w:val="20"/>
              </w:rPr>
            </w:pPr>
            <w:r>
              <w:rPr>
                <w:b/>
                <w:sz w:val="22"/>
                <w:szCs w:val="22"/>
              </w:rPr>
              <w:t>Equal Weight</w:t>
            </w:r>
          </w:p>
        </w:tc>
        <w:tc>
          <w:tcPr>
            <w:tcW w:w="162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A8FF4EA" w14:textId="77777777" w:rsidR="00480E11" w:rsidRDefault="00000000">
            <w:pPr>
              <w:widowControl w:val="0"/>
              <w:spacing w:after="0" w:line="276" w:lineRule="auto"/>
              <w:rPr>
                <w:rFonts w:ascii="Arial" w:eastAsia="Arial" w:hAnsi="Arial" w:cs="Arial"/>
                <w:sz w:val="20"/>
                <w:szCs w:val="20"/>
              </w:rPr>
            </w:pPr>
            <w:r>
              <w:rPr>
                <w:b/>
                <w:sz w:val="22"/>
                <w:szCs w:val="22"/>
              </w:rPr>
              <w:t>Mean-Variance</w:t>
            </w:r>
          </w:p>
        </w:tc>
        <w:tc>
          <w:tcPr>
            <w:tcW w:w="141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FB3851B" w14:textId="77777777" w:rsidR="00480E11" w:rsidRDefault="00000000">
            <w:pPr>
              <w:widowControl w:val="0"/>
              <w:spacing w:after="0" w:line="276" w:lineRule="auto"/>
              <w:rPr>
                <w:rFonts w:ascii="Arial" w:eastAsia="Arial" w:hAnsi="Arial" w:cs="Arial"/>
                <w:sz w:val="20"/>
                <w:szCs w:val="20"/>
              </w:rPr>
            </w:pPr>
            <w:r>
              <w:rPr>
                <w:b/>
                <w:sz w:val="22"/>
                <w:szCs w:val="22"/>
              </w:rPr>
              <w:t>Min Variance</w:t>
            </w:r>
          </w:p>
        </w:tc>
        <w:tc>
          <w:tcPr>
            <w:tcW w:w="180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65063D50" w14:textId="77777777" w:rsidR="00480E11" w:rsidRDefault="00000000">
            <w:pPr>
              <w:widowControl w:val="0"/>
              <w:spacing w:after="0" w:line="276" w:lineRule="auto"/>
              <w:rPr>
                <w:rFonts w:ascii="Arial" w:eastAsia="Arial" w:hAnsi="Arial" w:cs="Arial"/>
                <w:sz w:val="20"/>
                <w:szCs w:val="20"/>
              </w:rPr>
            </w:pPr>
            <w:r>
              <w:rPr>
                <w:b/>
                <w:sz w:val="22"/>
                <w:szCs w:val="22"/>
              </w:rPr>
              <w:t>Min Correlation</w:t>
            </w:r>
          </w:p>
        </w:tc>
        <w:tc>
          <w:tcPr>
            <w:tcW w:w="1365"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3B6B2478" w14:textId="77777777" w:rsidR="00480E11" w:rsidRDefault="00000000">
            <w:pPr>
              <w:widowControl w:val="0"/>
              <w:spacing w:after="0" w:line="276" w:lineRule="auto"/>
              <w:rPr>
                <w:rFonts w:ascii="Arial" w:eastAsia="Arial" w:hAnsi="Arial" w:cs="Arial"/>
                <w:sz w:val="20"/>
                <w:szCs w:val="20"/>
              </w:rPr>
            </w:pPr>
            <w:r>
              <w:rPr>
                <w:b/>
                <w:sz w:val="22"/>
                <w:szCs w:val="22"/>
              </w:rPr>
              <w:t>Sharpe Ratio</w:t>
            </w:r>
          </w:p>
        </w:tc>
        <w:tc>
          <w:tcPr>
            <w:tcW w:w="153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1862D37B" w14:textId="77777777" w:rsidR="00480E11" w:rsidRDefault="00000000">
            <w:pPr>
              <w:widowControl w:val="0"/>
              <w:spacing w:after="0" w:line="276" w:lineRule="auto"/>
              <w:rPr>
                <w:rFonts w:ascii="Arial" w:eastAsia="Arial" w:hAnsi="Arial" w:cs="Arial"/>
                <w:sz w:val="20"/>
                <w:szCs w:val="20"/>
              </w:rPr>
            </w:pPr>
            <w:r>
              <w:rPr>
                <w:b/>
                <w:sz w:val="22"/>
                <w:szCs w:val="22"/>
              </w:rPr>
              <w:t>Sortino Ratio</w:t>
            </w:r>
          </w:p>
        </w:tc>
        <w:tc>
          <w:tcPr>
            <w:tcW w:w="1380" w:type="dxa"/>
            <w:tcBorders>
              <w:top w:val="single" w:sz="4" w:space="0" w:color="000000"/>
              <w:left w:val="nil"/>
              <w:bottom w:val="single" w:sz="4" w:space="0" w:color="000000"/>
              <w:right w:val="nil"/>
            </w:tcBorders>
            <w:tcMar>
              <w:top w:w="40" w:type="dxa"/>
              <w:left w:w="40" w:type="dxa"/>
              <w:bottom w:w="40" w:type="dxa"/>
              <w:right w:w="40" w:type="dxa"/>
            </w:tcMar>
            <w:vAlign w:val="bottom"/>
          </w:tcPr>
          <w:p w14:paraId="2257DEE4" w14:textId="77777777" w:rsidR="00480E11" w:rsidRDefault="00000000">
            <w:pPr>
              <w:widowControl w:val="0"/>
              <w:spacing w:after="0" w:line="276" w:lineRule="auto"/>
              <w:rPr>
                <w:rFonts w:ascii="Arial" w:eastAsia="Arial" w:hAnsi="Arial" w:cs="Arial"/>
                <w:sz w:val="20"/>
                <w:szCs w:val="20"/>
              </w:rPr>
            </w:pPr>
            <w:r>
              <w:rPr>
                <w:b/>
                <w:sz w:val="22"/>
                <w:szCs w:val="22"/>
              </w:rPr>
              <w:t>Mean-CVaR</w:t>
            </w:r>
          </w:p>
        </w:tc>
      </w:tr>
      <w:tr w:rsidR="00480E11" w14:paraId="0C4A0C35" w14:textId="77777777" w:rsidTr="004144E1">
        <w:trPr>
          <w:trHeight w:val="286"/>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6A9FB75B" w14:textId="77777777" w:rsidR="00480E11" w:rsidRDefault="00000000">
            <w:pPr>
              <w:widowControl w:val="0"/>
              <w:spacing w:after="0" w:line="276" w:lineRule="auto"/>
              <w:jc w:val="center"/>
              <w:rPr>
                <w:rFonts w:ascii="Arial" w:eastAsia="Arial" w:hAnsi="Arial" w:cs="Arial"/>
                <w:sz w:val="20"/>
                <w:szCs w:val="20"/>
              </w:rPr>
            </w:pPr>
            <w:r>
              <w:rPr>
                <w:b/>
                <w:sz w:val="22"/>
                <w:szCs w:val="22"/>
              </w:rPr>
              <w:t>No short Selling</w:t>
            </w:r>
          </w:p>
        </w:tc>
      </w:tr>
      <w:tr w:rsidR="00480E11" w14:paraId="690A63C1"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0FC3012F" w14:textId="77777777" w:rsidR="00480E11" w:rsidRDefault="00000000">
            <w:pPr>
              <w:widowControl w:val="0"/>
              <w:spacing w:after="0" w:line="276" w:lineRule="auto"/>
              <w:rPr>
                <w:rFonts w:ascii="Arial" w:eastAsia="Arial" w:hAnsi="Arial" w:cs="Arial"/>
                <w:sz w:val="20"/>
                <w:szCs w:val="20"/>
              </w:rPr>
            </w:pPr>
            <w:r>
              <w:rPr>
                <w:b/>
                <w:sz w:val="22"/>
                <w:szCs w:val="22"/>
              </w:rPr>
              <w:t>Weights</w:t>
            </w:r>
          </w:p>
        </w:tc>
        <w:tc>
          <w:tcPr>
            <w:tcW w:w="1418" w:type="dxa"/>
            <w:tcBorders>
              <w:top w:val="nil"/>
              <w:left w:val="nil"/>
              <w:bottom w:val="nil"/>
              <w:right w:val="nil"/>
            </w:tcBorders>
            <w:tcMar>
              <w:top w:w="40" w:type="dxa"/>
              <w:left w:w="40" w:type="dxa"/>
              <w:bottom w:w="40" w:type="dxa"/>
              <w:right w:w="40" w:type="dxa"/>
            </w:tcMar>
            <w:vAlign w:val="bottom"/>
          </w:tcPr>
          <w:p w14:paraId="471116D4" w14:textId="77777777" w:rsidR="00480E11" w:rsidRDefault="00480E11">
            <w:pPr>
              <w:widowControl w:val="0"/>
              <w:spacing w:after="0" w:line="276" w:lineRule="auto"/>
              <w:rPr>
                <w:rFonts w:ascii="Arial" w:eastAsia="Arial" w:hAnsi="Arial" w:cs="Arial"/>
                <w:sz w:val="20"/>
                <w:szCs w:val="20"/>
              </w:rPr>
            </w:pPr>
          </w:p>
        </w:tc>
        <w:tc>
          <w:tcPr>
            <w:tcW w:w="1620" w:type="dxa"/>
            <w:tcBorders>
              <w:top w:val="nil"/>
              <w:left w:val="nil"/>
              <w:bottom w:val="nil"/>
              <w:right w:val="nil"/>
            </w:tcBorders>
            <w:tcMar>
              <w:top w:w="40" w:type="dxa"/>
              <w:left w:w="40" w:type="dxa"/>
              <w:bottom w:w="40" w:type="dxa"/>
              <w:right w:w="40" w:type="dxa"/>
            </w:tcMar>
            <w:vAlign w:val="bottom"/>
          </w:tcPr>
          <w:p w14:paraId="75A5AA0A" w14:textId="77777777" w:rsidR="00480E11" w:rsidRDefault="00480E11">
            <w:pPr>
              <w:widowControl w:val="0"/>
              <w:spacing w:after="0"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6F793877" w14:textId="77777777" w:rsidR="00480E11" w:rsidRDefault="00480E11">
            <w:pPr>
              <w:widowControl w:val="0"/>
              <w:spacing w:after="0"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187830BB" w14:textId="77777777" w:rsidR="00480E11" w:rsidRDefault="00480E11">
            <w:pPr>
              <w:widowControl w:val="0"/>
              <w:spacing w:after="0"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55F24761"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4AA93F16" w14:textId="77777777" w:rsidR="00480E11" w:rsidRDefault="00480E11">
            <w:pPr>
              <w:widowControl w:val="0"/>
              <w:spacing w:after="0"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59E60994" w14:textId="77777777" w:rsidR="00480E11" w:rsidRDefault="00480E11">
            <w:pPr>
              <w:widowControl w:val="0"/>
              <w:spacing w:after="0" w:line="276" w:lineRule="auto"/>
              <w:rPr>
                <w:rFonts w:ascii="Arial" w:eastAsia="Arial" w:hAnsi="Arial" w:cs="Arial"/>
                <w:sz w:val="20"/>
                <w:szCs w:val="20"/>
              </w:rPr>
            </w:pPr>
          </w:p>
        </w:tc>
      </w:tr>
      <w:tr w:rsidR="00480E11" w14:paraId="116B4D5C"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EA1E005" w14:textId="77777777" w:rsidR="00480E11" w:rsidRDefault="00000000">
            <w:pPr>
              <w:widowControl w:val="0"/>
              <w:spacing w:after="0" w:line="276" w:lineRule="auto"/>
              <w:rPr>
                <w:rFonts w:ascii="Arial" w:eastAsia="Arial" w:hAnsi="Arial" w:cs="Arial"/>
                <w:sz w:val="20"/>
                <w:szCs w:val="20"/>
              </w:rPr>
            </w:pPr>
            <w:r>
              <w:rPr>
                <w:sz w:val="22"/>
                <w:szCs w:val="22"/>
              </w:rPr>
              <w:t>Metal</w:t>
            </w:r>
          </w:p>
        </w:tc>
        <w:tc>
          <w:tcPr>
            <w:tcW w:w="1418" w:type="dxa"/>
            <w:tcBorders>
              <w:top w:val="nil"/>
              <w:left w:val="nil"/>
              <w:bottom w:val="nil"/>
              <w:right w:val="nil"/>
            </w:tcBorders>
            <w:tcMar>
              <w:top w:w="40" w:type="dxa"/>
              <w:left w:w="40" w:type="dxa"/>
              <w:bottom w:w="40" w:type="dxa"/>
              <w:right w:w="40" w:type="dxa"/>
            </w:tcMar>
            <w:vAlign w:val="bottom"/>
          </w:tcPr>
          <w:p w14:paraId="331BF1CA"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620" w:type="dxa"/>
            <w:tcBorders>
              <w:top w:val="nil"/>
              <w:left w:val="nil"/>
              <w:bottom w:val="nil"/>
              <w:right w:val="nil"/>
            </w:tcBorders>
            <w:tcMar>
              <w:top w:w="40" w:type="dxa"/>
              <w:left w:w="40" w:type="dxa"/>
              <w:bottom w:w="40" w:type="dxa"/>
              <w:right w:w="40" w:type="dxa"/>
            </w:tcMar>
            <w:vAlign w:val="bottom"/>
          </w:tcPr>
          <w:p w14:paraId="5217A148" w14:textId="77777777" w:rsidR="00480E11" w:rsidRDefault="00000000">
            <w:pPr>
              <w:widowControl w:val="0"/>
              <w:spacing w:after="0" w:line="276" w:lineRule="auto"/>
              <w:jc w:val="right"/>
              <w:rPr>
                <w:rFonts w:ascii="Arial" w:eastAsia="Arial" w:hAnsi="Arial" w:cs="Arial"/>
                <w:sz w:val="20"/>
                <w:szCs w:val="20"/>
              </w:rPr>
            </w:pPr>
            <w:r>
              <w:rPr>
                <w:sz w:val="22"/>
                <w:szCs w:val="22"/>
              </w:rPr>
              <w:t>58%</w:t>
            </w:r>
          </w:p>
        </w:tc>
        <w:tc>
          <w:tcPr>
            <w:tcW w:w="1410" w:type="dxa"/>
            <w:tcBorders>
              <w:top w:val="nil"/>
              <w:left w:val="nil"/>
              <w:bottom w:val="nil"/>
              <w:right w:val="nil"/>
            </w:tcBorders>
            <w:tcMar>
              <w:top w:w="40" w:type="dxa"/>
              <w:left w:w="40" w:type="dxa"/>
              <w:bottom w:w="40" w:type="dxa"/>
              <w:right w:w="40" w:type="dxa"/>
            </w:tcMar>
            <w:vAlign w:val="bottom"/>
          </w:tcPr>
          <w:p w14:paraId="6F932B42" w14:textId="77777777" w:rsidR="00480E11" w:rsidRDefault="00000000">
            <w:pPr>
              <w:widowControl w:val="0"/>
              <w:spacing w:after="0" w:line="276" w:lineRule="auto"/>
              <w:jc w:val="right"/>
              <w:rPr>
                <w:rFonts w:ascii="Arial" w:eastAsia="Arial" w:hAnsi="Arial" w:cs="Arial"/>
                <w:sz w:val="20"/>
                <w:szCs w:val="20"/>
              </w:rPr>
            </w:pPr>
            <w:r>
              <w:rPr>
                <w:sz w:val="22"/>
                <w:szCs w:val="22"/>
              </w:rPr>
              <w:t>37%</w:t>
            </w:r>
          </w:p>
        </w:tc>
        <w:tc>
          <w:tcPr>
            <w:tcW w:w="1800" w:type="dxa"/>
            <w:tcBorders>
              <w:top w:val="nil"/>
              <w:left w:val="nil"/>
              <w:bottom w:val="nil"/>
              <w:right w:val="nil"/>
            </w:tcBorders>
            <w:tcMar>
              <w:top w:w="40" w:type="dxa"/>
              <w:left w:w="40" w:type="dxa"/>
              <w:bottom w:w="40" w:type="dxa"/>
              <w:right w:w="40" w:type="dxa"/>
            </w:tcMar>
            <w:vAlign w:val="bottom"/>
          </w:tcPr>
          <w:p w14:paraId="7BEF7696" w14:textId="77777777" w:rsidR="00480E11" w:rsidRDefault="00000000">
            <w:pPr>
              <w:widowControl w:val="0"/>
              <w:spacing w:after="0" w:line="276" w:lineRule="auto"/>
              <w:jc w:val="right"/>
              <w:rPr>
                <w:rFonts w:ascii="Arial" w:eastAsia="Arial" w:hAnsi="Arial" w:cs="Arial"/>
                <w:sz w:val="20"/>
                <w:szCs w:val="20"/>
              </w:rPr>
            </w:pPr>
            <w:r>
              <w:rPr>
                <w:sz w:val="22"/>
                <w:szCs w:val="22"/>
              </w:rPr>
              <w:t>32%</w:t>
            </w:r>
          </w:p>
        </w:tc>
        <w:tc>
          <w:tcPr>
            <w:tcW w:w="1365" w:type="dxa"/>
            <w:tcBorders>
              <w:top w:val="nil"/>
              <w:left w:val="nil"/>
              <w:bottom w:val="nil"/>
              <w:right w:val="nil"/>
            </w:tcBorders>
            <w:tcMar>
              <w:top w:w="40" w:type="dxa"/>
              <w:left w:w="40" w:type="dxa"/>
              <w:bottom w:w="40" w:type="dxa"/>
              <w:right w:w="40" w:type="dxa"/>
            </w:tcMar>
            <w:vAlign w:val="bottom"/>
          </w:tcPr>
          <w:p w14:paraId="2CA56330" w14:textId="77777777" w:rsidR="00480E11" w:rsidRDefault="00000000">
            <w:pPr>
              <w:widowControl w:val="0"/>
              <w:spacing w:after="0" w:line="276" w:lineRule="auto"/>
              <w:jc w:val="right"/>
              <w:rPr>
                <w:rFonts w:ascii="Arial" w:eastAsia="Arial" w:hAnsi="Arial" w:cs="Arial"/>
                <w:sz w:val="20"/>
                <w:szCs w:val="20"/>
              </w:rPr>
            </w:pPr>
            <w:r>
              <w:rPr>
                <w:sz w:val="22"/>
                <w:szCs w:val="22"/>
              </w:rPr>
              <w:t>0%</w:t>
            </w:r>
          </w:p>
        </w:tc>
        <w:tc>
          <w:tcPr>
            <w:tcW w:w="1530" w:type="dxa"/>
            <w:tcBorders>
              <w:top w:val="nil"/>
              <w:left w:val="nil"/>
              <w:bottom w:val="nil"/>
              <w:right w:val="nil"/>
            </w:tcBorders>
            <w:tcMar>
              <w:top w:w="40" w:type="dxa"/>
              <w:left w:w="40" w:type="dxa"/>
              <w:bottom w:w="40" w:type="dxa"/>
              <w:right w:w="40" w:type="dxa"/>
            </w:tcMar>
            <w:vAlign w:val="bottom"/>
          </w:tcPr>
          <w:p w14:paraId="5FDAE44E" w14:textId="77777777" w:rsidR="00480E11" w:rsidRDefault="00000000">
            <w:pPr>
              <w:widowControl w:val="0"/>
              <w:spacing w:after="0" w:line="276" w:lineRule="auto"/>
              <w:jc w:val="right"/>
              <w:rPr>
                <w:rFonts w:ascii="Arial" w:eastAsia="Arial" w:hAnsi="Arial" w:cs="Arial"/>
                <w:sz w:val="20"/>
                <w:szCs w:val="20"/>
              </w:rPr>
            </w:pPr>
            <w:r>
              <w:rPr>
                <w:sz w:val="22"/>
                <w:szCs w:val="22"/>
              </w:rPr>
              <w:t>0%</w:t>
            </w:r>
          </w:p>
        </w:tc>
        <w:tc>
          <w:tcPr>
            <w:tcW w:w="1380" w:type="dxa"/>
            <w:tcBorders>
              <w:top w:val="nil"/>
              <w:left w:val="nil"/>
              <w:bottom w:val="nil"/>
              <w:right w:val="nil"/>
            </w:tcBorders>
            <w:tcMar>
              <w:top w:w="40" w:type="dxa"/>
              <w:left w:w="40" w:type="dxa"/>
              <w:bottom w:w="40" w:type="dxa"/>
              <w:right w:w="40" w:type="dxa"/>
            </w:tcMar>
            <w:vAlign w:val="bottom"/>
          </w:tcPr>
          <w:p w14:paraId="6B756331" w14:textId="77777777" w:rsidR="00480E11" w:rsidRDefault="00000000">
            <w:pPr>
              <w:widowControl w:val="0"/>
              <w:spacing w:after="0" w:line="276" w:lineRule="auto"/>
              <w:jc w:val="right"/>
              <w:rPr>
                <w:rFonts w:ascii="Arial" w:eastAsia="Arial" w:hAnsi="Arial" w:cs="Arial"/>
                <w:sz w:val="20"/>
                <w:szCs w:val="20"/>
              </w:rPr>
            </w:pPr>
            <w:r>
              <w:rPr>
                <w:sz w:val="22"/>
                <w:szCs w:val="22"/>
              </w:rPr>
              <w:t>17%</w:t>
            </w:r>
          </w:p>
        </w:tc>
      </w:tr>
      <w:tr w:rsidR="00480E11" w14:paraId="4BFD23B5"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5C836DF4" w14:textId="51F74E8E" w:rsidR="00480E11" w:rsidRDefault="000337BA">
            <w:pPr>
              <w:widowControl w:val="0"/>
              <w:spacing w:after="0" w:line="276" w:lineRule="auto"/>
              <w:rPr>
                <w:rFonts w:ascii="Arial" w:eastAsia="Arial" w:hAnsi="Arial" w:cs="Arial"/>
                <w:sz w:val="20"/>
                <w:szCs w:val="20"/>
              </w:rPr>
            </w:pPr>
            <w:r>
              <w:rPr>
                <w:sz w:val="22"/>
                <w:szCs w:val="22"/>
              </w:rPr>
              <w:t>Energy</w:t>
            </w:r>
          </w:p>
        </w:tc>
        <w:tc>
          <w:tcPr>
            <w:tcW w:w="1418" w:type="dxa"/>
            <w:tcBorders>
              <w:top w:val="nil"/>
              <w:left w:val="nil"/>
              <w:bottom w:val="nil"/>
              <w:right w:val="nil"/>
            </w:tcBorders>
            <w:tcMar>
              <w:top w:w="40" w:type="dxa"/>
              <w:left w:w="40" w:type="dxa"/>
              <w:bottom w:w="40" w:type="dxa"/>
              <w:right w:w="40" w:type="dxa"/>
            </w:tcMar>
            <w:vAlign w:val="bottom"/>
          </w:tcPr>
          <w:p w14:paraId="391E17F0"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620" w:type="dxa"/>
            <w:tcBorders>
              <w:top w:val="nil"/>
              <w:left w:val="nil"/>
              <w:bottom w:val="nil"/>
              <w:right w:val="nil"/>
            </w:tcBorders>
            <w:tcMar>
              <w:top w:w="40" w:type="dxa"/>
              <w:left w:w="40" w:type="dxa"/>
              <w:bottom w:w="40" w:type="dxa"/>
              <w:right w:w="40" w:type="dxa"/>
            </w:tcMar>
            <w:vAlign w:val="bottom"/>
          </w:tcPr>
          <w:p w14:paraId="5289140C" w14:textId="77777777" w:rsidR="00480E11" w:rsidRDefault="00000000">
            <w:pPr>
              <w:widowControl w:val="0"/>
              <w:spacing w:after="0" w:line="276" w:lineRule="auto"/>
              <w:jc w:val="right"/>
              <w:rPr>
                <w:rFonts w:ascii="Arial" w:eastAsia="Arial" w:hAnsi="Arial" w:cs="Arial"/>
                <w:sz w:val="20"/>
                <w:szCs w:val="20"/>
              </w:rPr>
            </w:pPr>
            <w:r>
              <w:rPr>
                <w:sz w:val="22"/>
                <w:szCs w:val="22"/>
              </w:rPr>
              <w:t>40%</w:t>
            </w:r>
          </w:p>
        </w:tc>
        <w:tc>
          <w:tcPr>
            <w:tcW w:w="1410" w:type="dxa"/>
            <w:tcBorders>
              <w:top w:val="nil"/>
              <w:left w:val="nil"/>
              <w:bottom w:val="nil"/>
              <w:right w:val="nil"/>
            </w:tcBorders>
            <w:tcMar>
              <w:top w:w="40" w:type="dxa"/>
              <w:left w:w="40" w:type="dxa"/>
              <w:bottom w:w="40" w:type="dxa"/>
              <w:right w:w="40" w:type="dxa"/>
            </w:tcMar>
            <w:vAlign w:val="bottom"/>
          </w:tcPr>
          <w:p w14:paraId="6FD30399" w14:textId="77777777" w:rsidR="00480E11" w:rsidRDefault="00000000">
            <w:pPr>
              <w:widowControl w:val="0"/>
              <w:spacing w:after="0" w:line="276" w:lineRule="auto"/>
              <w:jc w:val="right"/>
              <w:rPr>
                <w:rFonts w:ascii="Arial" w:eastAsia="Arial" w:hAnsi="Arial" w:cs="Arial"/>
                <w:sz w:val="20"/>
                <w:szCs w:val="20"/>
              </w:rPr>
            </w:pPr>
            <w:r>
              <w:rPr>
                <w:sz w:val="22"/>
                <w:szCs w:val="22"/>
              </w:rPr>
              <w:t>10%</w:t>
            </w:r>
          </w:p>
        </w:tc>
        <w:tc>
          <w:tcPr>
            <w:tcW w:w="1800" w:type="dxa"/>
            <w:tcBorders>
              <w:top w:val="nil"/>
              <w:left w:val="nil"/>
              <w:bottom w:val="nil"/>
              <w:right w:val="nil"/>
            </w:tcBorders>
            <w:tcMar>
              <w:top w:w="40" w:type="dxa"/>
              <w:left w:w="40" w:type="dxa"/>
              <w:bottom w:w="40" w:type="dxa"/>
              <w:right w:w="40" w:type="dxa"/>
            </w:tcMar>
            <w:vAlign w:val="bottom"/>
          </w:tcPr>
          <w:p w14:paraId="0D3DEC5C" w14:textId="77777777" w:rsidR="00480E11" w:rsidRDefault="00000000">
            <w:pPr>
              <w:widowControl w:val="0"/>
              <w:spacing w:after="0" w:line="276" w:lineRule="auto"/>
              <w:jc w:val="right"/>
              <w:rPr>
                <w:rFonts w:ascii="Arial" w:eastAsia="Arial" w:hAnsi="Arial" w:cs="Arial"/>
                <w:sz w:val="20"/>
                <w:szCs w:val="20"/>
              </w:rPr>
            </w:pPr>
            <w:r>
              <w:rPr>
                <w:sz w:val="22"/>
                <w:szCs w:val="22"/>
              </w:rPr>
              <w:t>35%</w:t>
            </w:r>
          </w:p>
        </w:tc>
        <w:tc>
          <w:tcPr>
            <w:tcW w:w="1365" w:type="dxa"/>
            <w:tcBorders>
              <w:top w:val="nil"/>
              <w:left w:val="nil"/>
              <w:bottom w:val="nil"/>
              <w:right w:val="nil"/>
            </w:tcBorders>
            <w:tcMar>
              <w:top w:w="40" w:type="dxa"/>
              <w:left w:w="40" w:type="dxa"/>
              <w:bottom w:w="40" w:type="dxa"/>
              <w:right w:w="40" w:type="dxa"/>
            </w:tcMar>
            <w:vAlign w:val="bottom"/>
          </w:tcPr>
          <w:p w14:paraId="1BA14EEE"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530" w:type="dxa"/>
            <w:tcBorders>
              <w:top w:val="nil"/>
              <w:left w:val="nil"/>
              <w:bottom w:val="nil"/>
              <w:right w:val="nil"/>
            </w:tcBorders>
            <w:tcMar>
              <w:top w:w="40" w:type="dxa"/>
              <w:left w:w="40" w:type="dxa"/>
              <w:bottom w:w="40" w:type="dxa"/>
              <w:right w:w="40" w:type="dxa"/>
            </w:tcMar>
            <w:vAlign w:val="bottom"/>
          </w:tcPr>
          <w:p w14:paraId="165DBB35"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380" w:type="dxa"/>
            <w:tcBorders>
              <w:top w:val="nil"/>
              <w:left w:val="nil"/>
              <w:bottom w:val="nil"/>
              <w:right w:val="nil"/>
            </w:tcBorders>
            <w:tcMar>
              <w:top w:w="40" w:type="dxa"/>
              <w:left w:w="40" w:type="dxa"/>
              <w:bottom w:w="40" w:type="dxa"/>
              <w:right w:w="40" w:type="dxa"/>
            </w:tcMar>
            <w:vAlign w:val="bottom"/>
          </w:tcPr>
          <w:p w14:paraId="24E3A351" w14:textId="77777777" w:rsidR="00480E11" w:rsidRDefault="00000000">
            <w:pPr>
              <w:widowControl w:val="0"/>
              <w:spacing w:after="0" w:line="276" w:lineRule="auto"/>
              <w:jc w:val="right"/>
              <w:rPr>
                <w:rFonts w:ascii="Arial" w:eastAsia="Arial" w:hAnsi="Arial" w:cs="Arial"/>
                <w:sz w:val="20"/>
                <w:szCs w:val="20"/>
              </w:rPr>
            </w:pPr>
            <w:r>
              <w:rPr>
                <w:sz w:val="22"/>
                <w:szCs w:val="22"/>
              </w:rPr>
              <w:t>71%</w:t>
            </w:r>
          </w:p>
        </w:tc>
      </w:tr>
      <w:tr w:rsidR="00480E11" w14:paraId="40F5B4F7"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94FA2F5" w14:textId="77777777" w:rsidR="00480E11" w:rsidRDefault="00000000">
            <w:pPr>
              <w:widowControl w:val="0"/>
              <w:spacing w:after="0" w:line="276" w:lineRule="auto"/>
              <w:rPr>
                <w:rFonts w:ascii="Arial" w:eastAsia="Arial" w:hAnsi="Arial" w:cs="Arial"/>
                <w:sz w:val="20"/>
                <w:szCs w:val="20"/>
              </w:rPr>
            </w:pPr>
            <w:r>
              <w:rPr>
                <w:sz w:val="22"/>
                <w:szCs w:val="22"/>
              </w:rPr>
              <w:t>Agricultural</w:t>
            </w:r>
          </w:p>
        </w:tc>
        <w:tc>
          <w:tcPr>
            <w:tcW w:w="1418" w:type="dxa"/>
            <w:tcBorders>
              <w:top w:val="nil"/>
              <w:left w:val="nil"/>
              <w:bottom w:val="nil"/>
              <w:right w:val="nil"/>
            </w:tcBorders>
            <w:tcMar>
              <w:top w:w="40" w:type="dxa"/>
              <w:left w:w="40" w:type="dxa"/>
              <w:bottom w:w="40" w:type="dxa"/>
              <w:right w:w="40" w:type="dxa"/>
            </w:tcMar>
            <w:vAlign w:val="bottom"/>
          </w:tcPr>
          <w:p w14:paraId="0F2B606E"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620" w:type="dxa"/>
            <w:tcBorders>
              <w:top w:val="nil"/>
              <w:left w:val="nil"/>
              <w:bottom w:val="nil"/>
              <w:right w:val="nil"/>
            </w:tcBorders>
            <w:tcMar>
              <w:top w:w="40" w:type="dxa"/>
              <w:left w:w="40" w:type="dxa"/>
              <w:bottom w:w="40" w:type="dxa"/>
              <w:right w:w="40" w:type="dxa"/>
            </w:tcMar>
            <w:vAlign w:val="bottom"/>
          </w:tcPr>
          <w:p w14:paraId="0E1F241F" w14:textId="77777777" w:rsidR="00480E11" w:rsidRDefault="00000000">
            <w:pPr>
              <w:widowControl w:val="0"/>
              <w:spacing w:after="0" w:line="276" w:lineRule="auto"/>
              <w:jc w:val="right"/>
              <w:rPr>
                <w:rFonts w:ascii="Arial" w:eastAsia="Arial" w:hAnsi="Arial" w:cs="Arial"/>
                <w:sz w:val="20"/>
                <w:szCs w:val="20"/>
              </w:rPr>
            </w:pPr>
            <w:r>
              <w:rPr>
                <w:sz w:val="22"/>
                <w:szCs w:val="22"/>
              </w:rPr>
              <w:t>2%</w:t>
            </w:r>
          </w:p>
        </w:tc>
        <w:tc>
          <w:tcPr>
            <w:tcW w:w="1410" w:type="dxa"/>
            <w:tcBorders>
              <w:top w:val="nil"/>
              <w:left w:val="nil"/>
              <w:bottom w:val="nil"/>
              <w:right w:val="nil"/>
            </w:tcBorders>
            <w:tcMar>
              <w:top w:w="40" w:type="dxa"/>
              <w:left w:w="40" w:type="dxa"/>
              <w:bottom w:w="40" w:type="dxa"/>
              <w:right w:w="40" w:type="dxa"/>
            </w:tcMar>
            <w:vAlign w:val="bottom"/>
          </w:tcPr>
          <w:p w14:paraId="5BB969AA" w14:textId="77777777" w:rsidR="00480E11" w:rsidRDefault="00000000">
            <w:pPr>
              <w:widowControl w:val="0"/>
              <w:spacing w:after="0" w:line="276" w:lineRule="auto"/>
              <w:jc w:val="right"/>
              <w:rPr>
                <w:rFonts w:ascii="Arial" w:eastAsia="Arial" w:hAnsi="Arial" w:cs="Arial"/>
                <w:sz w:val="20"/>
                <w:szCs w:val="20"/>
              </w:rPr>
            </w:pPr>
            <w:r>
              <w:rPr>
                <w:sz w:val="22"/>
                <w:szCs w:val="22"/>
              </w:rPr>
              <w:t>53%</w:t>
            </w:r>
          </w:p>
        </w:tc>
        <w:tc>
          <w:tcPr>
            <w:tcW w:w="1800" w:type="dxa"/>
            <w:tcBorders>
              <w:top w:val="nil"/>
              <w:left w:val="nil"/>
              <w:bottom w:val="nil"/>
              <w:right w:val="nil"/>
            </w:tcBorders>
            <w:tcMar>
              <w:top w:w="40" w:type="dxa"/>
              <w:left w:w="40" w:type="dxa"/>
              <w:bottom w:w="40" w:type="dxa"/>
              <w:right w:w="40" w:type="dxa"/>
            </w:tcMar>
            <w:vAlign w:val="bottom"/>
          </w:tcPr>
          <w:p w14:paraId="731785A2"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365" w:type="dxa"/>
            <w:tcBorders>
              <w:top w:val="nil"/>
              <w:left w:val="nil"/>
              <w:bottom w:val="nil"/>
              <w:right w:val="nil"/>
            </w:tcBorders>
            <w:tcMar>
              <w:top w:w="40" w:type="dxa"/>
              <w:left w:w="40" w:type="dxa"/>
              <w:bottom w:w="40" w:type="dxa"/>
              <w:right w:w="40" w:type="dxa"/>
            </w:tcMar>
            <w:vAlign w:val="bottom"/>
          </w:tcPr>
          <w:p w14:paraId="686E80C0" w14:textId="77777777" w:rsidR="00480E11" w:rsidRDefault="00000000">
            <w:pPr>
              <w:widowControl w:val="0"/>
              <w:spacing w:after="0" w:line="276" w:lineRule="auto"/>
              <w:jc w:val="right"/>
              <w:rPr>
                <w:rFonts w:ascii="Arial" w:eastAsia="Arial" w:hAnsi="Arial" w:cs="Arial"/>
                <w:sz w:val="20"/>
                <w:szCs w:val="20"/>
              </w:rPr>
            </w:pPr>
            <w:r>
              <w:rPr>
                <w:sz w:val="22"/>
                <w:szCs w:val="22"/>
              </w:rPr>
              <w:t>0%</w:t>
            </w:r>
          </w:p>
        </w:tc>
        <w:tc>
          <w:tcPr>
            <w:tcW w:w="1530" w:type="dxa"/>
            <w:tcBorders>
              <w:top w:val="nil"/>
              <w:left w:val="nil"/>
              <w:bottom w:val="nil"/>
              <w:right w:val="nil"/>
            </w:tcBorders>
            <w:tcMar>
              <w:top w:w="40" w:type="dxa"/>
              <w:left w:w="40" w:type="dxa"/>
              <w:bottom w:w="40" w:type="dxa"/>
              <w:right w:w="40" w:type="dxa"/>
            </w:tcMar>
            <w:vAlign w:val="bottom"/>
          </w:tcPr>
          <w:p w14:paraId="724E2AFA" w14:textId="77777777" w:rsidR="00480E11" w:rsidRDefault="00000000">
            <w:pPr>
              <w:widowControl w:val="0"/>
              <w:spacing w:after="0" w:line="276" w:lineRule="auto"/>
              <w:jc w:val="right"/>
              <w:rPr>
                <w:rFonts w:ascii="Arial" w:eastAsia="Arial" w:hAnsi="Arial" w:cs="Arial"/>
                <w:sz w:val="20"/>
                <w:szCs w:val="20"/>
              </w:rPr>
            </w:pPr>
            <w:r>
              <w:rPr>
                <w:sz w:val="22"/>
                <w:szCs w:val="22"/>
              </w:rPr>
              <w:t>0%</w:t>
            </w:r>
          </w:p>
        </w:tc>
        <w:tc>
          <w:tcPr>
            <w:tcW w:w="1380" w:type="dxa"/>
            <w:tcBorders>
              <w:top w:val="nil"/>
              <w:left w:val="nil"/>
              <w:bottom w:val="nil"/>
              <w:right w:val="nil"/>
            </w:tcBorders>
            <w:tcMar>
              <w:top w:w="40" w:type="dxa"/>
              <w:left w:w="40" w:type="dxa"/>
              <w:bottom w:w="40" w:type="dxa"/>
              <w:right w:w="40" w:type="dxa"/>
            </w:tcMar>
            <w:vAlign w:val="bottom"/>
          </w:tcPr>
          <w:p w14:paraId="3BD3A1DF" w14:textId="77777777" w:rsidR="00480E11" w:rsidRDefault="00000000">
            <w:pPr>
              <w:widowControl w:val="0"/>
              <w:spacing w:after="0" w:line="276" w:lineRule="auto"/>
              <w:jc w:val="right"/>
              <w:rPr>
                <w:rFonts w:ascii="Arial" w:eastAsia="Arial" w:hAnsi="Arial" w:cs="Arial"/>
                <w:sz w:val="20"/>
                <w:szCs w:val="20"/>
              </w:rPr>
            </w:pPr>
            <w:r>
              <w:rPr>
                <w:sz w:val="22"/>
                <w:szCs w:val="22"/>
              </w:rPr>
              <w:t>11%</w:t>
            </w:r>
          </w:p>
        </w:tc>
      </w:tr>
      <w:tr w:rsidR="00480E11" w14:paraId="69B1542F"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2D2C301D" w14:textId="77777777" w:rsidR="00480E11" w:rsidRDefault="00000000">
            <w:pPr>
              <w:widowControl w:val="0"/>
              <w:spacing w:after="0" w:line="276" w:lineRule="auto"/>
              <w:rPr>
                <w:rFonts w:ascii="Arial" w:eastAsia="Arial" w:hAnsi="Arial" w:cs="Arial"/>
                <w:sz w:val="20"/>
                <w:szCs w:val="20"/>
              </w:rPr>
            </w:pPr>
            <w:r>
              <w:rPr>
                <w:b/>
                <w:sz w:val="22"/>
                <w:szCs w:val="22"/>
              </w:rPr>
              <w:t>Performance</w:t>
            </w:r>
          </w:p>
        </w:tc>
        <w:tc>
          <w:tcPr>
            <w:tcW w:w="1418" w:type="dxa"/>
            <w:tcBorders>
              <w:top w:val="nil"/>
              <w:left w:val="nil"/>
              <w:bottom w:val="nil"/>
              <w:right w:val="nil"/>
            </w:tcBorders>
            <w:tcMar>
              <w:top w:w="40" w:type="dxa"/>
              <w:left w:w="40" w:type="dxa"/>
              <w:bottom w:w="40" w:type="dxa"/>
              <w:right w:w="40" w:type="dxa"/>
            </w:tcMar>
            <w:vAlign w:val="bottom"/>
          </w:tcPr>
          <w:p w14:paraId="133E8DD9" w14:textId="77777777" w:rsidR="00480E11" w:rsidRDefault="00480E11">
            <w:pPr>
              <w:widowControl w:val="0"/>
              <w:spacing w:after="0" w:line="276" w:lineRule="auto"/>
              <w:rPr>
                <w:rFonts w:ascii="Arial" w:eastAsia="Arial" w:hAnsi="Arial" w:cs="Arial"/>
                <w:sz w:val="20"/>
                <w:szCs w:val="20"/>
              </w:rPr>
            </w:pPr>
          </w:p>
        </w:tc>
        <w:tc>
          <w:tcPr>
            <w:tcW w:w="1620" w:type="dxa"/>
            <w:tcBorders>
              <w:top w:val="nil"/>
              <w:left w:val="nil"/>
              <w:bottom w:val="nil"/>
              <w:right w:val="nil"/>
            </w:tcBorders>
            <w:tcMar>
              <w:top w:w="40" w:type="dxa"/>
              <w:left w:w="40" w:type="dxa"/>
              <w:bottom w:w="40" w:type="dxa"/>
              <w:right w:w="40" w:type="dxa"/>
            </w:tcMar>
            <w:vAlign w:val="bottom"/>
          </w:tcPr>
          <w:p w14:paraId="61D471FB" w14:textId="77777777" w:rsidR="00480E11" w:rsidRDefault="00480E11">
            <w:pPr>
              <w:widowControl w:val="0"/>
              <w:spacing w:after="0"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2E259435" w14:textId="77777777" w:rsidR="00480E11" w:rsidRDefault="00480E11">
            <w:pPr>
              <w:widowControl w:val="0"/>
              <w:spacing w:after="0"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72B38FEA" w14:textId="77777777" w:rsidR="00480E11" w:rsidRDefault="00480E11">
            <w:pPr>
              <w:widowControl w:val="0"/>
              <w:spacing w:after="0"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6DA4FBF7"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6D632B96" w14:textId="77777777" w:rsidR="00480E11" w:rsidRDefault="00480E11">
            <w:pPr>
              <w:widowControl w:val="0"/>
              <w:spacing w:after="0"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108C1940" w14:textId="77777777" w:rsidR="00480E11" w:rsidRDefault="00480E11">
            <w:pPr>
              <w:widowControl w:val="0"/>
              <w:spacing w:after="0" w:line="276" w:lineRule="auto"/>
              <w:rPr>
                <w:rFonts w:ascii="Arial" w:eastAsia="Arial" w:hAnsi="Arial" w:cs="Arial"/>
                <w:sz w:val="20"/>
                <w:szCs w:val="20"/>
              </w:rPr>
            </w:pPr>
          </w:p>
        </w:tc>
      </w:tr>
      <w:tr w:rsidR="00480E11" w14:paraId="6BA20718"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52F78828" w14:textId="797C0773" w:rsidR="00480E11" w:rsidRDefault="00000000">
            <w:pPr>
              <w:widowControl w:val="0"/>
              <w:spacing w:after="0" w:line="276" w:lineRule="auto"/>
              <w:rPr>
                <w:rFonts w:ascii="Arial" w:eastAsia="Arial" w:hAnsi="Arial" w:cs="Arial"/>
                <w:sz w:val="20"/>
                <w:szCs w:val="20"/>
              </w:rPr>
            </w:pPr>
            <w:r>
              <w:rPr>
                <w:sz w:val="22"/>
                <w:szCs w:val="22"/>
              </w:rPr>
              <w:t>Return</w:t>
            </w:r>
          </w:p>
        </w:tc>
        <w:tc>
          <w:tcPr>
            <w:tcW w:w="1418" w:type="dxa"/>
            <w:tcBorders>
              <w:top w:val="nil"/>
              <w:left w:val="nil"/>
              <w:bottom w:val="nil"/>
              <w:right w:val="nil"/>
            </w:tcBorders>
            <w:tcMar>
              <w:top w:w="40" w:type="dxa"/>
              <w:left w:w="40" w:type="dxa"/>
              <w:bottom w:w="40" w:type="dxa"/>
              <w:right w:w="40" w:type="dxa"/>
            </w:tcMar>
            <w:vAlign w:val="bottom"/>
          </w:tcPr>
          <w:p w14:paraId="7D2F54BF"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620" w:type="dxa"/>
            <w:tcBorders>
              <w:top w:val="nil"/>
              <w:left w:val="nil"/>
              <w:bottom w:val="nil"/>
              <w:right w:val="nil"/>
            </w:tcBorders>
            <w:tcMar>
              <w:top w:w="40" w:type="dxa"/>
              <w:left w:w="40" w:type="dxa"/>
              <w:bottom w:w="40" w:type="dxa"/>
              <w:right w:w="40" w:type="dxa"/>
            </w:tcMar>
            <w:vAlign w:val="bottom"/>
          </w:tcPr>
          <w:p w14:paraId="1BD32B02"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410" w:type="dxa"/>
            <w:tcBorders>
              <w:top w:val="nil"/>
              <w:left w:val="nil"/>
              <w:bottom w:val="nil"/>
              <w:right w:val="nil"/>
            </w:tcBorders>
            <w:tcMar>
              <w:top w:w="40" w:type="dxa"/>
              <w:left w:w="40" w:type="dxa"/>
              <w:bottom w:w="40" w:type="dxa"/>
              <w:right w:w="40" w:type="dxa"/>
            </w:tcMar>
            <w:vAlign w:val="bottom"/>
          </w:tcPr>
          <w:p w14:paraId="0F25BCE1"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800" w:type="dxa"/>
            <w:tcBorders>
              <w:top w:val="nil"/>
              <w:left w:val="nil"/>
              <w:bottom w:val="nil"/>
              <w:right w:val="nil"/>
            </w:tcBorders>
            <w:tcMar>
              <w:top w:w="40" w:type="dxa"/>
              <w:left w:w="40" w:type="dxa"/>
              <w:bottom w:w="40" w:type="dxa"/>
              <w:right w:w="40" w:type="dxa"/>
            </w:tcMar>
            <w:vAlign w:val="bottom"/>
          </w:tcPr>
          <w:p w14:paraId="35CBAC5A"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365" w:type="dxa"/>
            <w:tcBorders>
              <w:top w:val="nil"/>
              <w:left w:val="nil"/>
              <w:bottom w:val="nil"/>
              <w:right w:val="nil"/>
            </w:tcBorders>
            <w:tcMar>
              <w:top w:w="40" w:type="dxa"/>
              <w:left w:w="40" w:type="dxa"/>
              <w:bottom w:w="40" w:type="dxa"/>
              <w:right w:w="40" w:type="dxa"/>
            </w:tcMar>
            <w:vAlign w:val="bottom"/>
          </w:tcPr>
          <w:p w14:paraId="619FBD67"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530" w:type="dxa"/>
            <w:tcBorders>
              <w:top w:val="nil"/>
              <w:left w:val="nil"/>
              <w:bottom w:val="nil"/>
              <w:right w:val="nil"/>
            </w:tcBorders>
            <w:tcMar>
              <w:top w:w="40" w:type="dxa"/>
              <w:left w:w="40" w:type="dxa"/>
              <w:bottom w:w="40" w:type="dxa"/>
              <w:right w:w="40" w:type="dxa"/>
            </w:tcMar>
            <w:vAlign w:val="bottom"/>
          </w:tcPr>
          <w:p w14:paraId="483207E9" w14:textId="77777777" w:rsidR="00480E11" w:rsidRDefault="00000000">
            <w:pPr>
              <w:widowControl w:val="0"/>
              <w:spacing w:after="0" w:line="276" w:lineRule="auto"/>
              <w:jc w:val="right"/>
              <w:rPr>
                <w:rFonts w:ascii="Arial" w:eastAsia="Arial" w:hAnsi="Arial" w:cs="Arial"/>
                <w:sz w:val="20"/>
                <w:szCs w:val="20"/>
              </w:rPr>
            </w:pPr>
            <w:r>
              <w:rPr>
                <w:sz w:val="22"/>
                <w:szCs w:val="22"/>
              </w:rPr>
              <w:t>-0.32%</w:t>
            </w:r>
          </w:p>
        </w:tc>
        <w:tc>
          <w:tcPr>
            <w:tcW w:w="1380" w:type="dxa"/>
            <w:tcBorders>
              <w:top w:val="nil"/>
              <w:left w:val="nil"/>
              <w:bottom w:val="nil"/>
              <w:right w:val="nil"/>
            </w:tcBorders>
            <w:tcMar>
              <w:top w:w="40" w:type="dxa"/>
              <w:left w:w="40" w:type="dxa"/>
              <w:bottom w:w="40" w:type="dxa"/>
              <w:right w:w="40" w:type="dxa"/>
            </w:tcMar>
            <w:vAlign w:val="bottom"/>
          </w:tcPr>
          <w:p w14:paraId="42665A46"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r>
      <w:tr w:rsidR="00480E11" w14:paraId="639E5680"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1F7117D" w14:textId="77777777" w:rsidR="00480E11" w:rsidRDefault="00000000">
            <w:pPr>
              <w:widowControl w:val="0"/>
              <w:spacing w:after="0" w:line="276" w:lineRule="auto"/>
              <w:rPr>
                <w:rFonts w:ascii="Arial" w:eastAsia="Arial" w:hAnsi="Arial" w:cs="Arial"/>
                <w:sz w:val="20"/>
                <w:szCs w:val="20"/>
              </w:rPr>
            </w:pPr>
            <w:r>
              <w:rPr>
                <w:sz w:val="22"/>
                <w:szCs w:val="22"/>
              </w:rPr>
              <w:t>Variance</w:t>
            </w:r>
          </w:p>
        </w:tc>
        <w:tc>
          <w:tcPr>
            <w:tcW w:w="1418" w:type="dxa"/>
            <w:tcBorders>
              <w:top w:val="nil"/>
              <w:left w:val="nil"/>
              <w:bottom w:val="nil"/>
              <w:right w:val="nil"/>
            </w:tcBorders>
            <w:tcMar>
              <w:top w:w="40" w:type="dxa"/>
              <w:left w:w="40" w:type="dxa"/>
              <w:bottom w:w="40" w:type="dxa"/>
              <w:right w:w="40" w:type="dxa"/>
            </w:tcMar>
            <w:vAlign w:val="bottom"/>
          </w:tcPr>
          <w:p w14:paraId="3E66C64C"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620" w:type="dxa"/>
            <w:tcBorders>
              <w:top w:val="nil"/>
              <w:left w:val="nil"/>
              <w:bottom w:val="nil"/>
              <w:right w:val="nil"/>
            </w:tcBorders>
            <w:tcMar>
              <w:top w:w="40" w:type="dxa"/>
              <w:left w:w="40" w:type="dxa"/>
              <w:bottom w:w="40" w:type="dxa"/>
              <w:right w:w="40" w:type="dxa"/>
            </w:tcMar>
            <w:vAlign w:val="bottom"/>
          </w:tcPr>
          <w:p w14:paraId="07D21BF1"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410" w:type="dxa"/>
            <w:tcBorders>
              <w:top w:val="nil"/>
              <w:left w:val="nil"/>
              <w:bottom w:val="nil"/>
              <w:right w:val="nil"/>
            </w:tcBorders>
            <w:tcMar>
              <w:top w:w="40" w:type="dxa"/>
              <w:left w:w="40" w:type="dxa"/>
              <w:bottom w:w="40" w:type="dxa"/>
              <w:right w:w="40" w:type="dxa"/>
            </w:tcMar>
            <w:vAlign w:val="bottom"/>
          </w:tcPr>
          <w:p w14:paraId="2286A739"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800" w:type="dxa"/>
            <w:tcBorders>
              <w:top w:val="nil"/>
              <w:left w:val="nil"/>
              <w:bottom w:val="nil"/>
              <w:right w:val="nil"/>
            </w:tcBorders>
            <w:tcMar>
              <w:top w:w="40" w:type="dxa"/>
              <w:left w:w="40" w:type="dxa"/>
              <w:bottom w:w="40" w:type="dxa"/>
              <w:right w:w="40" w:type="dxa"/>
            </w:tcMar>
            <w:vAlign w:val="bottom"/>
          </w:tcPr>
          <w:p w14:paraId="22C9F1CD"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365" w:type="dxa"/>
            <w:tcBorders>
              <w:top w:val="nil"/>
              <w:left w:val="nil"/>
              <w:bottom w:val="nil"/>
              <w:right w:val="nil"/>
            </w:tcBorders>
            <w:tcMar>
              <w:top w:w="40" w:type="dxa"/>
              <w:left w:w="40" w:type="dxa"/>
              <w:bottom w:w="40" w:type="dxa"/>
              <w:right w:w="40" w:type="dxa"/>
            </w:tcMar>
            <w:vAlign w:val="bottom"/>
          </w:tcPr>
          <w:p w14:paraId="384E12E0"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1530" w:type="dxa"/>
            <w:tcBorders>
              <w:top w:val="nil"/>
              <w:left w:val="nil"/>
              <w:bottom w:val="nil"/>
              <w:right w:val="nil"/>
            </w:tcBorders>
            <w:tcMar>
              <w:top w:w="40" w:type="dxa"/>
              <w:left w:w="40" w:type="dxa"/>
              <w:bottom w:w="40" w:type="dxa"/>
              <w:right w:w="40" w:type="dxa"/>
            </w:tcMar>
            <w:vAlign w:val="bottom"/>
          </w:tcPr>
          <w:p w14:paraId="2636E734"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1380" w:type="dxa"/>
            <w:tcBorders>
              <w:top w:val="nil"/>
              <w:left w:val="nil"/>
              <w:bottom w:val="nil"/>
              <w:right w:val="nil"/>
            </w:tcBorders>
            <w:tcMar>
              <w:top w:w="40" w:type="dxa"/>
              <w:left w:w="40" w:type="dxa"/>
              <w:bottom w:w="40" w:type="dxa"/>
              <w:right w:w="40" w:type="dxa"/>
            </w:tcMar>
            <w:vAlign w:val="bottom"/>
          </w:tcPr>
          <w:p w14:paraId="235088D7"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r>
      <w:tr w:rsidR="00480E11" w14:paraId="3198C8FF"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C6967C2" w14:textId="77777777" w:rsidR="00480E11" w:rsidRDefault="00000000">
            <w:pPr>
              <w:widowControl w:val="0"/>
              <w:spacing w:after="0" w:line="276" w:lineRule="auto"/>
              <w:rPr>
                <w:rFonts w:ascii="Arial" w:eastAsia="Arial" w:hAnsi="Arial" w:cs="Arial"/>
                <w:sz w:val="20"/>
                <w:szCs w:val="20"/>
              </w:rPr>
            </w:pPr>
            <w:r>
              <w:rPr>
                <w:sz w:val="22"/>
                <w:szCs w:val="22"/>
              </w:rPr>
              <w:t>Sharpe Ratio</w:t>
            </w:r>
          </w:p>
        </w:tc>
        <w:tc>
          <w:tcPr>
            <w:tcW w:w="1418" w:type="dxa"/>
            <w:tcBorders>
              <w:top w:val="nil"/>
              <w:left w:val="nil"/>
              <w:bottom w:val="nil"/>
              <w:right w:val="nil"/>
            </w:tcBorders>
            <w:tcMar>
              <w:top w:w="40" w:type="dxa"/>
              <w:left w:w="40" w:type="dxa"/>
              <w:bottom w:w="40" w:type="dxa"/>
              <w:right w:w="40" w:type="dxa"/>
            </w:tcMar>
            <w:vAlign w:val="bottom"/>
          </w:tcPr>
          <w:p w14:paraId="02BE4F9A"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620" w:type="dxa"/>
            <w:tcBorders>
              <w:top w:val="nil"/>
              <w:left w:val="nil"/>
              <w:bottom w:val="nil"/>
              <w:right w:val="nil"/>
            </w:tcBorders>
            <w:tcMar>
              <w:top w:w="40" w:type="dxa"/>
              <w:left w:w="40" w:type="dxa"/>
              <w:bottom w:w="40" w:type="dxa"/>
              <w:right w:w="40" w:type="dxa"/>
            </w:tcMar>
            <w:vAlign w:val="bottom"/>
          </w:tcPr>
          <w:p w14:paraId="5A007D6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1410" w:type="dxa"/>
            <w:tcBorders>
              <w:top w:val="nil"/>
              <w:left w:val="nil"/>
              <w:bottom w:val="nil"/>
              <w:right w:val="nil"/>
            </w:tcBorders>
            <w:tcMar>
              <w:top w:w="40" w:type="dxa"/>
              <w:left w:w="40" w:type="dxa"/>
              <w:bottom w:w="40" w:type="dxa"/>
              <w:right w:w="40" w:type="dxa"/>
            </w:tcMar>
            <w:vAlign w:val="bottom"/>
          </w:tcPr>
          <w:p w14:paraId="5FD84DBC"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800" w:type="dxa"/>
            <w:tcBorders>
              <w:top w:val="nil"/>
              <w:left w:val="nil"/>
              <w:bottom w:val="nil"/>
              <w:right w:val="nil"/>
            </w:tcBorders>
            <w:tcMar>
              <w:top w:w="40" w:type="dxa"/>
              <w:left w:w="40" w:type="dxa"/>
              <w:bottom w:w="40" w:type="dxa"/>
              <w:right w:w="40" w:type="dxa"/>
            </w:tcMar>
            <w:vAlign w:val="bottom"/>
          </w:tcPr>
          <w:p w14:paraId="082B0A4E"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365" w:type="dxa"/>
            <w:tcBorders>
              <w:top w:val="nil"/>
              <w:left w:val="nil"/>
              <w:bottom w:val="nil"/>
              <w:right w:val="nil"/>
            </w:tcBorders>
            <w:tcMar>
              <w:top w:w="40" w:type="dxa"/>
              <w:left w:w="40" w:type="dxa"/>
              <w:bottom w:w="40" w:type="dxa"/>
              <w:right w:w="40" w:type="dxa"/>
            </w:tcMar>
            <w:vAlign w:val="bottom"/>
          </w:tcPr>
          <w:p w14:paraId="7637001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1530" w:type="dxa"/>
            <w:tcBorders>
              <w:top w:val="nil"/>
              <w:left w:val="nil"/>
              <w:bottom w:val="nil"/>
              <w:right w:val="nil"/>
            </w:tcBorders>
            <w:tcMar>
              <w:top w:w="40" w:type="dxa"/>
              <w:left w:w="40" w:type="dxa"/>
              <w:bottom w:w="40" w:type="dxa"/>
              <w:right w:w="40" w:type="dxa"/>
            </w:tcMar>
            <w:vAlign w:val="bottom"/>
          </w:tcPr>
          <w:p w14:paraId="370C5810" w14:textId="77777777" w:rsidR="00480E11" w:rsidRDefault="00000000">
            <w:pPr>
              <w:widowControl w:val="0"/>
              <w:spacing w:after="0" w:line="276" w:lineRule="auto"/>
              <w:jc w:val="right"/>
              <w:rPr>
                <w:rFonts w:ascii="Arial" w:eastAsia="Arial" w:hAnsi="Arial" w:cs="Arial"/>
                <w:sz w:val="20"/>
                <w:szCs w:val="20"/>
              </w:rPr>
            </w:pPr>
            <w:r>
              <w:rPr>
                <w:sz w:val="22"/>
                <w:szCs w:val="22"/>
              </w:rPr>
              <w:t>-0.17</w:t>
            </w:r>
          </w:p>
        </w:tc>
        <w:tc>
          <w:tcPr>
            <w:tcW w:w="1380" w:type="dxa"/>
            <w:tcBorders>
              <w:top w:val="nil"/>
              <w:left w:val="nil"/>
              <w:bottom w:val="nil"/>
              <w:right w:val="nil"/>
            </w:tcBorders>
            <w:tcMar>
              <w:top w:w="40" w:type="dxa"/>
              <w:left w:w="40" w:type="dxa"/>
              <w:bottom w:w="40" w:type="dxa"/>
              <w:right w:w="40" w:type="dxa"/>
            </w:tcMar>
            <w:vAlign w:val="bottom"/>
          </w:tcPr>
          <w:p w14:paraId="6F9B3DA5"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r>
      <w:tr w:rsidR="00480E11" w14:paraId="48F085C7"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D63A166" w14:textId="77777777" w:rsidR="00480E11" w:rsidRDefault="00000000">
            <w:pPr>
              <w:widowControl w:val="0"/>
              <w:spacing w:after="0" w:line="276" w:lineRule="auto"/>
              <w:rPr>
                <w:rFonts w:ascii="Arial" w:eastAsia="Arial" w:hAnsi="Arial" w:cs="Arial"/>
                <w:sz w:val="20"/>
                <w:szCs w:val="20"/>
              </w:rPr>
            </w:pPr>
            <w:r>
              <w:rPr>
                <w:sz w:val="22"/>
                <w:szCs w:val="22"/>
              </w:rPr>
              <w:t>CVaR</w:t>
            </w:r>
          </w:p>
        </w:tc>
        <w:tc>
          <w:tcPr>
            <w:tcW w:w="1418" w:type="dxa"/>
            <w:tcBorders>
              <w:top w:val="nil"/>
              <w:left w:val="nil"/>
              <w:bottom w:val="nil"/>
              <w:right w:val="nil"/>
            </w:tcBorders>
            <w:tcMar>
              <w:top w:w="40" w:type="dxa"/>
              <w:left w:w="40" w:type="dxa"/>
              <w:bottom w:w="40" w:type="dxa"/>
              <w:right w:w="40" w:type="dxa"/>
            </w:tcMar>
            <w:vAlign w:val="bottom"/>
          </w:tcPr>
          <w:p w14:paraId="023399D4"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620" w:type="dxa"/>
            <w:tcBorders>
              <w:top w:val="nil"/>
              <w:left w:val="nil"/>
              <w:bottom w:val="nil"/>
              <w:right w:val="nil"/>
            </w:tcBorders>
            <w:tcMar>
              <w:top w:w="40" w:type="dxa"/>
              <w:left w:w="40" w:type="dxa"/>
              <w:bottom w:w="40" w:type="dxa"/>
              <w:right w:w="40" w:type="dxa"/>
            </w:tcMar>
            <w:vAlign w:val="bottom"/>
          </w:tcPr>
          <w:p w14:paraId="10A11058"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410" w:type="dxa"/>
            <w:tcBorders>
              <w:top w:val="nil"/>
              <w:left w:val="nil"/>
              <w:bottom w:val="nil"/>
              <w:right w:val="nil"/>
            </w:tcBorders>
            <w:tcMar>
              <w:top w:w="40" w:type="dxa"/>
              <w:left w:w="40" w:type="dxa"/>
              <w:bottom w:w="40" w:type="dxa"/>
              <w:right w:w="40" w:type="dxa"/>
            </w:tcMar>
            <w:vAlign w:val="bottom"/>
          </w:tcPr>
          <w:p w14:paraId="0DFCA789"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800" w:type="dxa"/>
            <w:tcBorders>
              <w:top w:val="nil"/>
              <w:left w:val="nil"/>
              <w:bottom w:val="nil"/>
              <w:right w:val="nil"/>
            </w:tcBorders>
            <w:tcMar>
              <w:top w:w="40" w:type="dxa"/>
              <w:left w:w="40" w:type="dxa"/>
              <w:bottom w:w="40" w:type="dxa"/>
              <w:right w:w="40" w:type="dxa"/>
            </w:tcMar>
            <w:vAlign w:val="bottom"/>
          </w:tcPr>
          <w:p w14:paraId="30B3F9A7"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365" w:type="dxa"/>
            <w:tcBorders>
              <w:top w:val="nil"/>
              <w:left w:val="nil"/>
              <w:bottom w:val="nil"/>
              <w:right w:val="nil"/>
            </w:tcBorders>
            <w:tcMar>
              <w:top w:w="40" w:type="dxa"/>
              <w:left w:w="40" w:type="dxa"/>
              <w:bottom w:w="40" w:type="dxa"/>
              <w:right w:w="40" w:type="dxa"/>
            </w:tcMar>
            <w:vAlign w:val="bottom"/>
          </w:tcPr>
          <w:p w14:paraId="037D4F11" w14:textId="77777777" w:rsidR="00480E11" w:rsidRDefault="00000000">
            <w:pPr>
              <w:widowControl w:val="0"/>
              <w:spacing w:after="0" w:line="276" w:lineRule="auto"/>
              <w:jc w:val="right"/>
              <w:rPr>
                <w:rFonts w:ascii="Arial" w:eastAsia="Arial" w:hAnsi="Arial" w:cs="Arial"/>
                <w:sz w:val="20"/>
                <w:szCs w:val="20"/>
              </w:rPr>
            </w:pPr>
            <w:r>
              <w:rPr>
                <w:sz w:val="22"/>
                <w:szCs w:val="22"/>
              </w:rPr>
              <w:t>-0.05</w:t>
            </w:r>
          </w:p>
        </w:tc>
        <w:tc>
          <w:tcPr>
            <w:tcW w:w="1530" w:type="dxa"/>
            <w:tcBorders>
              <w:top w:val="nil"/>
              <w:left w:val="nil"/>
              <w:bottom w:val="nil"/>
              <w:right w:val="nil"/>
            </w:tcBorders>
            <w:tcMar>
              <w:top w:w="40" w:type="dxa"/>
              <w:left w:w="40" w:type="dxa"/>
              <w:bottom w:w="40" w:type="dxa"/>
              <w:right w:w="40" w:type="dxa"/>
            </w:tcMar>
            <w:vAlign w:val="bottom"/>
          </w:tcPr>
          <w:p w14:paraId="794EF904" w14:textId="77777777" w:rsidR="00480E11" w:rsidRDefault="00000000">
            <w:pPr>
              <w:widowControl w:val="0"/>
              <w:spacing w:after="0" w:line="276" w:lineRule="auto"/>
              <w:jc w:val="right"/>
              <w:rPr>
                <w:rFonts w:ascii="Arial" w:eastAsia="Arial" w:hAnsi="Arial" w:cs="Arial"/>
                <w:sz w:val="20"/>
                <w:szCs w:val="20"/>
              </w:rPr>
            </w:pPr>
            <w:r>
              <w:rPr>
                <w:sz w:val="22"/>
                <w:szCs w:val="22"/>
              </w:rPr>
              <w:t>-0.05</w:t>
            </w:r>
          </w:p>
        </w:tc>
        <w:tc>
          <w:tcPr>
            <w:tcW w:w="1380" w:type="dxa"/>
            <w:tcBorders>
              <w:top w:val="nil"/>
              <w:left w:val="nil"/>
              <w:bottom w:val="nil"/>
              <w:right w:val="nil"/>
            </w:tcBorders>
            <w:tcMar>
              <w:top w:w="40" w:type="dxa"/>
              <w:left w:w="40" w:type="dxa"/>
              <w:bottom w:w="40" w:type="dxa"/>
              <w:right w:w="40" w:type="dxa"/>
            </w:tcMar>
            <w:vAlign w:val="bottom"/>
          </w:tcPr>
          <w:p w14:paraId="65B41758" w14:textId="77777777" w:rsidR="00480E11" w:rsidRDefault="00000000">
            <w:pPr>
              <w:widowControl w:val="0"/>
              <w:spacing w:after="0" w:line="276" w:lineRule="auto"/>
              <w:jc w:val="right"/>
              <w:rPr>
                <w:rFonts w:ascii="Arial" w:eastAsia="Arial" w:hAnsi="Arial" w:cs="Arial"/>
                <w:sz w:val="20"/>
                <w:szCs w:val="20"/>
              </w:rPr>
            </w:pPr>
            <w:r>
              <w:rPr>
                <w:sz w:val="22"/>
                <w:szCs w:val="22"/>
              </w:rPr>
              <w:t>-0.05</w:t>
            </w:r>
          </w:p>
        </w:tc>
      </w:tr>
      <w:tr w:rsidR="00480E11" w14:paraId="5F77864B" w14:textId="77777777" w:rsidTr="004144E1">
        <w:trPr>
          <w:trHeight w:val="186"/>
        </w:trPr>
        <w:tc>
          <w:tcPr>
            <w:tcW w:w="11985" w:type="dxa"/>
            <w:gridSpan w:val="8"/>
            <w:tcBorders>
              <w:top w:val="nil"/>
              <w:left w:val="nil"/>
              <w:bottom w:val="nil"/>
              <w:right w:val="nil"/>
            </w:tcBorders>
            <w:shd w:val="clear" w:color="auto" w:fill="auto"/>
            <w:tcMar>
              <w:top w:w="40" w:type="dxa"/>
              <w:left w:w="40" w:type="dxa"/>
              <w:bottom w:w="40" w:type="dxa"/>
              <w:right w:w="40" w:type="dxa"/>
            </w:tcMar>
            <w:vAlign w:val="bottom"/>
          </w:tcPr>
          <w:p w14:paraId="4E48F1F8" w14:textId="77777777" w:rsidR="00480E11" w:rsidRDefault="00000000">
            <w:pPr>
              <w:widowControl w:val="0"/>
              <w:spacing w:after="0" w:line="276" w:lineRule="auto"/>
              <w:jc w:val="center"/>
              <w:rPr>
                <w:rFonts w:ascii="Arial" w:eastAsia="Arial" w:hAnsi="Arial" w:cs="Arial"/>
                <w:sz w:val="20"/>
                <w:szCs w:val="20"/>
              </w:rPr>
            </w:pPr>
            <w:r>
              <w:rPr>
                <w:b/>
                <w:sz w:val="22"/>
                <w:szCs w:val="22"/>
              </w:rPr>
              <w:t>Short Selling</w:t>
            </w:r>
          </w:p>
        </w:tc>
      </w:tr>
      <w:tr w:rsidR="00480E11" w14:paraId="1414BD71"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0767C4DD" w14:textId="77777777" w:rsidR="00480E11" w:rsidRDefault="00000000">
            <w:pPr>
              <w:widowControl w:val="0"/>
              <w:spacing w:after="0" w:line="276" w:lineRule="auto"/>
              <w:rPr>
                <w:rFonts w:ascii="Arial" w:eastAsia="Arial" w:hAnsi="Arial" w:cs="Arial"/>
                <w:sz w:val="20"/>
                <w:szCs w:val="20"/>
              </w:rPr>
            </w:pPr>
            <w:r>
              <w:rPr>
                <w:b/>
                <w:sz w:val="22"/>
                <w:szCs w:val="22"/>
              </w:rPr>
              <w:t>Weights</w:t>
            </w:r>
          </w:p>
        </w:tc>
        <w:tc>
          <w:tcPr>
            <w:tcW w:w="1418" w:type="dxa"/>
            <w:tcBorders>
              <w:top w:val="nil"/>
              <w:left w:val="nil"/>
              <w:bottom w:val="nil"/>
              <w:right w:val="nil"/>
            </w:tcBorders>
            <w:tcMar>
              <w:top w:w="40" w:type="dxa"/>
              <w:left w:w="40" w:type="dxa"/>
              <w:bottom w:w="40" w:type="dxa"/>
              <w:right w:w="40" w:type="dxa"/>
            </w:tcMar>
            <w:vAlign w:val="bottom"/>
          </w:tcPr>
          <w:p w14:paraId="32F80F0E" w14:textId="77777777" w:rsidR="00480E11" w:rsidRDefault="00480E11">
            <w:pPr>
              <w:widowControl w:val="0"/>
              <w:spacing w:after="0" w:line="276" w:lineRule="auto"/>
              <w:rPr>
                <w:rFonts w:ascii="Arial" w:eastAsia="Arial" w:hAnsi="Arial" w:cs="Arial"/>
                <w:sz w:val="20"/>
                <w:szCs w:val="20"/>
              </w:rPr>
            </w:pPr>
          </w:p>
        </w:tc>
        <w:tc>
          <w:tcPr>
            <w:tcW w:w="1620" w:type="dxa"/>
            <w:tcBorders>
              <w:top w:val="nil"/>
              <w:left w:val="nil"/>
              <w:bottom w:val="nil"/>
              <w:right w:val="nil"/>
            </w:tcBorders>
            <w:tcMar>
              <w:top w:w="40" w:type="dxa"/>
              <w:left w:w="40" w:type="dxa"/>
              <w:bottom w:w="40" w:type="dxa"/>
              <w:right w:w="40" w:type="dxa"/>
            </w:tcMar>
            <w:vAlign w:val="bottom"/>
          </w:tcPr>
          <w:p w14:paraId="71664B79" w14:textId="77777777" w:rsidR="00480E11" w:rsidRDefault="00480E11">
            <w:pPr>
              <w:widowControl w:val="0"/>
              <w:spacing w:after="0"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7C6A546B" w14:textId="77777777" w:rsidR="00480E11" w:rsidRDefault="00480E11">
            <w:pPr>
              <w:widowControl w:val="0"/>
              <w:spacing w:after="0"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163589A1" w14:textId="77777777" w:rsidR="00480E11" w:rsidRDefault="00480E11">
            <w:pPr>
              <w:widowControl w:val="0"/>
              <w:spacing w:after="0"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1EEDA99A"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1E9030B2" w14:textId="77777777" w:rsidR="00480E11" w:rsidRDefault="00480E11">
            <w:pPr>
              <w:widowControl w:val="0"/>
              <w:spacing w:after="0"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1CA8D58A" w14:textId="77777777" w:rsidR="00480E11" w:rsidRDefault="00480E11">
            <w:pPr>
              <w:widowControl w:val="0"/>
              <w:spacing w:after="0" w:line="276" w:lineRule="auto"/>
              <w:rPr>
                <w:rFonts w:ascii="Arial" w:eastAsia="Arial" w:hAnsi="Arial" w:cs="Arial"/>
                <w:sz w:val="20"/>
                <w:szCs w:val="20"/>
              </w:rPr>
            </w:pPr>
          </w:p>
        </w:tc>
      </w:tr>
      <w:tr w:rsidR="00480E11" w14:paraId="7BAA2106"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7AB45544" w14:textId="77777777" w:rsidR="00480E11" w:rsidRDefault="00000000">
            <w:pPr>
              <w:widowControl w:val="0"/>
              <w:spacing w:after="0" w:line="276" w:lineRule="auto"/>
              <w:rPr>
                <w:rFonts w:ascii="Arial" w:eastAsia="Arial" w:hAnsi="Arial" w:cs="Arial"/>
                <w:sz w:val="20"/>
                <w:szCs w:val="20"/>
              </w:rPr>
            </w:pPr>
            <w:r>
              <w:rPr>
                <w:sz w:val="22"/>
                <w:szCs w:val="22"/>
              </w:rPr>
              <w:t>Metal</w:t>
            </w:r>
          </w:p>
        </w:tc>
        <w:tc>
          <w:tcPr>
            <w:tcW w:w="1418" w:type="dxa"/>
            <w:tcBorders>
              <w:top w:val="nil"/>
              <w:left w:val="nil"/>
              <w:bottom w:val="nil"/>
              <w:right w:val="nil"/>
            </w:tcBorders>
            <w:tcMar>
              <w:top w:w="40" w:type="dxa"/>
              <w:left w:w="40" w:type="dxa"/>
              <w:bottom w:w="40" w:type="dxa"/>
              <w:right w:w="40" w:type="dxa"/>
            </w:tcMar>
            <w:vAlign w:val="bottom"/>
          </w:tcPr>
          <w:p w14:paraId="7337FAE6"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620" w:type="dxa"/>
            <w:tcBorders>
              <w:top w:val="nil"/>
              <w:left w:val="nil"/>
              <w:bottom w:val="nil"/>
              <w:right w:val="nil"/>
            </w:tcBorders>
            <w:tcMar>
              <w:top w:w="40" w:type="dxa"/>
              <w:left w:w="40" w:type="dxa"/>
              <w:bottom w:w="40" w:type="dxa"/>
              <w:right w:w="40" w:type="dxa"/>
            </w:tcMar>
            <w:vAlign w:val="bottom"/>
          </w:tcPr>
          <w:p w14:paraId="45A14AA8" w14:textId="77777777" w:rsidR="00480E11" w:rsidRDefault="00000000">
            <w:pPr>
              <w:widowControl w:val="0"/>
              <w:spacing w:after="0" w:line="276" w:lineRule="auto"/>
              <w:jc w:val="right"/>
              <w:rPr>
                <w:rFonts w:ascii="Arial" w:eastAsia="Arial" w:hAnsi="Arial" w:cs="Arial"/>
                <w:sz w:val="20"/>
                <w:szCs w:val="20"/>
              </w:rPr>
            </w:pPr>
            <w:r>
              <w:rPr>
                <w:sz w:val="22"/>
                <w:szCs w:val="22"/>
              </w:rPr>
              <w:t>96%</w:t>
            </w:r>
          </w:p>
        </w:tc>
        <w:tc>
          <w:tcPr>
            <w:tcW w:w="1410" w:type="dxa"/>
            <w:tcBorders>
              <w:top w:val="nil"/>
              <w:left w:val="nil"/>
              <w:bottom w:val="nil"/>
              <w:right w:val="nil"/>
            </w:tcBorders>
            <w:tcMar>
              <w:top w:w="40" w:type="dxa"/>
              <w:left w:w="40" w:type="dxa"/>
              <w:bottom w:w="40" w:type="dxa"/>
              <w:right w:w="40" w:type="dxa"/>
            </w:tcMar>
            <w:vAlign w:val="bottom"/>
          </w:tcPr>
          <w:p w14:paraId="57B9E7AC" w14:textId="77777777" w:rsidR="00480E11" w:rsidRDefault="00000000">
            <w:pPr>
              <w:widowControl w:val="0"/>
              <w:spacing w:after="0" w:line="276" w:lineRule="auto"/>
              <w:jc w:val="right"/>
              <w:rPr>
                <w:rFonts w:ascii="Arial" w:eastAsia="Arial" w:hAnsi="Arial" w:cs="Arial"/>
                <w:sz w:val="20"/>
                <w:szCs w:val="20"/>
              </w:rPr>
            </w:pPr>
            <w:r>
              <w:rPr>
                <w:sz w:val="22"/>
                <w:szCs w:val="22"/>
              </w:rPr>
              <w:t>37%</w:t>
            </w:r>
          </w:p>
        </w:tc>
        <w:tc>
          <w:tcPr>
            <w:tcW w:w="1800" w:type="dxa"/>
            <w:tcBorders>
              <w:top w:val="nil"/>
              <w:left w:val="nil"/>
              <w:bottom w:val="nil"/>
              <w:right w:val="nil"/>
            </w:tcBorders>
            <w:tcMar>
              <w:top w:w="40" w:type="dxa"/>
              <w:left w:w="40" w:type="dxa"/>
              <w:bottom w:w="40" w:type="dxa"/>
              <w:right w:w="40" w:type="dxa"/>
            </w:tcMar>
            <w:vAlign w:val="bottom"/>
          </w:tcPr>
          <w:p w14:paraId="11F986C2" w14:textId="77777777" w:rsidR="00480E11" w:rsidRDefault="00000000">
            <w:pPr>
              <w:widowControl w:val="0"/>
              <w:spacing w:after="0" w:line="276" w:lineRule="auto"/>
              <w:jc w:val="right"/>
              <w:rPr>
                <w:rFonts w:ascii="Arial" w:eastAsia="Arial" w:hAnsi="Arial" w:cs="Arial"/>
                <w:sz w:val="20"/>
                <w:szCs w:val="20"/>
              </w:rPr>
            </w:pPr>
            <w:r>
              <w:rPr>
                <w:sz w:val="22"/>
                <w:szCs w:val="22"/>
              </w:rPr>
              <w:t>32%</w:t>
            </w:r>
          </w:p>
        </w:tc>
        <w:tc>
          <w:tcPr>
            <w:tcW w:w="1365" w:type="dxa"/>
            <w:tcBorders>
              <w:top w:val="nil"/>
              <w:left w:val="nil"/>
              <w:bottom w:val="nil"/>
              <w:right w:val="nil"/>
            </w:tcBorders>
            <w:tcMar>
              <w:top w:w="40" w:type="dxa"/>
              <w:left w:w="40" w:type="dxa"/>
              <w:bottom w:w="40" w:type="dxa"/>
              <w:right w:w="40" w:type="dxa"/>
            </w:tcMar>
            <w:vAlign w:val="bottom"/>
          </w:tcPr>
          <w:p w14:paraId="2CB368B7"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530" w:type="dxa"/>
            <w:tcBorders>
              <w:top w:val="nil"/>
              <w:left w:val="nil"/>
              <w:bottom w:val="nil"/>
              <w:right w:val="nil"/>
            </w:tcBorders>
            <w:tcMar>
              <w:top w:w="40" w:type="dxa"/>
              <w:left w:w="40" w:type="dxa"/>
              <w:bottom w:w="40" w:type="dxa"/>
              <w:right w:w="40" w:type="dxa"/>
            </w:tcMar>
            <w:vAlign w:val="bottom"/>
          </w:tcPr>
          <w:p w14:paraId="79C4FCB5"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380" w:type="dxa"/>
            <w:tcBorders>
              <w:top w:val="nil"/>
              <w:left w:val="nil"/>
              <w:bottom w:val="nil"/>
              <w:right w:val="nil"/>
            </w:tcBorders>
            <w:tcMar>
              <w:top w:w="40" w:type="dxa"/>
              <w:left w:w="40" w:type="dxa"/>
              <w:bottom w:w="40" w:type="dxa"/>
              <w:right w:w="40" w:type="dxa"/>
            </w:tcMar>
            <w:vAlign w:val="bottom"/>
          </w:tcPr>
          <w:p w14:paraId="151FAFDB" w14:textId="77777777" w:rsidR="00480E11" w:rsidRDefault="00000000">
            <w:pPr>
              <w:widowControl w:val="0"/>
              <w:spacing w:after="0" w:line="276" w:lineRule="auto"/>
              <w:jc w:val="right"/>
              <w:rPr>
                <w:rFonts w:ascii="Arial" w:eastAsia="Arial" w:hAnsi="Arial" w:cs="Arial"/>
                <w:sz w:val="20"/>
                <w:szCs w:val="20"/>
              </w:rPr>
            </w:pPr>
            <w:r>
              <w:rPr>
                <w:sz w:val="22"/>
                <w:szCs w:val="22"/>
              </w:rPr>
              <w:t>30%</w:t>
            </w:r>
          </w:p>
        </w:tc>
      </w:tr>
      <w:tr w:rsidR="00480E11" w14:paraId="03BB9BF8"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8C1D36C" w14:textId="77777777" w:rsidR="00480E11" w:rsidRDefault="00000000">
            <w:pPr>
              <w:widowControl w:val="0"/>
              <w:spacing w:after="0" w:line="276" w:lineRule="auto"/>
              <w:rPr>
                <w:rFonts w:ascii="Arial" w:eastAsia="Arial" w:hAnsi="Arial" w:cs="Arial"/>
                <w:sz w:val="20"/>
                <w:szCs w:val="20"/>
              </w:rPr>
            </w:pPr>
            <w:r>
              <w:rPr>
                <w:sz w:val="22"/>
                <w:szCs w:val="22"/>
              </w:rPr>
              <w:t>Energy</w:t>
            </w:r>
          </w:p>
        </w:tc>
        <w:tc>
          <w:tcPr>
            <w:tcW w:w="1418" w:type="dxa"/>
            <w:tcBorders>
              <w:top w:val="nil"/>
              <w:left w:val="nil"/>
              <w:bottom w:val="nil"/>
              <w:right w:val="nil"/>
            </w:tcBorders>
            <w:tcMar>
              <w:top w:w="40" w:type="dxa"/>
              <w:left w:w="40" w:type="dxa"/>
              <w:bottom w:w="40" w:type="dxa"/>
              <w:right w:w="40" w:type="dxa"/>
            </w:tcMar>
            <w:vAlign w:val="bottom"/>
          </w:tcPr>
          <w:p w14:paraId="4ED8B3F8"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620" w:type="dxa"/>
            <w:tcBorders>
              <w:top w:val="nil"/>
              <w:left w:val="nil"/>
              <w:bottom w:val="nil"/>
              <w:right w:val="nil"/>
            </w:tcBorders>
            <w:tcMar>
              <w:top w:w="40" w:type="dxa"/>
              <w:left w:w="40" w:type="dxa"/>
              <w:bottom w:w="40" w:type="dxa"/>
              <w:right w:w="40" w:type="dxa"/>
            </w:tcMar>
            <w:vAlign w:val="bottom"/>
          </w:tcPr>
          <w:p w14:paraId="6A7D13D9" w14:textId="77777777" w:rsidR="00480E11" w:rsidRDefault="00000000">
            <w:pPr>
              <w:widowControl w:val="0"/>
              <w:spacing w:after="0" w:line="276" w:lineRule="auto"/>
              <w:jc w:val="right"/>
              <w:rPr>
                <w:rFonts w:ascii="Arial" w:eastAsia="Arial" w:hAnsi="Arial" w:cs="Arial"/>
                <w:sz w:val="20"/>
                <w:szCs w:val="20"/>
              </w:rPr>
            </w:pPr>
            <w:r>
              <w:rPr>
                <w:sz w:val="22"/>
                <w:szCs w:val="22"/>
              </w:rPr>
              <w:t>51%</w:t>
            </w:r>
          </w:p>
        </w:tc>
        <w:tc>
          <w:tcPr>
            <w:tcW w:w="1410" w:type="dxa"/>
            <w:tcBorders>
              <w:top w:val="nil"/>
              <w:left w:val="nil"/>
              <w:bottom w:val="nil"/>
              <w:right w:val="nil"/>
            </w:tcBorders>
            <w:tcMar>
              <w:top w:w="40" w:type="dxa"/>
              <w:left w:w="40" w:type="dxa"/>
              <w:bottom w:w="40" w:type="dxa"/>
              <w:right w:w="40" w:type="dxa"/>
            </w:tcMar>
            <w:vAlign w:val="bottom"/>
          </w:tcPr>
          <w:p w14:paraId="5B6F551B" w14:textId="77777777" w:rsidR="00480E11" w:rsidRDefault="00000000">
            <w:pPr>
              <w:widowControl w:val="0"/>
              <w:spacing w:after="0" w:line="276" w:lineRule="auto"/>
              <w:jc w:val="right"/>
              <w:rPr>
                <w:rFonts w:ascii="Arial" w:eastAsia="Arial" w:hAnsi="Arial" w:cs="Arial"/>
                <w:sz w:val="20"/>
                <w:szCs w:val="20"/>
              </w:rPr>
            </w:pPr>
            <w:r>
              <w:rPr>
                <w:sz w:val="22"/>
                <w:szCs w:val="22"/>
              </w:rPr>
              <w:t>10%</w:t>
            </w:r>
          </w:p>
        </w:tc>
        <w:tc>
          <w:tcPr>
            <w:tcW w:w="1800" w:type="dxa"/>
            <w:tcBorders>
              <w:top w:val="nil"/>
              <w:left w:val="nil"/>
              <w:bottom w:val="nil"/>
              <w:right w:val="nil"/>
            </w:tcBorders>
            <w:tcMar>
              <w:top w:w="40" w:type="dxa"/>
              <w:left w:w="40" w:type="dxa"/>
              <w:bottom w:w="40" w:type="dxa"/>
              <w:right w:w="40" w:type="dxa"/>
            </w:tcMar>
            <w:vAlign w:val="bottom"/>
          </w:tcPr>
          <w:p w14:paraId="5920CE84" w14:textId="77777777" w:rsidR="00480E11" w:rsidRDefault="00000000">
            <w:pPr>
              <w:widowControl w:val="0"/>
              <w:spacing w:after="0" w:line="276" w:lineRule="auto"/>
              <w:jc w:val="right"/>
              <w:rPr>
                <w:rFonts w:ascii="Arial" w:eastAsia="Arial" w:hAnsi="Arial" w:cs="Arial"/>
                <w:sz w:val="20"/>
                <w:szCs w:val="20"/>
              </w:rPr>
            </w:pPr>
            <w:r>
              <w:rPr>
                <w:sz w:val="22"/>
                <w:szCs w:val="22"/>
              </w:rPr>
              <w:t>35%</w:t>
            </w:r>
          </w:p>
        </w:tc>
        <w:tc>
          <w:tcPr>
            <w:tcW w:w="1365" w:type="dxa"/>
            <w:tcBorders>
              <w:top w:val="nil"/>
              <w:left w:val="nil"/>
              <w:bottom w:val="nil"/>
              <w:right w:val="nil"/>
            </w:tcBorders>
            <w:tcMar>
              <w:top w:w="40" w:type="dxa"/>
              <w:left w:w="40" w:type="dxa"/>
              <w:bottom w:w="40" w:type="dxa"/>
              <w:right w:w="40" w:type="dxa"/>
            </w:tcMar>
            <w:vAlign w:val="bottom"/>
          </w:tcPr>
          <w:p w14:paraId="5A9F7265"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530" w:type="dxa"/>
            <w:tcBorders>
              <w:top w:val="nil"/>
              <w:left w:val="nil"/>
              <w:bottom w:val="nil"/>
              <w:right w:val="nil"/>
            </w:tcBorders>
            <w:tcMar>
              <w:top w:w="40" w:type="dxa"/>
              <w:left w:w="40" w:type="dxa"/>
              <w:bottom w:w="40" w:type="dxa"/>
              <w:right w:w="40" w:type="dxa"/>
            </w:tcMar>
            <w:vAlign w:val="bottom"/>
          </w:tcPr>
          <w:p w14:paraId="31F481BB"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380" w:type="dxa"/>
            <w:tcBorders>
              <w:top w:val="nil"/>
              <w:left w:val="nil"/>
              <w:bottom w:val="nil"/>
              <w:right w:val="nil"/>
            </w:tcBorders>
            <w:tcMar>
              <w:top w:w="40" w:type="dxa"/>
              <w:left w:w="40" w:type="dxa"/>
              <w:bottom w:w="40" w:type="dxa"/>
              <w:right w:w="40" w:type="dxa"/>
            </w:tcMar>
            <w:vAlign w:val="bottom"/>
          </w:tcPr>
          <w:p w14:paraId="0C21B223" w14:textId="77777777" w:rsidR="00480E11" w:rsidRDefault="00000000">
            <w:pPr>
              <w:widowControl w:val="0"/>
              <w:spacing w:after="0" w:line="276" w:lineRule="auto"/>
              <w:jc w:val="right"/>
              <w:rPr>
                <w:rFonts w:ascii="Arial" w:eastAsia="Arial" w:hAnsi="Arial" w:cs="Arial"/>
                <w:sz w:val="20"/>
                <w:szCs w:val="20"/>
              </w:rPr>
            </w:pPr>
            <w:r>
              <w:rPr>
                <w:sz w:val="22"/>
                <w:szCs w:val="22"/>
              </w:rPr>
              <w:t>85%</w:t>
            </w:r>
          </w:p>
        </w:tc>
      </w:tr>
      <w:tr w:rsidR="00480E11" w14:paraId="0CC56574"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4F5B35DC" w14:textId="77777777" w:rsidR="00480E11" w:rsidRDefault="00000000">
            <w:pPr>
              <w:widowControl w:val="0"/>
              <w:spacing w:after="0" w:line="276" w:lineRule="auto"/>
              <w:rPr>
                <w:rFonts w:ascii="Arial" w:eastAsia="Arial" w:hAnsi="Arial" w:cs="Arial"/>
                <w:sz w:val="20"/>
                <w:szCs w:val="20"/>
              </w:rPr>
            </w:pPr>
            <w:r>
              <w:rPr>
                <w:sz w:val="22"/>
                <w:szCs w:val="22"/>
              </w:rPr>
              <w:t>Agricultural</w:t>
            </w:r>
          </w:p>
        </w:tc>
        <w:tc>
          <w:tcPr>
            <w:tcW w:w="1418" w:type="dxa"/>
            <w:tcBorders>
              <w:top w:val="nil"/>
              <w:left w:val="nil"/>
              <w:bottom w:val="nil"/>
              <w:right w:val="nil"/>
            </w:tcBorders>
            <w:tcMar>
              <w:top w:w="40" w:type="dxa"/>
              <w:left w:w="40" w:type="dxa"/>
              <w:bottom w:w="40" w:type="dxa"/>
              <w:right w:w="40" w:type="dxa"/>
            </w:tcMar>
            <w:vAlign w:val="bottom"/>
          </w:tcPr>
          <w:p w14:paraId="792E1EAC"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620" w:type="dxa"/>
            <w:tcBorders>
              <w:top w:val="nil"/>
              <w:left w:val="nil"/>
              <w:bottom w:val="nil"/>
              <w:right w:val="nil"/>
            </w:tcBorders>
            <w:tcMar>
              <w:top w:w="40" w:type="dxa"/>
              <w:left w:w="40" w:type="dxa"/>
              <w:bottom w:w="40" w:type="dxa"/>
              <w:right w:w="40" w:type="dxa"/>
            </w:tcMar>
            <w:vAlign w:val="bottom"/>
          </w:tcPr>
          <w:p w14:paraId="795B9FF2" w14:textId="77777777" w:rsidR="00480E11" w:rsidRDefault="00000000">
            <w:pPr>
              <w:widowControl w:val="0"/>
              <w:spacing w:after="0" w:line="276" w:lineRule="auto"/>
              <w:jc w:val="right"/>
              <w:rPr>
                <w:rFonts w:ascii="Arial" w:eastAsia="Arial" w:hAnsi="Arial" w:cs="Arial"/>
                <w:sz w:val="20"/>
                <w:szCs w:val="20"/>
              </w:rPr>
            </w:pPr>
            <w:r>
              <w:rPr>
                <w:sz w:val="22"/>
                <w:szCs w:val="22"/>
              </w:rPr>
              <w:t>-46%</w:t>
            </w:r>
          </w:p>
        </w:tc>
        <w:tc>
          <w:tcPr>
            <w:tcW w:w="1410" w:type="dxa"/>
            <w:tcBorders>
              <w:top w:val="nil"/>
              <w:left w:val="nil"/>
              <w:bottom w:val="nil"/>
              <w:right w:val="nil"/>
            </w:tcBorders>
            <w:tcMar>
              <w:top w:w="40" w:type="dxa"/>
              <w:left w:w="40" w:type="dxa"/>
              <w:bottom w:w="40" w:type="dxa"/>
              <w:right w:w="40" w:type="dxa"/>
            </w:tcMar>
            <w:vAlign w:val="bottom"/>
          </w:tcPr>
          <w:p w14:paraId="4B1403AB" w14:textId="77777777" w:rsidR="00480E11" w:rsidRDefault="00000000">
            <w:pPr>
              <w:widowControl w:val="0"/>
              <w:spacing w:after="0" w:line="276" w:lineRule="auto"/>
              <w:jc w:val="right"/>
              <w:rPr>
                <w:rFonts w:ascii="Arial" w:eastAsia="Arial" w:hAnsi="Arial" w:cs="Arial"/>
                <w:sz w:val="20"/>
                <w:szCs w:val="20"/>
              </w:rPr>
            </w:pPr>
            <w:r>
              <w:rPr>
                <w:sz w:val="22"/>
                <w:szCs w:val="22"/>
              </w:rPr>
              <w:t>53%</w:t>
            </w:r>
          </w:p>
        </w:tc>
        <w:tc>
          <w:tcPr>
            <w:tcW w:w="1800" w:type="dxa"/>
            <w:tcBorders>
              <w:top w:val="nil"/>
              <w:left w:val="nil"/>
              <w:bottom w:val="nil"/>
              <w:right w:val="nil"/>
            </w:tcBorders>
            <w:tcMar>
              <w:top w:w="40" w:type="dxa"/>
              <w:left w:w="40" w:type="dxa"/>
              <w:bottom w:w="40" w:type="dxa"/>
              <w:right w:w="40" w:type="dxa"/>
            </w:tcMar>
            <w:vAlign w:val="bottom"/>
          </w:tcPr>
          <w:p w14:paraId="59DDA198" w14:textId="77777777" w:rsidR="00480E11" w:rsidRDefault="00000000">
            <w:pPr>
              <w:widowControl w:val="0"/>
              <w:spacing w:after="0" w:line="276" w:lineRule="auto"/>
              <w:jc w:val="right"/>
              <w:rPr>
                <w:rFonts w:ascii="Arial" w:eastAsia="Arial" w:hAnsi="Arial" w:cs="Arial"/>
                <w:sz w:val="20"/>
                <w:szCs w:val="20"/>
              </w:rPr>
            </w:pPr>
            <w:r>
              <w:rPr>
                <w:sz w:val="22"/>
                <w:szCs w:val="22"/>
              </w:rPr>
              <w:t>33%</w:t>
            </w:r>
          </w:p>
        </w:tc>
        <w:tc>
          <w:tcPr>
            <w:tcW w:w="1365" w:type="dxa"/>
            <w:tcBorders>
              <w:top w:val="nil"/>
              <w:left w:val="nil"/>
              <w:bottom w:val="nil"/>
              <w:right w:val="nil"/>
            </w:tcBorders>
            <w:tcMar>
              <w:top w:w="40" w:type="dxa"/>
              <w:left w:w="40" w:type="dxa"/>
              <w:bottom w:w="40" w:type="dxa"/>
              <w:right w:w="40" w:type="dxa"/>
            </w:tcMar>
            <w:vAlign w:val="bottom"/>
          </w:tcPr>
          <w:p w14:paraId="268D2255"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530" w:type="dxa"/>
            <w:tcBorders>
              <w:top w:val="nil"/>
              <w:left w:val="nil"/>
              <w:bottom w:val="nil"/>
              <w:right w:val="nil"/>
            </w:tcBorders>
            <w:tcMar>
              <w:top w:w="40" w:type="dxa"/>
              <w:left w:w="40" w:type="dxa"/>
              <w:bottom w:w="40" w:type="dxa"/>
              <w:right w:w="40" w:type="dxa"/>
            </w:tcMar>
            <w:vAlign w:val="bottom"/>
          </w:tcPr>
          <w:p w14:paraId="0F6ACFC1" w14:textId="77777777" w:rsidR="00480E11" w:rsidRDefault="00000000">
            <w:pPr>
              <w:widowControl w:val="0"/>
              <w:spacing w:after="0" w:line="276" w:lineRule="auto"/>
              <w:jc w:val="right"/>
              <w:rPr>
                <w:rFonts w:ascii="Arial" w:eastAsia="Arial" w:hAnsi="Arial" w:cs="Arial"/>
                <w:sz w:val="20"/>
                <w:szCs w:val="20"/>
              </w:rPr>
            </w:pPr>
            <w:r>
              <w:rPr>
                <w:sz w:val="22"/>
                <w:szCs w:val="22"/>
              </w:rPr>
              <w:t>-100%</w:t>
            </w:r>
          </w:p>
        </w:tc>
        <w:tc>
          <w:tcPr>
            <w:tcW w:w="1380" w:type="dxa"/>
            <w:tcBorders>
              <w:top w:val="nil"/>
              <w:left w:val="nil"/>
              <w:bottom w:val="nil"/>
              <w:right w:val="nil"/>
            </w:tcBorders>
            <w:tcMar>
              <w:top w:w="40" w:type="dxa"/>
              <w:left w:w="40" w:type="dxa"/>
              <w:bottom w:w="40" w:type="dxa"/>
              <w:right w:w="40" w:type="dxa"/>
            </w:tcMar>
            <w:vAlign w:val="bottom"/>
          </w:tcPr>
          <w:p w14:paraId="0FB0CD6C" w14:textId="77777777" w:rsidR="00480E11" w:rsidRDefault="00000000">
            <w:pPr>
              <w:widowControl w:val="0"/>
              <w:spacing w:after="0" w:line="276" w:lineRule="auto"/>
              <w:jc w:val="right"/>
              <w:rPr>
                <w:rFonts w:ascii="Arial" w:eastAsia="Arial" w:hAnsi="Arial" w:cs="Arial"/>
                <w:sz w:val="20"/>
                <w:szCs w:val="20"/>
              </w:rPr>
            </w:pPr>
            <w:r>
              <w:rPr>
                <w:sz w:val="22"/>
                <w:szCs w:val="22"/>
              </w:rPr>
              <w:t>-15%</w:t>
            </w:r>
          </w:p>
        </w:tc>
      </w:tr>
      <w:tr w:rsidR="00480E11" w14:paraId="7C294C2E"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0BD1D5FB" w14:textId="77777777" w:rsidR="00480E11" w:rsidRDefault="00000000">
            <w:pPr>
              <w:widowControl w:val="0"/>
              <w:spacing w:after="0" w:line="276" w:lineRule="auto"/>
              <w:rPr>
                <w:rFonts w:ascii="Arial" w:eastAsia="Arial" w:hAnsi="Arial" w:cs="Arial"/>
                <w:sz w:val="20"/>
                <w:szCs w:val="20"/>
              </w:rPr>
            </w:pPr>
            <w:r>
              <w:rPr>
                <w:b/>
                <w:sz w:val="22"/>
                <w:szCs w:val="22"/>
              </w:rPr>
              <w:t>Performance</w:t>
            </w:r>
          </w:p>
        </w:tc>
        <w:tc>
          <w:tcPr>
            <w:tcW w:w="1418" w:type="dxa"/>
            <w:tcBorders>
              <w:top w:val="nil"/>
              <w:left w:val="nil"/>
              <w:bottom w:val="nil"/>
              <w:right w:val="nil"/>
            </w:tcBorders>
            <w:tcMar>
              <w:top w:w="40" w:type="dxa"/>
              <w:left w:w="40" w:type="dxa"/>
              <w:bottom w:w="40" w:type="dxa"/>
              <w:right w:w="40" w:type="dxa"/>
            </w:tcMar>
            <w:vAlign w:val="bottom"/>
          </w:tcPr>
          <w:p w14:paraId="0C0AB290" w14:textId="77777777" w:rsidR="00480E11" w:rsidRDefault="00480E11">
            <w:pPr>
              <w:widowControl w:val="0"/>
              <w:spacing w:after="0" w:line="276" w:lineRule="auto"/>
              <w:rPr>
                <w:rFonts w:ascii="Arial" w:eastAsia="Arial" w:hAnsi="Arial" w:cs="Arial"/>
                <w:sz w:val="20"/>
                <w:szCs w:val="20"/>
              </w:rPr>
            </w:pPr>
          </w:p>
        </w:tc>
        <w:tc>
          <w:tcPr>
            <w:tcW w:w="1620" w:type="dxa"/>
            <w:tcBorders>
              <w:top w:val="nil"/>
              <w:left w:val="nil"/>
              <w:bottom w:val="nil"/>
              <w:right w:val="nil"/>
            </w:tcBorders>
            <w:tcMar>
              <w:top w:w="40" w:type="dxa"/>
              <w:left w:w="40" w:type="dxa"/>
              <w:bottom w:w="40" w:type="dxa"/>
              <w:right w:w="40" w:type="dxa"/>
            </w:tcMar>
            <w:vAlign w:val="bottom"/>
          </w:tcPr>
          <w:p w14:paraId="1170F085" w14:textId="77777777" w:rsidR="00480E11" w:rsidRDefault="00480E11">
            <w:pPr>
              <w:widowControl w:val="0"/>
              <w:spacing w:after="0" w:line="276" w:lineRule="auto"/>
              <w:rPr>
                <w:rFonts w:ascii="Arial" w:eastAsia="Arial" w:hAnsi="Arial" w:cs="Arial"/>
                <w:sz w:val="20"/>
                <w:szCs w:val="20"/>
              </w:rPr>
            </w:pPr>
          </w:p>
        </w:tc>
        <w:tc>
          <w:tcPr>
            <w:tcW w:w="1410" w:type="dxa"/>
            <w:tcBorders>
              <w:top w:val="nil"/>
              <w:left w:val="nil"/>
              <w:bottom w:val="nil"/>
              <w:right w:val="nil"/>
            </w:tcBorders>
            <w:tcMar>
              <w:top w:w="40" w:type="dxa"/>
              <w:left w:w="40" w:type="dxa"/>
              <w:bottom w:w="40" w:type="dxa"/>
              <w:right w:w="40" w:type="dxa"/>
            </w:tcMar>
            <w:vAlign w:val="bottom"/>
          </w:tcPr>
          <w:p w14:paraId="34C7C641" w14:textId="77777777" w:rsidR="00480E11" w:rsidRDefault="00480E11">
            <w:pPr>
              <w:widowControl w:val="0"/>
              <w:spacing w:after="0" w:line="276" w:lineRule="auto"/>
              <w:rPr>
                <w:rFonts w:ascii="Arial" w:eastAsia="Arial" w:hAnsi="Arial" w:cs="Arial"/>
                <w:sz w:val="20"/>
                <w:szCs w:val="20"/>
              </w:rPr>
            </w:pPr>
          </w:p>
        </w:tc>
        <w:tc>
          <w:tcPr>
            <w:tcW w:w="1800" w:type="dxa"/>
            <w:tcBorders>
              <w:top w:val="nil"/>
              <w:left w:val="nil"/>
              <w:bottom w:val="nil"/>
              <w:right w:val="nil"/>
            </w:tcBorders>
            <w:tcMar>
              <w:top w:w="40" w:type="dxa"/>
              <w:left w:w="40" w:type="dxa"/>
              <w:bottom w:w="40" w:type="dxa"/>
              <w:right w:w="40" w:type="dxa"/>
            </w:tcMar>
            <w:vAlign w:val="bottom"/>
          </w:tcPr>
          <w:p w14:paraId="6F0D7E55" w14:textId="77777777" w:rsidR="00480E11" w:rsidRDefault="00480E11">
            <w:pPr>
              <w:widowControl w:val="0"/>
              <w:spacing w:after="0" w:line="276" w:lineRule="auto"/>
              <w:rPr>
                <w:rFonts w:ascii="Arial" w:eastAsia="Arial" w:hAnsi="Arial" w:cs="Arial"/>
                <w:sz w:val="20"/>
                <w:szCs w:val="20"/>
              </w:rPr>
            </w:pPr>
          </w:p>
        </w:tc>
        <w:tc>
          <w:tcPr>
            <w:tcW w:w="1365" w:type="dxa"/>
            <w:tcBorders>
              <w:top w:val="nil"/>
              <w:left w:val="nil"/>
              <w:bottom w:val="nil"/>
              <w:right w:val="nil"/>
            </w:tcBorders>
            <w:tcMar>
              <w:top w:w="40" w:type="dxa"/>
              <w:left w:w="40" w:type="dxa"/>
              <w:bottom w:w="40" w:type="dxa"/>
              <w:right w:w="40" w:type="dxa"/>
            </w:tcMar>
            <w:vAlign w:val="bottom"/>
          </w:tcPr>
          <w:p w14:paraId="73B47118" w14:textId="77777777" w:rsidR="00480E11" w:rsidRDefault="00480E11">
            <w:pPr>
              <w:widowControl w:val="0"/>
              <w:spacing w:after="0" w:line="276" w:lineRule="auto"/>
              <w:rPr>
                <w:rFonts w:ascii="Arial" w:eastAsia="Arial" w:hAnsi="Arial" w:cs="Arial"/>
                <w:sz w:val="20"/>
                <w:szCs w:val="20"/>
              </w:rPr>
            </w:pPr>
          </w:p>
        </w:tc>
        <w:tc>
          <w:tcPr>
            <w:tcW w:w="1530" w:type="dxa"/>
            <w:tcBorders>
              <w:top w:val="nil"/>
              <w:left w:val="nil"/>
              <w:bottom w:val="nil"/>
              <w:right w:val="nil"/>
            </w:tcBorders>
            <w:tcMar>
              <w:top w:w="40" w:type="dxa"/>
              <w:left w:w="40" w:type="dxa"/>
              <w:bottom w:w="40" w:type="dxa"/>
              <w:right w:w="40" w:type="dxa"/>
            </w:tcMar>
            <w:vAlign w:val="bottom"/>
          </w:tcPr>
          <w:p w14:paraId="6C63AD69" w14:textId="77777777" w:rsidR="00480E11" w:rsidRDefault="00480E11">
            <w:pPr>
              <w:widowControl w:val="0"/>
              <w:spacing w:after="0" w:line="276" w:lineRule="auto"/>
              <w:rPr>
                <w:rFonts w:ascii="Arial" w:eastAsia="Arial" w:hAnsi="Arial" w:cs="Arial"/>
                <w:sz w:val="20"/>
                <w:szCs w:val="20"/>
              </w:rPr>
            </w:pPr>
          </w:p>
        </w:tc>
        <w:tc>
          <w:tcPr>
            <w:tcW w:w="1380" w:type="dxa"/>
            <w:tcBorders>
              <w:top w:val="nil"/>
              <w:left w:val="nil"/>
              <w:bottom w:val="nil"/>
              <w:right w:val="nil"/>
            </w:tcBorders>
            <w:tcMar>
              <w:top w:w="40" w:type="dxa"/>
              <w:left w:w="40" w:type="dxa"/>
              <w:bottom w:w="40" w:type="dxa"/>
              <w:right w:w="40" w:type="dxa"/>
            </w:tcMar>
            <w:vAlign w:val="bottom"/>
          </w:tcPr>
          <w:p w14:paraId="4700938C" w14:textId="77777777" w:rsidR="00480E11" w:rsidRDefault="00480E11">
            <w:pPr>
              <w:widowControl w:val="0"/>
              <w:spacing w:after="0" w:line="276" w:lineRule="auto"/>
              <w:rPr>
                <w:rFonts w:ascii="Arial" w:eastAsia="Arial" w:hAnsi="Arial" w:cs="Arial"/>
                <w:sz w:val="20"/>
                <w:szCs w:val="20"/>
              </w:rPr>
            </w:pPr>
          </w:p>
        </w:tc>
      </w:tr>
      <w:tr w:rsidR="00480E11" w14:paraId="62A6D583"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575C773F" w14:textId="1F827586" w:rsidR="00480E11" w:rsidRDefault="00000000">
            <w:pPr>
              <w:widowControl w:val="0"/>
              <w:spacing w:after="0" w:line="276" w:lineRule="auto"/>
              <w:rPr>
                <w:rFonts w:ascii="Arial" w:eastAsia="Arial" w:hAnsi="Arial" w:cs="Arial"/>
                <w:sz w:val="20"/>
                <w:szCs w:val="20"/>
              </w:rPr>
            </w:pPr>
            <w:r>
              <w:rPr>
                <w:sz w:val="22"/>
                <w:szCs w:val="22"/>
              </w:rPr>
              <w:t>Return</w:t>
            </w:r>
          </w:p>
        </w:tc>
        <w:tc>
          <w:tcPr>
            <w:tcW w:w="1418" w:type="dxa"/>
            <w:tcBorders>
              <w:top w:val="nil"/>
              <w:left w:val="nil"/>
              <w:bottom w:val="nil"/>
              <w:right w:val="nil"/>
            </w:tcBorders>
            <w:tcMar>
              <w:top w:w="40" w:type="dxa"/>
              <w:left w:w="40" w:type="dxa"/>
              <w:bottom w:w="40" w:type="dxa"/>
              <w:right w:w="40" w:type="dxa"/>
            </w:tcMar>
            <w:vAlign w:val="bottom"/>
          </w:tcPr>
          <w:p w14:paraId="11579384"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620" w:type="dxa"/>
            <w:tcBorders>
              <w:top w:val="nil"/>
              <w:left w:val="nil"/>
              <w:bottom w:val="nil"/>
              <w:right w:val="nil"/>
            </w:tcBorders>
            <w:tcMar>
              <w:top w:w="40" w:type="dxa"/>
              <w:left w:w="40" w:type="dxa"/>
              <w:bottom w:w="40" w:type="dxa"/>
              <w:right w:w="40" w:type="dxa"/>
            </w:tcMar>
            <w:vAlign w:val="bottom"/>
          </w:tcPr>
          <w:p w14:paraId="67C2EA72"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1410" w:type="dxa"/>
            <w:tcBorders>
              <w:top w:val="nil"/>
              <w:left w:val="nil"/>
              <w:bottom w:val="nil"/>
              <w:right w:val="nil"/>
            </w:tcBorders>
            <w:tcMar>
              <w:top w:w="40" w:type="dxa"/>
              <w:left w:w="40" w:type="dxa"/>
              <w:bottom w:w="40" w:type="dxa"/>
              <w:right w:w="40" w:type="dxa"/>
            </w:tcMar>
            <w:vAlign w:val="bottom"/>
          </w:tcPr>
          <w:p w14:paraId="3BA8F9CC"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800" w:type="dxa"/>
            <w:tcBorders>
              <w:top w:val="nil"/>
              <w:left w:val="nil"/>
              <w:bottom w:val="nil"/>
              <w:right w:val="nil"/>
            </w:tcBorders>
            <w:tcMar>
              <w:top w:w="40" w:type="dxa"/>
              <w:left w:w="40" w:type="dxa"/>
              <w:bottom w:w="40" w:type="dxa"/>
              <w:right w:w="40" w:type="dxa"/>
            </w:tcMar>
            <w:vAlign w:val="bottom"/>
          </w:tcPr>
          <w:p w14:paraId="5C83CD8A"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365" w:type="dxa"/>
            <w:tcBorders>
              <w:top w:val="nil"/>
              <w:left w:val="nil"/>
              <w:bottom w:val="nil"/>
              <w:right w:val="nil"/>
            </w:tcBorders>
            <w:tcMar>
              <w:top w:w="40" w:type="dxa"/>
              <w:left w:w="40" w:type="dxa"/>
              <w:bottom w:w="40" w:type="dxa"/>
              <w:right w:w="40" w:type="dxa"/>
            </w:tcMar>
            <w:vAlign w:val="bottom"/>
          </w:tcPr>
          <w:p w14:paraId="47711D72"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1530" w:type="dxa"/>
            <w:tcBorders>
              <w:top w:val="nil"/>
              <w:left w:val="nil"/>
              <w:bottom w:val="nil"/>
              <w:right w:val="nil"/>
            </w:tcBorders>
            <w:tcMar>
              <w:top w:w="40" w:type="dxa"/>
              <w:left w:w="40" w:type="dxa"/>
              <w:bottom w:w="40" w:type="dxa"/>
              <w:right w:w="40" w:type="dxa"/>
            </w:tcMar>
            <w:vAlign w:val="bottom"/>
          </w:tcPr>
          <w:p w14:paraId="598370FC" w14:textId="77777777" w:rsidR="00480E11" w:rsidRDefault="00000000">
            <w:pPr>
              <w:widowControl w:val="0"/>
              <w:spacing w:after="0" w:line="276" w:lineRule="auto"/>
              <w:jc w:val="right"/>
              <w:rPr>
                <w:rFonts w:ascii="Arial" w:eastAsia="Arial" w:hAnsi="Arial" w:cs="Arial"/>
                <w:sz w:val="20"/>
                <w:szCs w:val="20"/>
              </w:rPr>
            </w:pPr>
            <w:r>
              <w:rPr>
                <w:sz w:val="22"/>
                <w:szCs w:val="22"/>
              </w:rPr>
              <w:t>-0.33%</w:t>
            </w:r>
          </w:p>
        </w:tc>
        <w:tc>
          <w:tcPr>
            <w:tcW w:w="1380" w:type="dxa"/>
            <w:tcBorders>
              <w:top w:val="nil"/>
              <w:left w:val="nil"/>
              <w:bottom w:val="nil"/>
              <w:right w:val="nil"/>
            </w:tcBorders>
            <w:tcMar>
              <w:top w:w="40" w:type="dxa"/>
              <w:left w:w="40" w:type="dxa"/>
              <w:bottom w:w="40" w:type="dxa"/>
              <w:right w:w="40" w:type="dxa"/>
            </w:tcMar>
            <w:vAlign w:val="bottom"/>
          </w:tcPr>
          <w:p w14:paraId="229253D5" w14:textId="77777777" w:rsidR="00480E11" w:rsidRDefault="00000000">
            <w:pPr>
              <w:widowControl w:val="0"/>
              <w:spacing w:after="0" w:line="276" w:lineRule="auto"/>
              <w:jc w:val="right"/>
              <w:rPr>
                <w:rFonts w:ascii="Arial" w:eastAsia="Arial" w:hAnsi="Arial" w:cs="Arial"/>
                <w:sz w:val="20"/>
                <w:szCs w:val="20"/>
              </w:rPr>
            </w:pPr>
            <w:r>
              <w:rPr>
                <w:sz w:val="22"/>
                <w:szCs w:val="22"/>
              </w:rPr>
              <w:t>-0.10%</w:t>
            </w:r>
          </w:p>
        </w:tc>
      </w:tr>
      <w:tr w:rsidR="00480E11" w14:paraId="4D21E7F8"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3559F934" w14:textId="77777777" w:rsidR="00480E11" w:rsidRDefault="00000000">
            <w:pPr>
              <w:widowControl w:val="0"/>
              <w:spacing w:after="0" w:line="276" w:lineRule="auto"/>
              <w:rPr>
                <w:rFonts w:ascii="Arial" w:eastAsia="Arial" w:hAnsi="Arial" w:cs="Arial"/>
                <w:sz w:val="20"/>
                <w:szCs w:val="20"/>
              </w:rPr>
            </w:pPr>
            <w:r>
              <w:rPr>
                <w:sz w:val="22"/>
                <w:szCs w:val="22"/>
              </w:rPr>
              <w:t>Variance</w:t>
            </w:r>
          </w:p>
        </w:tc>
        <w:tc>
          <w:tcPr>
            <w:tcW w:w="1418" w:type="dxa"/>
            <w:tcBorders>
              <w:top w:val="nil"/>
              <w:left w:val="nil"/>
              <w:bottom w:val="nil"/>
              <w:right w:val="nil"/>
            </w:tcBorders>
            <w:tcMar>
              <w:top w:w="40" w:type="dxa"/>
              <w:left w:w="40" w:type="dxa"/>
              <w:bottom w:w="40" w:type="dxa"/>
              <w:right w:w="40" w:type="dxa"/>
            </w:tcMar>
            <w:vAlign w:val="bottom"/>
          </w:tcPr>
          <w:p w14:paraId="57BA07F8"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620" w:type="dxa"/>
            <w:tcBorders>
              <w:top w:val="nil"/>
              <w:left w:val="nil"/>
              <w:bottom w:val="nil"/>
              <w:right w:val="nil"/>
            </w:tcBorders>
            <w:tcMar>
              <w:top w:w="40" w:type="dxa"/>
              <w:left w:w="40" w:type="dxa"/>
              <w:bottom w:w="40" w:type="dxa"/>
              <w:right w:w="40" w:type="dxa"/>
            </w:tcMar>
            <w:vAlign w:val="bottom"/>
          </w:tcPr>
          <w:p w14:paraId="16D0AB42"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410" w:type="dxa"/>
            <w:tcBorders>
              <w:top w:val="nil"/>
              <w:left w:val="nil"/>
              <w:bottom w:val="nil"/>
              <w:right w:val="nil"/>
            </w:tcBorders>
            <w:tcMar>
              <w:top w:w="40" w:type="dxa"/>
              <w:left w:w="40" w:type="dxa"/>
              <w:bottom w:w="40" w:type="dxa"/>
              <w:right w:w="40" w:type="dxa"/>
            </w:tcMar>
            <w:vAlign w:val="bottom"/>
          </w:tcPr>
          <w:p w14:paraId="5E46C79C"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800" w:type="dxa"/>
            <w:tcBorders>
              <w:top w:val="nil"/>
              <w:left w:val="nil"/>
              <w:bottom w:val="nil"/>
              <w:right w:val="nil"/>
            </w:tcBorders>
            <w:tcMar>
              <w:top w:w="40" w:type="dxa"/>
              <w:left w:w="40" w:type="dxa"/>
              <w:bottom w:w="40" w:type="dxa"/>
              <w:right w:w="40" w:type="dxa"/>
            </w:tcMar>
            <w:vAlign w:val="bottom"/>
          </w:tcPr>
          <w:p w14:paraId="5C649432"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365" w:type="dxa"/>
            <w:tcBorders>
              <w:top w:val="nil"/>
              <w:left w:val="nil"/>
              <w:bottom w:val="nil"/>
              <w:right w:val="nil"/>
            </w:tcBorders>
            <w:tcMar>
              <w:top w:w="40" w:type="dxa"/>
              <w:left w:w="40" w:type="dxa"/>
              <w:bottom w:w="40" w:type="dxa"/>
              <w:right w:w="40" w:type="dxa"/>
            </w:tcMar>
            <w:vAlign w:val="bottom"/>
          </w:tcPr>
          <w:p w14:paraId="19962AEB" w14:textId="77777777" w:rsidR="00480E11" w:rsidRDefault="00000000">
            <w:pPr>
              <w:widowControl w:val="0"/>
              <w:spacing w:after="0" w:line="276" w:lineRule="auto"/>
              <w:jc w:val="right"/>
              <w:rPr>
                <w:rFonts w:ascii="Arial" w:eastAsia="Arial" w:hAnsi="Arial" w:cs="Arial"/>
                <w:sz w:val="20"/>
                <w:szCs w:val="20"/>
              </w:rPr>
            </w:pPr>
            <w:r>
              <w:rPr>
                <w:sz w:val="22"/>
                <w:szCs w:val="22"/>
              </w:rPr>
              <w:t>0.07%</w:t>
            </w:r>
          </w:p>
        </w:tc>
        <w:tc>
          <w:tcPr>
            <w:tcW w:w="1530" w:type="dxa"/>
            <w:tcBorders>
              <w:top w:val="nil"/>
              <w:left w:val="nil"/>
              <w:bottom w:val="nil"/>
              <w:right w:val="nil"/>
            </w:tcBorders>
            <w:tcMar>
              <w:top w:w="40" w:type="dxa"/>
              <w:left w:w="40" w:type="dxa"/>
              <w:bottom w:w="40" w:type="dxa"/>
              <w:right w:w="40" w:type="dxa"/>
            </w:tcMar>
            <w:vAlign w:val="bottom"/>
          </w:tcPr>
          <w:p w14:paraId="30F92A4D"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c>
          <w:tcPr>
            <w:tcW w:w="1380" w:type="dxa"/>
            <w:tcBorders>
              <w:top w:val="nil"/>
              <w:left w:val="nil"/>
              <w:bottom w:val="nil"/>
              <w:right w:val="nil"/>
            </w:tcBorders>
            <w:tcMar>
              <w:top w:w="40" w:type="dxa"/>
              <w:left w:w="40" w:type="dxa"/>
              <w:bottom w:w="40" w:type="dxa"/>
              <w:right w:w="40" w:type="dxa"/>
            </w:tcMar>
            <w:vAlign w:val="bottom"/>
          </w:tcPr>
          <w:p w14:paraId="61D896E6"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r>
      <w:tr w:rsidR="00480E11" w14:paraId="3CBFF6D1" w14:textId="77777777" w:rsidTr="00DB455D">
        <w:trPr>
          <w:trHeight w:val="315"/>
        </w:trPr>
        <w:tc>
          <w:tcPr>
            <w:tcW w:w="1462" w:type="dxa"/>
            <w:tcBorders>
              <w:top w:val="nil"/>
              <w:left w:val="nil"/>
              <w:bottom w:val="nil"/>
              <w:right w:val="nil"/>
            </w:tcBorders>
            <w:tcMar>
              <w:top w:w="40" w:type="dxa"/>
              <w:left w:w="40" w:type="dxa"/>
              <w:bottom w:w="40" w:type="dxa"/>
              <w:right w:w="40" w:type="dxa"/>
            </w:tcMar>
            <w:vAlign w:val="bottom"/>
          </w:tcPr>
          <w:p w14:paraId="28CCFCF2" w14:textId="77777777" w:rsidR="00480E11" w:rsidRDefault="00000000">
            <w:pPr>
              <w:widowControl w:val="0"/>
              <w:spacing w:after="0" w:line="276" w:lineRule="auto"/>
              <w:rPr>
                <w:rFonts w:ascii="Arial" w:eastAsia="Arial" w:hAnsi="Arial" w:cs="Arial"/>
                <w:sz w:val="20"/>
                <w:szCs w:val="20"/>
              </w:rPr>
            </w:pPr>
            <w:r>
              <w:rPr>
                <w:sz w:val="22"/>
                <w:szCs w:val="22"/>
              </w:rPr>
              <w:t>Sharpe Ratio</w:t>
            </w:r>
          </w:p>
        </w:tc>
        <w:tc>
          <w:tcPr>
            <w:tcW w:w="1418" w:type="dxa"/>
            <w:tcBorders>
              <w:top w:val="nil"/>
              <w:left w:val="nil"/>
              <w:bottom w:val="nil"/>
              <w:right w:val="nil"/>
            </w:tcBorders>
            <w:tcMar>
              <w:top w:w="40" w:type="dxa"/>
              <w:left w:w="40" w:type="dxa"/>
              <w:bottom w:w="40" w:type="dxa"/>
              <w:right w:w="40" w:type="dxa"/>
            </w:tcMar>
            <w:vAlign w:val="bottom"/>
          </w:tcPr>
          <w:p w14:paraId="5B10A050"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620" w:type="dxa"/>
            <w:tcBorders>
              <w:top w:val="nil"/>
              <w:left w:val="nil"/>
              <w:bottom w:val="nil"/>
              <w:right w:val="nil"/>
            </w:tcBorders>
            <w:tcMar>
              <w:top w:w="40" w:type="dxa"/>
              <w:left w:w="40" w:type="dxa"/>
              <w:bottom w:w="40" w:type="dxa"/>
              <w:right w:w="40" w:type="dxa"/>
            </w:tcMar>
            <w:vAlign w:val="bottom"/>
          </w:tcPr>
          <w:p w14:paraId="27E2F315"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410" w:type="dxa"/>
            <w:tcBorders>
              <w:top w:val="nil"/>
              <w:left w:val="nil"/>
              <w:bottom w:val="nil"/>
              <w:right w:val="nil"/>
            </w:tcBorders>
            <w:tcMar>
              <w:top w:w="40" w:type="dxa"/>
              <w:left w:w="40" w:type="dxa"/>
              <w:bottom w:w="40" w:type="dxa"/>
              <w:right w:w="40" w:type="dxa"/>
            </w:tcMar>
            <w:vAlign w:val="bottom"/>
          </w:tcPr>
          <w:p w14:paraId="4894342F"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800" w:type="dxa"/>
            <w:tcBorders>
              <w:top w:val="nil"/>
              <w:left w:val="nil"/>
              <w:bottom w:val="nil"/>
              <w:right w:val="nil"/>
            </w:tcBorders>
            <w:tcMar>
              <w:top w:w="40" w:type="dxa"/>
              <w:left w:w="40" w:type="dxa"/>
              <w:bottom w:w="40" w:type="dxa"/>
              <w:right w:w="40" w:type="dxa"/>
            </w:tcMar>
            <w:vAlign w:val="bottom"/>
          </w:tcPr>
          <w:p w14:paraId="78A2DAD1"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1365" w:type="dxa"/>
            <w:tcBorders>
              <w:top w:val="nil"/>
              <w:left w:val="nil"/>
              <w:bottom w:val="nil"/>
              <w:right w:val="nil"/>
            </w:tcBorders>
            <w:tcMar>
              <w:top w:w="40" w:type="dxa"/>
              <w:left w:w="40" w:type="dxa"/>
              <w:bottom w:w="40" w:type="dxa"/>
              <w:right w:w="40" w:type="dxa"/>
            </w:tcMar>
            <w:vAlign w:val="bottom"/>
          </w:tcPr>
          <w:p w14:paraId="1AB18BC6"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1530" w:type="dxa"/>
            <w:tcBorders>
              <w:top w:val="nil"/>
              <w:left w:val="nil"/>
              <w:bottom w:val="nil"/>
              <w:right w:val="nil"/>
            </w:tcBorders>
            <w:tcMar>
              <w:top w:w="40" w:type="dxa"/>
              <w:left w:w="40" w:type="dxa"/>
              <w:bottom w:w="40" w:type="dxa"/>
              <w:right w:w="40" w:type="dxa"/>
            </w:tcMar>
            <w:vAlign w:val="bottom"/>
          </w:tcPr>
          <w:p w14:paraId="284BEA8C" w14:textId="77777777" w:rsidR="00480E11" w:rsidRDefault="00000000">
            <w:pPr>
              <w:widowControl w:val="0"/>
              <w:spacing w:after="0" w:line="276" w:lineRule="auto"/>
              <w:jc w:val="right"/>
              <w:rPr>
                <w:rFonts w:ascii="Arial" w:eastAsia="Arial" w:hAnsi="Arial" w:cs="Arial"/>
                <w:sz w:val="20"/>
                <w:szCs w:val="20"/>
              </w:rPr>
            </w:pPr>
            <w:r>
              <w:rPr>
                <w:sz w:val="22"/>
                <w:szCs w:val="22"/>
              </w:rPr>
              <w:t>-0.14</w:t>
            </w:r>
          </w:p>
        </w:tc>
        <w:tc>
          <w:tcPr>
            <w:tcW w:w="1380" w:type="dxa"/>
            <w:tcBorders>
              <w:top w:val="nil"/>
              <w:left w:val="nil"/>
              <w:bottom w:val="nil"/>
              <w:right w:val="nil"/>
            </w:tcBorders>
            <w:tcMar>
              <w:top w:w="40" w:type="dxa"/>
              <w:left w:w="40" w:type="dxa"/>
              <w:bottom w:w="40" w:type="dxa"/>
              <w:right w:w="40" w:type="dxa"/>
            </w:tcMar>
            <w:vAlign w:val="bottom"/>
          </w:tcPr>
          <w:p w14:paraId="0371B882" w14:textId="77777777" w:rsidR="00480E11" w:rsidRDefault="00000000">
            <w:pPr>
              <w:widowControl w:val="0"/>
              <w:spacing w:after="0" w:line="276" w:lineRule="auto"/>
              <w:jc w:val="right"/>
              <w:rPr>
                <w:rFonts w:ascii="Arial" w:eastAsia="Arial" w:hAnsi="Arial" w:cs="Arial"/>
                <w:sz w:val="20"/>
                <w:szCs w:val="20"/>
              </w:rPr>
            </w:pPr>
            <w:r>
              <w:rPr>
                <w:sz w:val="22"/>
                <w:szCs w:val="22"/>
              </w:rPr>
              <w:t>-0.05</w:t>
            </w:r>
          </w:p>
        </w:tc>
      </w:tr>
      <w:tr w:rsidR="00480E11" w14:paraId="7CD98FAB" w14:textId="77777777" w:rsidTr="00DB455D">
        <w:trPr>
          <w:trHeight w:val="330"/>
        </w:trPr>
        <w:tc>
          <w:tcPr>
            <w:tcW w:w="1462" w:type="dxa"/>
            <w:tcBorders>
              <w:top w:val="nil"/>
              <w:left w:val="nil"/>
              <w:bottom w:val="single" w:sz="4" w:space="0" w:color="000000"/>
              <w:right w:val="nil"/>
            </w:tcBorders>
            <w:tcMar>
              <w:top w:w="40" w:type="dxa"/>
              <w:left w:w="40" w:type="dxa"/>
              <w:bottom w:w="40" w:type="dxa"/>
              <w:right w:w="40" w:type="dxa"/>
            </w:tcMar>
            <w:vAlign w:val="bottom"/>
          </w:tcPr>
          <w:p w14:paraId="2B6C947B" w14:textId="77777777" w:rsidR="00480E11" w:rsidRDefault="00000000">
            <w:pPr>
              <w:widowControl w:val="0"/>
              <w:spacing w:after="0" w:line="276" w:lineRule="auto"/>
              <w:rPr>
                <w:rFonts w:ascii="Arial" w:eastAsia="Arial" w:hAnsi="Arial" w:cs="Arial"/>
                <w:sz w:val="20"/>
                <w:szCs w:val="20"/>
              </w:rPr>
            </w:pPr>
            <w:r>
              <w:rPr>
                <w:sz w:val="22"/>
                <w:szCs w:val="22"/>
              </w:rPr>
              <w:t>CVaR</w:t>
            </w:r>
          </w:p>
        </w:tc>
        <w:tc>
          <w:tcPr>
            <w:tcW w:w="1418" w:type="dxa"/>
            <w:tcBorders>
              <w:top w:val="nil"/>
              <w:left w:val="nil"/>
              <w:bottom w:val="single" w:sz="4" w:space="0" w:color="000000"/>
              <w:right w:val="nil"/>
            </w:tcBorders>
            <w:tcMar>
              <w:top w:w="40" w:type="dxa"/>
              <w:left w:w="40" w:type="dxa"/>
              <w:bottom w:w="40" w:type="dxa"/>
              <w:right w:w="40" w:type="dxa"/>
            </w:tcMar>
            <w:vAlign w:val="bottom"/>
          </w:tcPr>
          <w:p w14:paraId="7F890361"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620" w:type="dxa"/>
            <w:tcBorders>
              <w:top w:val="nil"/>
              <w:left w:val="nil"/>
              <w:bottom w:val="single" w:sz="4" w:space="0" w:color="000000"/>
              <w:right w:val="nil"/>
            </w:tcBorders>
            <w:tcMar>
              <w:top w:w="40" w:type="dxa"/>
              <w:left w:w="40" w:type="dxa"/>
              <w:bottom w:w="40" w:type="dxa"/>
              <w:right w:w="40" w:type="dxa"/>
            </w:tcMar>
            <w:vAlign w:val="bottom"/>
          </w:tcPr>
          <w:p w14:paraId="46539221"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1410" w:type="dxa"/>
            <w:tcBorders>
              <w:top w:val="nil"/>
              <w:left w:val="nil"/>
              <w:bottom w:val="single" w:sz="4" w:space="0" w:color="000000"/>
              <w:right w:val="nil"/>
            </w:tcBorders>
            <w:tcMar>
              <w:top w:w="40" w:type="dxa"/>
              <w:left w:w="40" w:type="dxa"/>
              <w:bottom w:w="40" w:type="dxa"/>
              <w:right w:w="40" w:type="dxa"/>
            </w:tcMar>
            <w:vAlign w:val="bottom"/>
          </w:tcPr>
          <w:p w14:paraId="0F19D96D"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800" w:type="dxa"/>
            <w:tcBorders>
              <w:top w:val="nil"/>
              <w:left w:val="nil"/>
              <w:bottom w:val="single" w:sz="4" w:space="0" w:color="000000"/>
              <w:right w:val="nil"/>
            </w:tcBorders>
            <w:tcMar>
              <w:top w:w="40" w:type="dxa"/>
              <w:left w:w="40" w:type="dxa"/>
              <w:bottom w:w="40" w:type="dxa"/>
              <w:right w:w="40" w:type="dxa"/>
            </w:tcMar>
            <w:vAlign w:val="bottom"/>
          </w:tcPr>
          <w:p w14:paraId="6DB6F17A"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1365" w:type="dxa"/>
            <w:tcBorders>
              <w:top w:val="nil"/>
              <w:left w:val="nil"/>
              <w:bottom w:val="single" w:sz="4" w:space="0" w:color="000000"/>
              <w:right w:val="nil"/>
            </w:tcBorders>
            <w:tcMar>
              <w:top w:w="40" w:type="dxa"/>
              <w:left w:w="40" w:type="dxa"/>
              <w:bottom w:w="40" w:type="dxa"/>
              <w:right w:w="40" w:type="dxa"/>
            </w:tcMar>
            <w:vAlign w:val="bottom"/>
          </w:tcPr>
          <w:p w14:paraId="1E5ACF15"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c>
          <w:tcPr>
            <w:tcW w:w="1530" w:type="dxa"/>
            <w:tcBorders>
              <w:top w:val="nil"/>
              <w:left w:val="nil"/>
              <w:bottom w:val="single" w:sz="4" w:space="0" w:color="000000"/>
              <w:right w:val="nil"/>
            </w:tcBorders>
            <w:tcMar>
              <w:top w:w="40" w:type="dxa"/>
              <w:left w:w="40" w:type="dxa"/>
              <w:bottom w:w="40" w:type="dxa"/>
              <w:right w:w="40" w:type="dxa"/>
            </w:tcMar>
            <w:vAlign w:val="bottom"/>
          </w:tcPr>
          <w:p w14:paraId="1CC7128D"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c>
          <w:tcPr>
            <w:tcW w:w="1380" w:type="dxa"/>
            <w:tcBorders>
              <w:top w:val="nil"/>
              <w:left w:val="nil"/>
              <w:bottom w:val="single" w:sz="4" w:space="0" w:color="000000"/>
              <w:right w:val="nil"/>
            </w:tcBorders>
            <w:tcMar>
              <w:top w:w="40" w:type="dxa"/>
              <w:left w:w="40" w:type="dxa"/>
              <w:bottom w:w="40" w:type="dxa"/>
              <w:right w:w="40" w:type="dxa"/>
            </w:tcMar>
            <w:vAlign w:val="bottom"/>
          </w:tcPr>
          <w:p w14:paraId="1C1F6E5C"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r>
      <w:tr w:rsidR="00480E11" w14:paraId="079C67A1" w14:textId="77777777">
        <w:trPr>
          <w:trHeight w:val="701"/>
        </w:trPr>
        <w:tc>
          <w:tcPr>
            <w:tcW w:w="11985" w:type="dxa"/>
            <w:gridSpan w:val="8"/>
            <w:tcBorders>
              <w:top w:val="nil"/>
              <w:left w:val="nil"/>
              <w:bottom w:val="nil"/>
              <w:right w:val="nil"/>
            </w:tcBorders>
            <w:tcMar>
              <w:top w:w="40" w:type="dxa"/>
              <w:left w:w="40" w:type="dxa"/>
              <w:bottom w:w="40" w:type="dxa"/>
              <w:right w:w="40" w:type="dxa"/>
            </w:tcMar>
            <w:vAlign w:val="bottom"/>
          </w:tcPr>
          <w:p w14:paraId="41698191" w14:textId="77777777" w:rsidR="00480E11" w:rsidRDefault="00000000">
            <w:pPr>
              <w:widowControl w:val="0"/>
              <w:spacing w:after="0" w:line="276" w:lineRule="auto"/>
              <w:rPr>
                <w:rFonts w:ascii="Arial" w:eastAsia="Arial" w:hAnsi="Arial" w:cs="Arial"/>
                <w:sz w:val="20"/>
                <w:szCs w:val="20"/>
              </w:rPr>
            </w:pPr>
            <w:r>
              <w:rPr>
                <w:sz w:val="22"/>
                <w:szCs w:val="22"/>
              </w:rPr>
              <w:t>Note: The optimization process uses the conditional covariance and correlation of the diagonal VECH model with the student t distribution. The significance level for calculating CVaR is 5%.</w:t>
            </w:r>
          </w:p>
        </w:tc>
      </w:tr>
    </w:tbl>
    <w:p w14:paraId="164037B3" w14:textId="77777777" w:rsidR="00480E11" w:rsidRDefault="00480E11">
      <w:pPr>
        <w:jc w:val="both"/>
      </w:pPr>
    </w:p>
    <w:p w14:paraId="38A587F3" w14:textId="77777777" w:rsidR="00480E11" w:rsidRDefault="00000000">
      <w:pPr>
        <w:pStyle w:val="Heading2"/>
        <w:jc w:val="both"/>
      </w:pPr>
      <w:bookmarkStart w:id="15" w:name="_Toc166705775"/>
      <w:r>
        <w:t>4.3 Portfolio Performance</w:t>
      </w:r>
      <w:bookmarkEnd w:id="15"/>
    </w:p>
    <w:p w14:paraId="415D386A" w14:textId="560EA85B" w:rsidR="00480E11" w:rsidRDefault="00000000">
      <w:pPr>
        <w:jc w:val="both"/>
      </w:pPr>
      <w:r>
        <w:t xml:space="preserve">In order to analyze how different portfolio strategies perform under different market times, we choose the rolling window of 250 to get the portfolio performance over time. Since the performance of the seven portfolios under short sell and no short sell conditions generally behaves </w:t>
      </w:r>
      <w:r w:rsidR="007B3978" w:rsidRPr="007B3978">
        <w:t xml:space="preserve">in </w:t>
      </w:r>
      <w:r>
        <w:t xml:space="preserve">similar patterns, we draw the plot of the performance without short-selling opportunity as the representation to see how portfolios behave under different market conditions. As shown in Figure 2, during the 1990s and the 2000s, there were significant </w:t>
      </w:r>
      <w:r w:rsidR="007B3978" w:rsidRPr="007B3978">
        <w:t>fluctuations</w:t>
      </w:r>
      <w:r>
        <w:t xml:space="preserve"> in the returns, which might be due to the early 1990s recessions and the Dot-com bubble at that time. Around 2008, there </w:t>
      </w:r>
      <w:r w:rsidR="007B3978">
        <w:t>is</w:t>
      </w:r>
      <w:r>
        <w:t xml:space="preserve"> </w:t>
      </w:r>
      <w:r w:rsidR="007B3978" w:rsidRPr="007B3978">
        <w:t xml:space="preserve">a </w:t>
      </w:r>
      <w:r>
        <w:t>significant decline across all the portfolio strategies, which was caused by the Global Financial Crisis. Additionally, we can see that there are spikes in the return, variance, and Sharpe ratio around the 2020s. This is because</w:t>
      </w:r>
      <w:r w:rsidR="00630E42" w:rsidRPr="00630E42">
        <w:t>,</w:t>
      </w:r>
      <w:r>
        <w:t xml:space="preserve"> during the </w:t>
      </w:r>
      <w:r w:rsidR="00630E42" w:rsidRPr="00630E42">
        <w:t>COVID-19</w:t>
      </w:r>
      <w:r>
        <w:t xml:space="preserve"> volatile times, investors have increased interest in the commodity market to hedge against inflation and economic instability. As a result, the higher returns in the commodity market are also associated with higher variance and extreme risks. Regarding the portfolio strategies, the mean-variance and min-variance portfolios generally show a stable behavior compared to other portfolio strategies. In contrast, the maximum </w:t>
      </w:r>
      <w:r w:rsidR="00630E42" w:rsidRPr="00630E42">
        <w:t>Sharpe</w:t>
      </w:r>
      <w:r>
        <w:t xml:space="preserve"> ratio, maximum </w:t>
      </w:r>
      <w:r w:rsidR="00630E42">
        <w:t>S</w:t>
      </w:r>
      <w:r>
        <w:t>ortino ratio, and mean-CVaR portfolios exhibit higher sensitivity to extreme market conditions.</w:t>
      </w:r>
    </w:p>
    <w:p w14:paraId="304A0AC2" w14:textId="77777777" w:rsidR="00480E11" w:rsidRDefault="00000000">
      <w:pPr>
        <w:jc w:val="both"/>
      </w:pPr>
      <w:r>
        <w:rPr>
          <w:noProof/>
        </w:rPr>
        <w:drawing>
          <wp:inline distT="114300" distB="114300" distL="114300" distR="114300" wp14:anchorId="11CB1179" wp14:editId="3669FA57">
            <wp:extent cx="5943600" cy="377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9"/>
                    <a:srcRect/>
                    <a:stretch>
                      <a:fillRect/>
                    </a:stretch>
                  </pic:blipFill>
                  <pic:spPr>
                    <a:xfrm>
                      <a:off x="0" y="0"/>
                      <a:ext cx="5943600" cy="3771900"/>
                    </a:xfrm>
                    <a:prstGeom prst="rect">
                      <a:avLst/>
                    </a:prstGeom>
                    <a:ln/>
                  </pic:spPr>
                </pic:pic>
              </a:graphicData>
            </a:graphic>
          </wp:inline>
        </w:drawing>
      </w:r>
    </w:p>
    <w:p w14:paraId="238B7C8F" w14:textId="77777777" w:rsidR="00480E11" w:rsidRDefault="00000000" w:rsidP="00D8724C">
      <w:pPr>
        <w:jc w:val="center"/>
      </w:pPr>
      <w:r>
        <w:t>Figure 2: Portfolio Performance without Short-selling</w:t>
      </w:r>
    </w:p>
    <w:p w14:paraId="393649C0" w14:textId="77777777" w:rsidR="00480E11" w:rsidRDefault="00000000">
      <w:pPr>
        <w:pStyle w:val="Heading2"/>
        <w:jc w:val="both"/>
      </w:pPr>
      <w:bookmarkStart w:id="16" w:name="_Toc166705776"/>
      <w:r>
        <w:t>4.3 Hedge against Risk</w:t>
      </w:r>
      <w:bookmarkEnd w:id="16"/>
    </w:p>
    <w:p w14:paraId="72B80F62" w14:textId="77777777" w:rsidR="00480E11" w:rsidRDefault="00000000">
      <w:pPr>
        <w:jc w:val="both"/>
      </w:pPr>
      <w:r>
        <w:t>We use conditional volatility from the multivariate GARCH model of the three commodity groups to calculate hedge ratios. The hedge ratios are a measure of how much hedging asset is required to offset the risk of the primary asset, where the hedging asset holds a short position and the primary asset holds a long position. Figure 2 shows the hedge ratios for different commodity pairs from 1991 to 2023, with metal, energy, and agricultural commodities as the primary assets in each subplot. With metal commodities as the primary commodities, the hedge ratios show occasional fluctuations, which might be due to big events such as the early 1990s recession, the global financial crisis, and COVID-19. Also, the high hedge ratios imply a high correlation and similar volatility between the two commodities. Hedging ratios for energy commodities display the most significant fluctuations compared with the other two commodity groups. This implies that the energy market has higher risk and uncertainty. For hedging agricultural commodities, the hedge ratios remain relatively stable during the entire sample period. This indicates that the relationships between agricultural commodities with metal and energy are less volatile, indicating a lower correlation. Overall, the plot shows that the hedge ratios for metal and agricultural commodities are more stable compared to energy commodities. Stable hedge ratios indicate more predictable interconnectedness, which makes it easier to hedge risks. In contrast, volatile hedge ratios of energy commodities suggest that strategies for hedging should be more flexible and should be changing according to specific market situations.</w:t>
      </w:r>
    </w:p>
    <w:p w14:paraId="1A330B21" w14:textId="77777777" w:rsidR="00480E11" w:rsidRDefault="00000000">
      <w:pPr>
        <w:jc w:val="both"/>
      </w:pPr>
      <w:r>
        <w:rPr>
          <w:noProof/>
        </w:rPr>
        <w:drawing>
          <wp:inline distT="114300" distB="114300" distL="114300" distR="114300" wp14:anchorId="1AB5BBF7" wp14:editId="48F8BCD6">
            <wp:extent cx="5943600" cy="2844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0"/>
                    <a:srcRect/>
                    <a:stretch>
                      <a:fillRect/>
                    </a:stretch>
                  </pic:blipFill>
                  <pic:spPr>
                    <a:xfrm>
                      <a:off x="0" y="0"/>
                      <a:ext cx="5943600" cy="2844800"/>
                    </a:xfrm>
                    <a:prstGeom prst="rect">
                      <a:avLst/>
                    </a:prstGeom>
                    <a:ln/>
                  </pic:spPr>
                </pic:pic>
              </a:graphicData>
            </a:graphic>
          </wp:inline>
        </w:drawing>
      </w:r>
    </w:p>
    <w:p w14:paraId="333EB373" w14:textId="77777777" w:rsidR="00480E11" w:rsidRDefault="00000000" w:rsidP="00C25EA9">
      <w:pPr>
        <w:jc w:val="center"/>
      </w:pPr>
      <w:r>
        <w:t>Figure 3: Hedge Ratios</w:t>
      </w:r>
    </w:p>
    <w:p w14:paraId="0777210A" w14:textId="77777777" w:rsidR="00480E11" w:rsidRDefault="00000000">
      <w:pPr>
        <w:pStyle w:val="Heading1"/>
        <w:jc w:val="both"/>
      </w:pPr>
      <w:bookmarkStart w:id="17" w:name="_ved4s2h4gxxx" w:colFirst="0" w:colLast="0"/>
      <w:bookmarkEnd w:id="17"/>
      <w:r>
        <w:br w:type="page"/>
      </w:r>
    </w:p>
    <w:p w14:paraId="003B4372" w14:textId="77777777" w:rsidR="00480E11" w:rsidRDefault="00000000">
      <w:pPr>
        <w:pStyle w:val="Heading1"/>
        <w:jc w:val="both"/>
      </w:pPr>
      <w:bookmarkStart w:id="18" w:name="_Toc166705777"/>
      <w:r>
        <w:t>5. Conclusion</w:t>
      </w:r>
      <w:bookmarkEnd w:id="18"/>
    </w:p>
    <w:p w14:paraId="7C971279" w14:textId="77777777" w:rsidR="00480E11" w:rsidRDefault="00000000">
      <w:pPr>
        <w:jc w:val="both"/>
      </w:pPr>
      <w:r>
        <w:t xml:space="preserve">Focusing on the commodity market, this thesis analyzes the dynamics of metal, energy, and agricultural commodity groups. We begin by exploring the statistical characteristics of the three commodity groups. All three commodity groups exhibit slightly negative skewness, indicating asymmetry. Moreover, metals and energy display high kurtosis, suggesting heavy-tailed distributions, while agricultural commodities demonstrate lighter tails and approximate normal distribution. Additionally, the statistical tests reveal that the commodity return data is stationary with autocorrelation and heteroscedasticity. Secondly, We use multivariate GARCH models of diagonal VECH, diagonal BEKK, and CCC to model the volatility of the three commodity groups. The empirical results reveal that the student t-distribution assumption of multivariate GARCH models outperforms the normal distribution assumption. Also, the diagonal VECH model with t-distribution has the highest goodness of fit. </w:t>
      </w:r>
    </w:p>
    <w:p w14:paraId="4AACB6A7" w14:textId="77777777" w:rsidR="00480E11" w:rsidRDefault="00000000">
      <w:pPr>
        <w:jc w:val="both"/>
      </w:pPr>
      <w:r>
        <w:t xml:space="preserve">By using the conditional variance and conditional correlation from the multivariate GARCH model, we do portfolio optimization of seven portfolios, which are the mean-variance, minimum variance, minimum correlation, maximum Sharpe ratio, maximum Sortinoz ratio, and mean CVaR portfolio strategies. We consider two conditions, which are the short selling condition and no short selling condition. If we do not consider short-selling opportunities, the mean-variance portfolio has the highest average return during the sample period and the lowest volatility, indicating its efficiency as an investment strategy compared to other portfolio strategies under the sample period. This portfolio approach allocates the majority of the proportion to metals and only a relatively smaller amount of proportion to energy commodities. In contrast, the mean-CVaR portfolio has the lowest average return, Sharpe ratio, and CVaR during the sample period, indicating inefficiencies during the sample period. When considering short-selling opportunities, the portfolio strategies of mean-variance, maximum Sharpe ratio, maximum Sortino ratio, and mean-CVaR all include short positions, particularly in agricultural commodities. Also, the average return performance of these short-selling strategies, notably mean-variance portfolio and maximum Sharpe ratio, outperform those of methods without short-selling opportunities. Conversely, the maximum Sortino ratio and mean CVaR strategies are less efficient compared to conditions without short-selling opportunities. Overall, short-selling increases variance across all the portfolio strategies. </w:t>
      </w:r>
    </w:p>
    <w:p w14:paraId="5EE7EEEC" w14:textId="11AE88A7" w:rsidR="006E0867" w:rsidRDefault="00000000">
      <w:pPr>
        <w:jc w:val="both"/>
      </w:pPr>
      <w:r>
        <w:t xml:space="preserve">The commodity market is inherently volatile due to the fluctuating nature of physical commodity products over time. Therefore, implementing hedging strategies to reduce risks is an efficient approach for conservative investors. We calculate hedge ratios using conditional volatility from the multivariate GARCH model. The hedge ratio results indicate that the energy commodity group exhibits higher and more volatile hedge ratios, reflecting its strong correlation and volatility with metal and agricultural commodities. In contrast, the agricultural commodity group has stable hedge ratios, which shows that it has lower volatility and more predictable relationships with other asset classes. This stability suggests that agricultural commodities are less affected by extreme market events compared to energy commodities, making it easier to hedge effectively. </w:t>
      </w:r>
    </w:p>
    <w:p w14:paraId="4DF02B00" w14:textId="3927AC6A" w:rsidR="00480E11" w:rsidRDefault="006E0867" w:rsidP="00511FC3">
      <w:r>
        <w:br w:type="page"/>
      </w:r>
    </w:p>
    <w:p w14:paraId="02C5ADCD" w14:textId="77777777" w:rsidR="00480E11" w:rsidRDefault="00000000">
      <w:pPr>
        <w:pStyle w:val="Heading1"/>
        <w:jc w:val="both"/>
      </w:pPr>
      <w:bookmarkStart w:id="19" w:name="_yh7e66vatqo9" w:colFirst="0" w:colLast="0"/>
      <w:bookmarkStart w:id="20" w:name="_Toc166705778"/>
      <w:bookmarkEnd w:id="19"/>
      <w:r>
        <w:t>Appendix</w:t>
      </w:r>
      <w:bookmarkEnd w:id="20"/>
    </w:p>
    <w:p w14:paraId="74A951AF" w14:textId="74F5B17E" w:rsidR="00480E11" w:rsidRDefault="00000000" w:rsidP="009033CE">
      <w:pPr>
        <w:jc w:val="center"/>
      </w:pPr>
      <w:r>
        <w:t>Table</w:t>
      </w:r>
      <w:r w:rsidR="00DC65E3">
        <w:t xml:space="preserve"> 7</w:t>
      </w:r>
      <w:r>
        <w:t xml:space="preserve">: </w:t>
      </w:r>
      <w:r w:rsidR="00422419">
        <w:t>Digonal</w:t>
      </w:r>
      <w:r w:rsidR="002F3DDD">
        <w:t xml:space="preserve"> </w:t>
      </w:r>
      <w:r>
        <w:t>VECH</w:t>
      </w:r>
    </w:p>
    <w:tbl>
      <w:tblPr>
        <w:tblStyle w:val="a5"/>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480E11" w14:paraId="46CEF274" w14:textId="77777777" w:rsidTr="008015ED">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1EAF99F8"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1B27F28" w14:textId="77777777" w:rsidR="00480E11" w:rsidRDefault="00000000">
            <w:pPr>
              <w:widowControl w:val="0"/>
              <w:spacing w:after="0" w:line="276" w:lineRule="auto"/>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7C506FC" w14:textId="77777777" w:rsidR="00480E11" w:rsidRDefault="00480E11">
            <w:pPr>
              <w:widowControl w:val="0"/>
              <w:spacing w:after="0" w:line="276" w:lineRule="auto"/>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CA9C923"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8962A84" w14:textId="77777777" w:rsidR="00480E11" w:rsidRDefault="00000000">
            <w:pPr>
              <w:widowControl w:val="0"/>
              <w:spacing w:after="0" w:line="276" w:lineRule="auto"/>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3E9EBE2" w14:textId="77777777" w:rsidR="00480E11" w:rsidRDefault="00480E11">
            <w:pPr>
              <w:widowControl w:val="0"/>
              <w:spacing w:after="0" w:line="276" w:lineRule="auto"/>
              <w:rPr>
                <w:rFonts w:ascii="Arial" w:eastAsia="Arial" w:hAnsi="Arial" w:cs="Arial"/>
                <w:sz w:val="20"/>
                <w:szCs w:val="20"/>
              </w:rPr>
            </w:pPr>
          </w:p>
        </w:tc>
        <w:tc>
          <w:tcPr>
            <w:tcW w:w="67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00B2674" w14:textId="77777777" w:rsidR="00480E11" w:rsidRDefault="00480E11">
            <w:pPr>
              <w:widowControl w:val="0"/>
              <w:spacing w:after="0" w:line="276" w:lineRule="auto"/>
              <w:rPr>
                <w:rFonts w:ascii="Arial" w:eastAsia="Arial" w:hAnsi="Arial" w:cs="Arial"/>
                <w:sz w:val="20"/>
                <w:szCs w:val="20"/>
              </w:rPr>
            </w:pPr>
          </w:p>
        </w:tc>
      </w:tr>
      <w:tr w:rsidR="00480E11" w14:paraId="2609E314" w14:textId="77777777" w:rsidTr="008015ED">
        <w:trPr>
          <w:trHeight w:val="339"/>
        </w:trPr>
        <w:tc>
          <w:tcPr>
            <w:tcW w:w="761" w:type="pct"/>
            <w:tcBorders>
              <w:top w:val="nil"/>
              <w:left w:val="nil"/>
              <w:bottom w:val="nil"/>
              <w:right w:val="nil"/>
            </w:tcBorders>
            <w:tcMar>
              <w:top w:w="40" w:type="dxa"/>
              <w:left w:w="40" w:type="dxa"/>
              <w:bottom w:w="40" w:type="dxa"/>
              <w:right w:w="40" w:type="dxa"/>
            </w:tcMar>
            <w:vAlign w:val="bottom"/>
          </w:tcPr>
          <w:p w14:paraId="0C381C78" w14:textId="77777777" w:rsidR="00480E11" w:rsidRDefault="00480E11">
            <w:pPr>
              <w:widowControl w:val="0"/>
              <w:spacing w:after="0"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5FA8DDEA" w14:textId="77777777" w:rsidR="00480E11" w:rsidRDefault="00000000">
            <w:pPr>
              <w:widowControl w:val="0"/>
              <w:spacing w:after="0" w:line="276" w:lineRule="auto"/>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6C564E4B" w14:textId="77777777" w:rsidR="00480E11" w:rsidRDefault="00000000">
            <w:pPr>
              <w:widowControl w:val="0"/>
              <w:spacing w:after="0" w:line="276" w:lineRule="auto"/>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46068FDA" w14:textId="77777777" w:rsidR="00480E11" w:rsidRDefault="00000000">
            <w:pPr>
              <w:widowControl w:val="0"/>
              <w:spacing w:after="0" w:line="276" w:lineRule="auto"/>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04C97ABC" w14:textId="77777777" w:rsidR="00480E11" w:rsidRDefault="00000000">
            <w:pPr>
              <w:widowControl w:val="0"/>
              <w:spacing w:after="0" w:line="276" w:lineRule="auto"/>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40763E49" w14:textId="77777777" w:rsidR="00480E11" w:rsidRDefault="00000000">
            <w:pPr>
              <w:widowControl w:val="0"/>
              <w:spacing w:after="0" w:line="276" w:lineRule="auto"/>
              <w:rPr>
                <w:rFonts w:ascii="Arial" w:eastAsia="Arial" w:hAnsi="Arial" w:cs="Arial"/>
                <w:sz w:val="20"/>
                <w:szCs w:val="20"/>
              </w:rPr>
            </w:pPr>
            <w:r>
              <w:rPr>
                <w:sz w:val="22"/>
                <w:szCs w:val="22"/>
              </w:rPr>
              <w:t>z-Stat</w:t>
            </w:r>
          </w:p>
        </w:tc>
        <w:tc>
          <w:tcPr>
            <w:tcW w:w="677" w:type="pct"/>
            <w:tcBorders>
              <w:top w:val="nil"/>
              <w:left w:val="nil"/>
              <w:bottom w:val="nil"/>
              <w:right w:val="nil"/>
            </w:tcBorders>
            <w:tcMar>
              <w:top w:w="40" w:type="dxa"/>
              <w:left w:w="40" w:type="dxa"/>
              <w:bottom w:w="40" w:type="dxa"/>
              <w:right w:w="40" w:type="dxa"/>
            </w:tcMar>
            <w:vAlign w:val="bottom"/>
          </w:tcPr>
          <w:p w14:paraId="13405502" w14:textId="77777777" w:rsidR="00480E11" w:rsidRDefault="00000000">
            <w:pPr>
              <w:widowControl w:val="0"/>
              <w:spacing w:after="0" w:line="276" w:lineRule="auto"/>
              <w:rPr>
                <w:rFonts w:ascii="Arial" w:eastAsia="Arial" w:hAnsi="Arial" w:cs="Arial"/>
                <w:sz w:val="20"/>
                <w:szCs w:val="20"/>
              </w:rPr>
            </w:pPr>
            <w:r>
              <w:rPr>
                <w:sz w:val="22"/>
                <w:szCs w:val="22"/>
              </w:rPr>
              <w:t>P-value</w:t>
            </w:r>
          </w:p>
        </w:tc>
      </w:tr>
      <w:tr w:rsidR="00480E11" w14:paraId="4D8619F8" w14:textId="77777777" w:rsidTr="008015ED">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64593654" w14:textId="77777777" w:rsidR="00480E11" w:rsidRDefault="00000000">
            <w:pPr>
              <w:widowControl w:val="0"/>
              <w:spacing w:after="0" w:line="276" w:lineRule="auto"/>
              <w:rPr>
                <w:rFonts w:ascii="Arial" w:eastAsia="Arial" w:hAnsi="Arial" w:cs="Arial"/>
                <w:sz w:val="20"/>
                <w:szCs w:val="20"/>
              </w:rPr>
            </w:pPr>
            <w:r>
              <w:rPr>
                <w:sz w:val="22"/>
                <w:szCs w:val="22"/>
              </w:rPr>
              <w:t>Mean Equation</w:t>
            </w:r>
          </w:p>
        </w:tc>
      </w:tr>
      <w:tr w:rsidR="00480E11" w14:paraId="14F98DB1"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C9F16B0" w14:textId="77777777" w:rsidR="00480E11" w:rsidRDefault="00000000">
            <w:pPr>
              <w:widowControl w:val="0"/>
              <w:spacing w:after="0"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361E6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D382ACF" w14:textId="77777777" w:rsidR="00480E11" w:rsidRDefault="00000000">
            <w:pPr>
              <w:widowControl w:val="0"/>
              <w:spacing w:after="0" w:line="276" w:lineRule="auto"/>
              <w:jc w:val="right"/>
              <w:rPr>
                <w:rFonts w:ascii="Arial" w:eastAsia="Arial" w:hAnsi="Arial" w:cs="Arial"/>
                <w:sz w:val="20"/>
                <w:szCs w:val="20"/>
              </w:rPr>
            </w:pPr>
            <w:r>
              <w:rPr>
                <w:sz w:val="22"/>
                <w:szCs w:val="22"/>
              </w:rPr>
              <w:t>0.86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ECF0A42" w14:textId="77777777" w:rsidR="00480E11" w:rsidRDefault="00000000">
            <w:pPr>
              <w:widowControl w:val="0"/>
              <w:spacing w:after="0" w:line="276" w:lineRule="auto"/>
              <w:jc w:val="right"/>
              <w:rPr>
                <w:rFonts w:ascii="Arial" w:eastAsia="Arial" w:hAnsi="Arial" w:cs="Arial"/>
                <w:sz w:val="20"/>
                <w:szCs w:val="20"/>
              </w:rPr>
            </w:pPr>
            <w:r>
              <w:rPr>
                <w:sz w:val="22"/>
                <w:szCs w:val="22"/>
              </w:rPr>
              <w:t>0.39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7C9759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B220F7" w14:textId="77777777" w:rsidR="00480E11" w:rsidRDefault="00000000">
            <w:pPr>
              <w:widowControl w:val="0"/>
              <w:spacing w:after="0" w:line="276" w:lineRule="auto"/>
              <w:jc w:val="right"/>
              <w:rPr>
                <w:rFonts w:ascii="Arial" w:eastAsia="Arial" w:hAnsi="Arial" w:cs="Arial"/>
                <w:sz w:val="20"/>
                <w:szCs w:val="20"/>
              </w:rPr>
            </w:pPr>
            <w:r>
              <w:rPr>
                <w:sz w:val="22"/>
                <w:szCs w:val="22"/>
              </w:rPr>
              <w:t>2.44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AA77327"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30E34EE2"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4BD6FB4" w14:textId="77777777" w:rsidR="00480E11" w:rsidRDefault="00000000">
            <w:pPr>
              <w:widowControl w:val="0"/>
              <w:spacing w:after="0"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73334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882A09B"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658192D"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CCA960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EAA413"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EA52759" w14:textId="77777777" w:rsidR="00480E11" w:rsidRDefault="00000000">
            <w:pPr>
              <w:widowControl w:val="0"/>
              <w:spacing w:after="0" w:line="276" w:lineRule="auto"/>
              <w:jc w:val="right"/>
              <w:rPr>
                <w:rFonts w:ascii="Arial" w:eastAsia="Arial" w:hAnsi="Arial" w:cs="Arial"/>
                <w:sz w:val="20"/>
                <w:szCs w:val="20"/>
              </w:rPr>
            </w:pPr>
            <w:r>
              <w:rPr>
                <w:sz w:val="22"/>
                <w:szCs w:val="22"/>
              </w:rPr>
              <w:t>0.98</w:t>
            </w:r>
          </w:p>
        </w:tc>
      </w:tr>
      <w:tr w:rsidR="00480E11" w14:paraId="2B2E00B0"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B560DDE" w14:textId="77777777" w:rsidR="00480E11" w:rsidRDefault="00000000">
            <w:pPr>
              <w:widowControl w:val="0"/>
              <w:spacing w:after="0"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F5EC85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2390236" w14:textId="77777777" w:rsidR="00480E11" w:rsidRDefault="00000000">
            <w:pPr>
              <w:widowControl w:val="0"/>
              <w:spacing w:after="0" w:line="276" w:lineRule="auto"/>
              <w:jc w:val="right"/>
              <w:rPr>
                <w:rFonts w:ascii="Arial" w:eastAsia="Arial" w:hAnsi="Arial" w:cs="Arial"/>
                <w:sz w:val="20"/>
                <w:szCs w:val="20"/>
              </w:rPr>
            </w:pPr>
            <w:r>
              <w:rPr>
                <w:sz w:val="22"/>
                <w:szCs w:val="22"/>
              </w:rPr>
              <w:t>1.45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016791A" w14:textId="77777777" w:rsidR="00480E11" w:rsidRDefault="00000000">
            <w:pPr>
              <w:widowControl w:val="0"/>
              <w:spacing w:after="0" w:line="276" w:lineRule="auto"/>
              <w:jc w:val="right"/>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30D01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0ABAD37" w14:textId="77777777" w:rsidR="00480E11" w:rsidRDefault="00000000">
            <w:pPr>
              <w:widowControl w:val="0"/>
              <w:spacing w:after="0" w:line="276" w:lineRule="auto"/>
              <w:jc w:val="right"/>
              <w:rPr>
                <w:rFonts w:ascii="Arial" w:eastAsia="Arial" w:hAnsi="Arial" w:cs="Arial"/>
                <w:sz w:val="20"/>
                <w:szCs w:val="20"/>
              </w:rPr>
            </w:pPr>
            <w:r>
              <w:rPr>
                <w:sz w:val="22"/>
                <w:szCs w:val="22"/>
              </w:rPr>
              <w:t>2.55</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520ECED"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04AF72A5"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EDD2972" w14:textId="77777777" w:rsidR="00480E11" w:rsidRDefault="00000000">
            <w:pPr>
              <w:widowControl w:val="0"/>
              <w:spacing w:after="0"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58BB529"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BB1A8F4" w14:textId="77777777" w:rsidR="00480E11" w:rsidRDefault="00000000">
            <w:pPr>
              <w:widowControl w:val="0"/>
              <w:spacing w:after="0" w:line="276" w:lineRule="auto"/>
              <w:jc w:val="right"/>
              <w:rPr>
                <w:rFonts w:ascii="Arial" w:eastAsia="Arial" w:hAnsi="Arial" w:cs="Arial"/>
                <w:sz w:val="20"/>
                <w:szCs w:val="20"/>
              </w:rPr>
            </w:pPr>
            <w:r>
              <w:rPr>
                <w:sz w:val="22"/>
                <w:szCs w:val="22"/>
              </w:rPr>
              <w:t>-2.02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9AB8848"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9824DE"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BCB5C60" w14:textId="77777777" w:rsidR="00480E11" w:rsidRDefault="00000000">
            <w:pPr>
              <w:widowControl w:val="0"/>
              <w:spacing w:after="0" w:line="276" w:lineRule="auto"/>
              <w:jc w:val="right"/>
              <w:rPr>
                <w:rFonts w:ascii="Arial" w:eastAsia="Arial" w:hAnsi="Arial" w:cs="Arial"/>
                <w:sz w:val="20"/>
                <w:szCs w:val="20"/>
              </w:rPr>
            </w:pPr>
            <w:r>
              <w:rPr>
                <w:sz w:val="22"/>
                <w:szCs w:val="22"/>
              </w:rPr>
              <w:t>-1.31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3A38EF1" w14:textId="77777777" w:rsidR="00480E11" w:rsidRDefault="00000000">
            <w:pPr>
              <w:widowControl w:val="0"/>
              <w:spacing w:after="0" w:line="276" w:lineRule="auto"/>
              <w:jc w:val="right"/>
              <w:rPr>
                <w:rFonts w:ascii="Arial" w:eastAsia="Arial" w:hAnsi="Arial" w:cs="Arial"/>
                <w:sz w:val="20"/>
                <w:szCs w:val="20"/>
              </w:rPr>
            </w:pPr>
            <w:r>
              <w:rPr>
                <w:sz w:val="22"/>
                <w:szCs w:val="22"/>
              </w:rPr>
              <w:t>0.19</w:t>
            </w:r>
          </w:p>
        </w:tc>
      </w:tr>
      <w:tr w:rsidR="00480E11" w14:paraId="49F69A7D"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9CDD52B" w14:textId="77777777" w:rsidR="00480E11" w:rsidRDefault="00000000">
            <w:pPr>
              <w:widowControl w:val="0"/>
              <w:spacing w:after="0"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77B96C"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411462B" w14:textId="77777777" w:rsidR="00480E11" w:rsidRDefault="00000000">
            <w:pPr>
              <w:widowControl w:val="0"/>
              <w:spacing w:after="0" w:line="276" w:lineRule="auto"/>
              <w:jc w:val="right"/>
              <w:rPr>
                <w:rFonts w:ascii="Arial" w:eastAsia="Arial" w:hAnsi="Arial" w:cs="Arial"/>
                <w:sz w:val="20"/>
                <w:szCs w:val="20"/>
              </w:rPr>
            </w:pPr>
            <w:r>
              <w:rPr>
                <w:sz w:val="22"/>
                <w:szCs w:val="22"/>
              </w:rPr>
              <w:t>0.13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5BDA29C" w14:textId="77777777" w:rsidR="00480E11" w:rsidRDefault="00000000">
            <w:pPr>
              <w:widowControl w:val="0"/>
              <w:spacing w:after="0" w:line="276" w:lineRule="auto"/>
              <w:jc w:val="right"/>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713FCFC"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4DD1FDF" w14:textId="77777777" w:rsidR="00480E11" w:rsidRDefault="00000000">
            <w:pPr>
              <w:widowControl w:val="0"/>
              <w:spacing w:after="0" w:line="276" w:lineRule="auto"/>
              <w:jc w:val="right"/>
              <w:rPr>
                <w:rFonts w:ascii="Arial" w:eastAsia="Arial" w:hAnsi="Arial" w:cs="Arial"/>
                <w:sz w:val="20"/>
                <w:szCs w:val="20"/>
              </w:rPr>
            </w:pPr>
            <w:r>
              <w:rPr>
                <w:sz w:val="22"/>
                <w:szCs w:val="22"/>
              </w:rPr>
              <w:t>1.60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21C7D0F" w14:textId="77777777" w:rsidR="00480E11" w:rsidRDefault="00000000">
            <w:pPr>
              <w:widowControl w:val="0"/>
              <w:spacing w:after="0" w:line="276" w:lineRule="auto"/>
              <w:jc w:val="right"/>
              <w:rPr>
                <w:rFonts w:ascii="Arial" w:eastAsia="Arial" w:hAnsi="Arial" w:cs="Arial"/>
                <w:sz w:val="20"/>
                <w:szCs w:val="20"/>
              </w:rPr>
            </w:pPr>
            <w:r>
              <w:rPr>
                <w:sz w:val="22"/>
                <w:szCs w:val="22"/>
              </w:rPr>
              <w:t>0.11</w:t>
            </w:r>
          </w:p>
        </w:tc>
      </w:tr>
      <w:tr w:rsidR="00480E11" w14:paraId="7356D965"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49198EF" w14:textId="77777777" w:rsidR="00480E11" w:rsidRDefault="00000000">
            <w:pPr>
              <w:widowControl w:val="0"/>
              <w:spacing w:after="0"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0A4D567"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E9B9C52" w14:textId="77777777" w:rsidR="00480E11" w:rsidRDefault="00000000">
            <w:pPr>
              <w:widowControl w:val="0"/>
              <w:spacing w:after="0" w:line="276" w:lineRule="auto"/>
              <w:jc w:val="right"/>
              <w:rPr>
                <w:rFonts w:ascii="Arial" w:eastAsia="Arial" w:hAnsi="Arial" w:cs="Arial"/>
                <w:sz w:val="20"/>
                <w:szCs w:val="20"/>
              </w:rPr>
            </w:pPr>
            <w:r>
              <w:rPr>
                <w:sz w:val="22"/>
                <w:szCs w:val="22"/>
              </w:rPr>
              <w:t>3.22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2C8CFB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CD50509"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32ED940" w14:textId="77777777" w:rsidR="00480E11" w:rsidRDefault="00000000">
            <w:pPr>
              <w:widowControl w:val="0"/>
              <w:spacing w:after="0" w:line="276" w:lineRule="auto"/>
              <w:jc w:val="right"/>
              <w:rPr>
                <w:rFonts w:ascii="Arial" w:eastAsia="Arial" w:hAnsi="Arial" w:cs="Arial"/>
                <w:sz w:val="20"/>
                <w:szCs w:val="20"/>
              </w:rPr>
            </w:pPr>
            <w:r>
              <w:rPr>
                <w:sz w:val="22"/>
                <w:szCs w:val="22"/>
              </w:rPr>
              <w:t>2.47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75141D2"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367CB67E" w14:textId="77777777" w:rsidTr="008015ED">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65DEFC2A" w14:textId="77777777" w:rsidR="00480E11" w:rsidRDefault="00000000">
            <w:pPr>
              <w:widowControl w:val="0"/>
              <w:spacing w:after="0" w:line="276" w:lineRule="auto"/>
              <w:rPr>
                <w:rFonts w:ascii="Arial" w:eastAsia="Arial" w:hAnsi="Arial" w:cs="Arial"/>
                <w:sz w:val="20"/>
                <w:szCs w:val="20"/>
              </w:rPr>
            </w:pPr>
            <w:r>
              <w:rPr>
                <w:sz w:val="22"/>
                <w:szCs w:val="22"/>
              </w:rPr>
              <w:t>Variance Equation</w:t>
            </w:r>
          </w:p>
        </w:tc>
      </w:tr>
      <w:tr w:rsidR="00480E11" w14:paraId="5AB7BE76"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971D471" w14:textId="77777777" w:rsidR="00480E11" w:rsidRDefault="00000000">
            <w:pPr>
              <w:widowControl w:val="0"/>
              <w:spacing w:after="0"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EFD6A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209C7B0" w14:textId="77777777" w:rsidR="00480E11" w:rsidRDefault="00000000">
            <w:pPr>
              <w:widowControl w:val="0"/>
              <w:spacing w:after="0" w:line="276" w:lineRule="auto"/>
              <w:jc w:val="right"/>
              <w:rPr>
                <w:rFonts w:ascii="Arial" w:eastAsia="Arial" w:hAnsi="Arial" w:cs="Arial"/>
                <w:sz w:val="20"/>
                <w:szCs w:val="20"/>
              </w:rPr>
            </w:pPr>
            <w:r>
              <w:rPr>
                <w:sz w:val="22"/>
                <w:szCs w:val="22"/>
              </w:rPr>
              <w:t>7.65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C3E85A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9B166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B7AECF" w14:textId="77777777" w:rsidR="00480E11" w:rsidRDefault="00000000">
            <w:pPr>
              <w:widowControl w:val="0"/>
              <w:spacing w:after="0" w:line="276" w:lineRule="auto"/>
              <w:jc w:val="right"/>
              <w:rPr>
                <w:rFonts w:ascii="Arial" w:eastAsia="Arial" w:hAnsi="Arial" w:cs="Arial"/>
                <w:sz w:val="20"/>
                <w:szCs w:val="20"/>
              </w:rPr>
            </w:pPr>
            <w:r>
              <w:rPr>
                <w:sz w:val="22"/>
                <w:szCs w:val="22"/>
              </w:rPr>
              <w:t>7.49</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76BA0DFE"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61B175DE"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6129201" w14:textId="77777777" w:rsidR="00480E11" w:rsidRDefault="00000000">
            <w:pPr>
              <w:widowControl w:val="0"/>
              <w:spacing w:after="0"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17801B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3E76D2E" w14:textId="77777777" w:rsidR="00480E11" w:rsidRDefault="00000000">
            <w:pPr>
              <w:widowControl w:val="0"/>
              <w:spacing w:after="0" w:line="276" w:lineRule="auto"/>
              <w:jc w:val="right"/>
              <w:rPr>
                <w:rFonts w:ascii="Arial" w:eastAsia="Arial" w:hAnsi="Arial" w:cs="Arial"/>
                <w:sz w:val="20"/>
                <w:szCs w:val="20"/>
              </w:rPr>
            </w:pPr>
            <w:r>
              <w:rPr>
                <w:sz w:val="22"/>
                <w:szCs w:val="22"/>
              </w:rPr>
              <w:t>3.63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054360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9AAA7B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2F07E75" w14:textId="77777777" w:rsidR="00480E11" w:rsidRDefault="00000000">
            <w:pPr>
              <w:widowControl w:val="0"/>
              <w:spacing w:after="0" w:line="276" w:lineRule="auto"/>
              <w:jc w:val="right"/>
              <w:rPr>
                <w:rFonts w:ascii="Arial" w:eastAsia="Arial" w:hAnsi="Arial" w:cs="Arial"/>
                <w:sz w:val="20"/>
                <w:szCs w:val="20"/>
              </w:rPr>
            </w:pPr>
            <w:r>
              <w:rPr>
                <w:sz w:val="22"/>
                <w:szCs w:val="22"/>
              </w:rPr>
              <w:t>3.41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F300EB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7DD0ECA0"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003BB5C" w14:textId="77777777" w:rsidR="00480E11" w:rsidRDefault="00000000">
            <w:pPr>
              <w:widowControl w:val="0"/>
              <w:spacing w:after="0"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379FF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300EE7F" w14:textId="77777777" w:rsidR="00480E11" w:rsidRDefault="00000000">
            <w:pPr>
              <w:widowControl w:val="0"/>
              <w:spacing w:after="0" w:line="276" w:lineRule="auto"/>
              <w:jc w:val="right"/>
              <w:rPr>
                <w:rFonts w:ascii="Arial" w:eastAsia="Arial" w:hAnsi="Arial" w:cs="Arial"/>
                <w:sz w:val="20"/>
                <w:szCs w:val="20"/>
              </w:rPr>
            </w:pPr>
            <w:r>
              <w:rPr>
                <w:sz w:val="22"/>
                <w:szCs w:val="22"/>
              </w:rPr>
              <w:t>3.25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5CA4C36"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CDA97C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FE4168" w14:textId="77777777" w:rsidR="00480E11" w:rsidRDefault="00000000">
            <w:pPr>
              <w:widowControl w:val="0"/>
              <w:spacing w:after="0" w:line="276" w:lineRule="auto"/>
              <w:jc w:val="right"/>
              <w:rPr>
                <w:rFonts w:ascii="Arial" w:eastAsia="Arial" w:hAnsi="Arial" w:cs="Arial"/>
                <w:sz w:val="20"/>
                <w:szCs w:val="20"/>
              </w:rPr>
            </w:pPr>
            <w:r>
              <w:rPr>
                <w:sz w:val="22"/>
                <w:szCs w:val="22"/>
              </w:rPr>
              <w:t>3.24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D1FF39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19A7DFAF"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312B13B" w14:textId="77777777" w:rsidR="00480E11" w:rsidRDefault="00000000">
            <w:pPr>
              <w:widowControl w:val="0"/>
              <w:spacing w:after="0"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260F0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21C7822" w14:textId="77777777" w:rsidR="00480E11" w:rsidRDefault="00000000">
            <w:pPr>
              <w:widowControl w:val="0"/>
              <w:spacing w:after="0" w:line="276" w:lineRule="auto"/>
              <w:jc w:val="right"/>
              <w:rPr>
                <w:rFonts w:ascii="Arial" w:eastAsia="Arial" w:hAnsi="Arial" w:cs="Arial"/>
                <w:sz w:val="20"/>
                <w:szCs w:val="20"/>
              </w:rPr>
            </w:pPr>
            <w:r>
              <w:rPr>
                <w:sz w:val="22"/>
                <w:szCs w:val="22"/>
              </w:rPr>
              <w:t>8.31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939875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F0A106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0238281" w14:textId="77777777" w:rsidR="00480E11" w:rsidRDefault="00000000">
            <w:pPr>
              <w:widowControl w:val="0"/>
              <w:spacing w:after="0" w:line="276" w:lineRule="auto"/>
              <w:jc w:val="right"/>
              <w:rPr>
                <w:rFonts w:ascii="Arial" w:eastAsia="Arial" w:hAnsi="Arial" w:cs="Arial"/>
                <w:sz w:val="20"/>
                <w:szCs w:val="20"/>
              </w:rPr>
            </w:pPr>
            <w:r>
              <w:rPr>
                <w:sz w:val="22"/>
                <w:szCs w:val="22"/>
              </w:rPr>
              <w:t>5.77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D524ED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50BC48D"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83CF1EC" w14:textId="77777777" w:rsidR="00480E11" w:rsidRDefault="00000000">
            <w:pPr>
              <w:widowControl w:val="0"/>
              <w:spacing w:after="0"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19D12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A79F759" w14:textId="77777777" w:rsidR="00480E11" w:rsidRDefault="00000000">
            <w:pPr>
              <w:widowControl w:val="0"/>
              <w:spacing w:after="0" w:line="276" w:lineRule="auto"/>
              <w:jc w:val="right"/>
              <w:rPr>
                <w:rFonts w:ascii="Arial" w:eastAsia="Arial" w:hAnsi="Arial" w:cs="Arial"/>
                <w:sz w:val="20"/>
                <w:szCs w:val="20"/>
              </w:rPr>
            </w:pPr>
            <w:r>
              <w:rPr>
                <w:sz w:val="22"/>
                <w:szCs w:val="22"/>
              </w:rPr>
              <w:t>2.42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412E8EC"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7E8C8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E245B3" w14:textId="77777777" w:rsidR="00480E11" w:rsidRDefault="00000000">
            <w:pPr>
              <w:widowControl w:val="0"/>
              <w:spacing w:after="0" w:line="276" w:lineRule="auto"/>
              <w:jc w:val="right"/>
              <w:rPr>
                <w:rFonts w:ascii="Arial" w:eastAsia="Arial" w:hAnsi="Arial" w:cs="Arial"/>
                <w:sz w:val="20"/>
                <w:szCs w:val="20"/>
              </w:rPr>
            </w:pPr>
            <w:r>
              <w:rPr>
                <w:sz w:val="22"/>
                <w:szCs w:val="22"/>
              </w:rPr>
              <w:t>2.34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498CD60"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r>
      <w:tr w:rsidR="00480E11" w14:paraId="793330A2"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F80258C" w14:textId="77777777" w:rsidR="00480E11" w:rsidRDefault="00000000">
            <w:pPr>
              <w:widowControl w:val="0"/>
              <w:spacing w:after="0"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2D3AE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C39C853" w14:textId="77777777" w:rsidR="00480E11" w:rsidRDefault="00000000">
            <w:pPr>
              <w:widowControl w:val="0"/>
              <w:spacing w:after="0" w:line="276" w:lineRule="auto"/>
              <w:jc w:val="right"/>
              <w:rPr>
                <w:rFonts w:ascii="Arial" w:eastAsia="Arial" w:hAnsi="Arial" w:cs="Arial"/>
                <w:sz w:val="20"/>
                <w:szCs w:val="20"/>
              </w:rPr>
            </w:pPr>
            <w:r>
              <w:rPr>
                <w:sz w:val="22"/>
                <w:szCs w:val="22"/>
              </w:rPr>
              <w:t>7.63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FC6DD2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1F52E6"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BBC15B2" w14:textId="77777777" w:rsidR="00480E11" w:rsidRDefault="00000000">
            <w:pPr>
              <w:widowControl w:val="0"/>
              <w:spacing w:after="0" w:line="276" w:lineRule="auto"/>
              <w:jc w:val="right"/>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9994D3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156B25A6"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DD9CE8" w14:textId="77777777" w:rsidR="00480E11" w:rsidRDefault="00000000">
            <w:pPr>
              <w:widowControl w:val="0"/>
              <w:spacing w:after="0"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FD9330B"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A8800C5" w14:textId="77777777" w:rsidR="00480E11" w:rsidRDefault="00000000">
            <w:pPr>
              <w:widowControl w:val="0"/>
              <w:spacing w:after="0" w:line="276" w:lineRule="auto"/>
              <w:jc w:val="right"/>
              <w:rPr>
                <w:rFonts w:ascii="Arial" w:eastAsia="Arial" w:hAnsi="Arial" w:cs="Arial"/>
                <w:sz w:val="20"/>
                <w:szCs w:val="20"/>
              </w:rPr>
            </w:pPr>
            <w:r>
              <w:rPr>
                <w:sz w:val="22"/>
                <w:szCs w:val="22"/>
              </w:rPr>
              <w:t>33.10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E923BE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B1067C0"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F692D5A" w14:textId="77777777" w:rsidR="00480E11" w:rsidRDefault="00000000">
            <w:pPr>
              <w:widowControl w:val="0"/>
              <w:spacing w:after="0" w:line="276" w:lineRule="auto"/>
              <w:jc w:val="right"/>
              <w:rPr>
                <w:rFonts w:ascii="Arial" w:eastAsia="Arial" w:hAnsi="Arial" w:cs="Arial"/>
                <w:sz w:val="20"/>
                <w:szCs w:val="20"/>
              </w:rPr>
            </w:pPr>
            <w:r>
              <w:rPr>
                <w:sz w:val="22"/>
                <w:szCs w:val="22"/>
              </w:rPr>
              <w:t>12.17</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0FDD89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4B044D18"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A901065" w14:textId="77777777" w:rsidR="00480E11" w:rsidRDefault="00000000">
            <w:pPr>
              <w:widowControl w:val="0"/>
              <w:spacing w:after="0" w:line="276" w:lineRule="auto"/>
              <w:rPr>
                <w:rFonts w:ascii="Arial" w:eastAsia="Arial" w:hAnsi="Arial" w:cs="Arial"/>
                <w:sz w:val="20"/>
                <w:szCs w:val="20"/>
              </w:rPr>
            </w:pPr>
            <w:r>
              <w:rPr>
                <w:sz w:val="22"/>
                <w:szCs w:val="22"/>
              </w:rPr>
              <w:t>A1(1,2)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3D1CA49"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24A12F5" w14:textId="77777777" w:rsidR="00480E11" w:rsidRDefault="00000000">
            <w:pPr>
              <w:widowControl w:val="0"/>
              <w:spacing w:after="0" w:line="276" w:lineRule="auto"/>
              <w:jc w:val="right"/>
              <w:rPr>
                <w:rFonts w:ascii="Arial" w:eastAsia="Arial" w:hAnsi="Arial" w:cs="Arial"/>
                <w:sz w:val="20"/>
                <w:szCs w:val="20"/>
              </w:rPr>
            </w:pPr>
            <w:r>
              <w:rPr>
                <w:sz w:val="22"/>
                <w:szCs w:val="22"/>
              </w:rPr>
              <w:t>8.80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EC622F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371440"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610A489" w14:textId="77777777" w:rsidR="00480E11" w:rsidRDefault="00000000">
            <w:pPr>
              <w:widowControl w:val="0"/>
              <w:spacing w:after="0" w:line="276" w:lineRule="auto"/>
              <w:jc w:val="right"/>
              <w:rPr>
                <w:rFonts w:ascii="Arial" w:eastAsia="Arial" w:hAnsi="Arial" w:cs="Arial"/>
                <w:sz w:val="20"/>
                <w:szCs w:val="20"/>
              </w:rPr>
            </w:pPr>
            <w:r>
              <w:rPr>
                <w:sz w:val="22"/>
                <w:szCs w:val="22"/>
              </w:rPr>
              <w:t>5.44</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784C19C"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3C97F9E"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F0E803C" w14:textId="77777777" w:rsidR="00480E11" w:rsidRDefault="00000000">
            <w:pPr>
              <w:widowControl w:val="0"/>
              <w:spacing w:after="0" w:line="276" w:lineRule="auto"/>
              <w:rPr>
                <w:rFonts w:ascii="Arial" w:eastAsia="Arial" w:hAnsi="Arial" w:cs="Arial"/>
                <w:sz w:val="20"/>
                <w:szCs w:val="20"/>
              </w:rPr>
            </w:pPr>
            <w:r>
              <w:rPr>
                <w:sz w:val="22"/>
                <w:szCs w:val="22"/>
              </w:rPr>
              <w:t>A1(1,3)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5A7AED"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C2ABD20" w14:textId="77777777" w:rsidR="00480E11" w:rsidRDefault="00000000">
            <w:pPr>
              <w:widowControl w:val="0"/>
              <w:spacing w:after="0" w:line="276" w:lineRule="auto"/>
              <w:jc w:val="right"/>
              <w:rPr>
                <w:rFonts w:ascii="Arial" w:eastAsia="Arial" w:hAnsi="Arial" w:cs="Arial"/>
                <w:sz w:val="20"/>
                <w:szCs w:val="20"/>
              </w:rPr>
            </w:pPr>
            <w:r>
              <w:rPr>
                <w:sz w:val="22"/>
                <w:szCs w:val="22"/>
              </w:rPr>
              <w:t>6.75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EA6451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BB5AD11"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3BD4F0D" w14:textId="77777777" w:rsidR="00480E11" w:rsidRDefault="00000000">
            <w:pPr>
              <w:widowControl w:val="0"/>
              <w:spacing w:after="0" w:line="276" w:lineRule="auto"/>
              <w:jc w:val="right"/>
              <w:rPr>
                <w:rFonts w:ascii="Arial" w:eastAsia="Arial" w:hAnsi="Arial" w:cs="Arial"/>
                <w:sz w:val="20"/>
                <w:szCs w:val="20"/>
              </w:rPr>
            </w:pPr>
            <w:r>
              <w:rPr>
                <w:sz w:val="22"/>
                <w:szCs w:val="22"/>
              </w:rPr>
              <w:t>4.91</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08E727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6BC599B2"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431A211" w14:textId="77777777" w:rsidR="00480E11" w:rsidRDefault="00000000">
            <w:pPr>
              <w:widowControl w:val="0"/>
              <w:spacing w:after="0"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2365EE" w14:textId="77777777" w:rsidR="00480E11" w:rsidRDefault="00000000">
            <w:pPr>
              <w:widowControl w:val="0"/>
              <w:spacing w:after="0" w:line="276" w:lineRule="auto"/>
              <w:jc w:val="right"/>
              <w:rPr>
                <w:rFonts w:ascii="Arial" w:eastAsia="Arial" w:hAnsi="Arial" w:cs="Arial"/>
                <w:sz w:val="20"/>
                <w:szCs w:val="20"/>
              </w:rPr>
            </w:pPr>
            <w:r>
              <w:rPr>
                <w:sz w:val="22"/>
                <w:szCs w:val="22"/>
              </w:rPr>
              <w:t>0.07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C0A29C2" w14:textId="77777777" w:rsidR="00480E11" w:rsidRDefault="00000000">
            <w:pPr>
              <w:widowControl w:val="0"/>
              <w:spacing w:after="0" w:line="276" w:lineRule="auto"/>
              <w:jc w:val="right"/>
              <w:rPr>
                <w:rFonts w:ascii="Arial" w:eastAsia="Arial" w:hAnsi="Arial" w:cs="Arial"/>
                <w:sz w:val="20"/>
                <w:szCs w:val="20"/>
              </w:rPr>
            </w:pPr>
            <w:r>
              <w:rPr>
                <w:sz w:val="22"/>
                <w:szCs w:val="22"/>
              </w:rPr>
              <w:t>21.98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CF0F09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498C2B" w14:textId="77777777" w:rsidR="00480E11" w:rsidRDefault="00000000">
            <w:pPr>
              <w:widowControl w:val="0"/>
              <w:spacing w:after="0" w:line="276" w:lineRule="auto"/>
              <w:jc w:val="right"/>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932EE1" w14:textId="77777777" w:rsidR="00480E11" w:rsidRDefault="00000000">
            <w:pPr>
              <w:widowControl w:val="0"/>
              <w:spacing w:after="0" w:line="276" w:lineRule="auto"/>
              <w:jc w:val="right"/>
              <w:rPr>
                <w:rFonts w:ascii="Arial" w:eastAsia="Arial" w:hAnsi="Arial" w:cs="Arial"/>
                <w:sz w:val="20"/>
                <w:szCs w:val="20"/>
              </w:rPr>
            </w:pPr>
            <w:r>
              <w:rPr>
                <w:sz w:val="22"/>
                <w:szCs w:val="22"/>
              </w:rPr>
              <w:t>12.10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0B7A3EB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060F9719"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6A634FB" w14:textId="77777777" w:rsidR="00480E11" w:rsidRDefault="00000000">
            <w:pPr>
              <w:widowControl w:val="0"/>
              <w:spacing w:after="0" w:line="276" w:lineRule="auto"/>
              <w:rPr>
                <w:rFonts w:ascii="Arial" w:eastAsia="Arial" w:hAnsi="Arial" w:cs="Arial"/>
                <w:sz w:val="20"/>
                <w:szCs w:val="20"/>
              </w:rPr>
            </w:pPr>
            <w:r>
              <w:rPr>
                <w:sz w:val="22"/>
                <w:szCs w:val="22"/>
              </w:rPr>
              <w:t>A1(2,3)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4B49A5"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054E4DB" w14:textId="77777777" w:rsidR="00480E11" w:rsidRDefault="00000000">
            <w:pPr>
              <w:widowControl w:val="0"/>
              <w:spacing w:after="0" w:line="276" w:lineRule="auto"/>
              <w:jc w:val="right"/>
              <w:rPr>
                <w:rFonts w:ascii="Arial" w:eastAsia="Arial" w:hAnsi="Arial" w:cs="Arial"/>
                <w:sz w:val="20"/>
                <w:szCs w:val="20"/>
              </w:rPr>
            </w:pPr>
            <w:r>
              <w:rPr>
                <w:sz w:val="22"/>
                <w:szCs w:val="22"/>
              </w:rPr>
              <w:t>5.54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3DC7BF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8C0F25"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42DA733" w14:textId="77777777" w:rsidR="00480E11" w:rsidRDefault="00000000">
            <w:pPr>
              <w:widowControl w:val="0"/>
              <w:spacing w:after="0" w:line="276" w:lineRule="auto"/>
              <w:jc w:val="right"/>
              <w:rPr>
                <w:rFonts w:ascii="Arial" w:eastAsia="Arial" w:hAnsi="Arial" w:cs="Arial"/>
                <w:sz w:val="20"/>
                <w:szCs w:val="20"/>
              </w:rPr>
            </w:pPr>
            <w:r>
              <w:rPr>
                <w:sz w:val="22"/>
                <w:szCs w:val="22"/>
              </w:rPr>
              <w:t>4.50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1674488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367C6304"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F246011" w14:textId="77777777" w:rsidR="00480E11" w:rsidRDefault="00000000">
            <w:pPr>
              <w:widowControl w:val="0"/>
              <w:spacing w:after="0"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18638AD"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5393026" w14:textId="77777777" w:rsidR="00480E11" w:rsidRDefault="00000000">
            <w:pPr>
              <w:widowControl w:val="0"/>
              <w:spacing w:after="0" w:line="276" w:lineRule="auto"/>
              <w:jc w:val="right"/>
              <w:rPr>
                <w:rFonts w:ascii="Arial" w:eastAsia="Arial" w:hAnsi="Arial" w:cs="Arial"/>
                <w:sz w:val="20"/>
                <w:szCs w:val="20"/>
              </w:rPr>
            </w:pPr>
            <w:r>
              <w:rPr>
                <w:sz w:val="22"/>
                <w:szCs w:val="22"/>
              </w:rPr>
              <w:t>11.74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DF8D97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BBF595"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BC95448" w14:textId="77777777" w:rsidR="00480E11" w:rsidRDefault="00000000">
            <w:pPr>
              <w:widowControl w:val="0"/>
              <w:spacing w:after="0" w:line="276" w:lineRule="auto"/>
              <w:jc w:val="right"/>
              <w:rPr>
                <w:rFonts w:ascii="Arial" w:eastAsia="Arial" w:hAnsi="Arial" w:cs="Arial"/>
                <w:sz w:val="20"/>
                <w:szCs w:val="20"/>
              </w:rPr>
            </w:pPr>
            <w:r>
              <w:rPr>
                <w:sz w:val="22"/>
                <w:szCs w:val="22"/>
              </w:rPr>
              <w:t>7.12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35B3317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6ABBE816"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CEF5550" w14:textId="77777777" w:rsidR="00480E11" w:rsidRDefault="00000000">
            <w:pPr>
              <w:widowControl w:val="0"/>
              <w:spacing w:after="0"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A8B521"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7398F60" w14:textId="77777777" w:rsidR="00480E11" w:rsidRDefault="00000000">
            <w:pPr>
              <w:widowControl w:val="0"/>
              <w:spacing w:after="0" w:line="276" w:lineRule="auto"/>
              <w:jc w:val="right"/>
              <w:rPr>
                <w:rFonts w:ascii="Arial" w:eastAsia="Arial" w:hAnsi="Arial" w:cs="Arial"/>
                <w:sz w:val="20"/>
                <w:szCs w:val="20"/>
              </w:rPr>
            </w:pPr>
            <w:r>
              <w:rPr>
                <w:sz w:val="22"/>
                <w:szCs w:val="22"/>
              </w:rPr>
              <w:t>1721.36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63E2E4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82B39D" w14:textId="77777777" w:rsidR="00480E11" w:rsidRDefault="00000000">
            <w:pPr>
              <w:widowControl w:val="0"/>
              <w:spacing w:after="0" w:line="276" w:lineRule="auto"/>
              <w:jc w:val="right"/>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33142A2" w14:textId="77777777" w:rsidR="00480E11" w:rsidRDefault="00000000">
            <w:pPr>
              <w:widowControl w:val="0"/>
              <w:spacing w:after="0" w:line="276" w:lineRule="auto"/>
              <w:jc w:val="right"/>
              <w:rPr>
                <w:rFonts w:ascii="Arial" w:eastAsia="Arial" w:hAnsi="Arial" w:cs="Arial"/>
                <w:sz w:val="20"/>
                <w:szCs w:val="20"/>
              </w:rPr>
            </w:pPr>
            <w:r>
              <w:rPr>
                <w:sz w:val="22"/>
                <w:szCs w:val="22"/>
              </w:rPr>
              <w:t>154.10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3D62E5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1A71A809"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5C38E33" w14:textId="77777777" w:rsidR="00480E11" w:rsidRDefault="00000000">
            <w:pPr>
              <w:widowControl w:val="0"/>
              <w:spacing w:after="0" w:line="276" w:lineRule="auto"/>
              <w:rPr>
                <w:rFonts w:ascii="Arial" w:eastAsia="Arial" w:hAnsi="Arial" w:cs="Arial"/>
                <w:sz w:val="20"/>
                <w:szCs w:val="20"/>
              </w:rPr>
            </w:pPr>
            <w:r>
              <w:rPr>
                <w:sz w:val="22"/>
                <w:szCs w:val="22"/>
              </w:rPr>
              <w:t>B1(1,2)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331E2E" w14:textId="77777777" w:rsidR="00480E11" w:rsidRDefault="00000000">
            <w:pPr>
              <w:widowControl w:val="0"/>
              <w:spacing w:after="0" w:line="276" w:lineRule="auto"/>
              <w:jc w:val="right"/>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619BAE2" w14:textId="77777777" w:rsidR="00480E11" w:rsidRDefault="00000000">
            <w:pPr>
              <w:widowControl w:val="0"/>
              <w:spacing w:after="0" w:line="276" w:lineRule="auto"/>
              <w:jc w:val="right"/>
              <w:rPr>
                <w:rFonts w:ascii="Arial" w:eastAsia="Arial" w:hAnsi="Arial" w:cs="Arial"/>
                <w:sz w:val="20"/>
                <w:szCs w:val="20"/>
              </w:rPr>
            </w:pPr>
            <w:r>
              <w:rPr>
                <w:sz w:val="22"/>
                <w:szCs w:val="22"/>
              </w:rPr>
              <w:t>326.64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423206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29FFBE0" w14:textId="77777777" w:rsidR="00480E11" w:rsidRDefault="00000000">
            <w:pPr>
              <w:widowControl w:val="0"/>
              <w:spacing w:after="0" w:line="276" w:lineRule="auto"/>
              <w:jc w:val="right"/>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8E60AB" w14:textId="77777777" w:rsidR="00480E11" w:rsidRDefault="00000000">
            <w:pPr>
              <w:widowControl w:val="0"/>
              <w:spacing w:after="0" w:line="276" w:lineRule="auto"/>
              <w:jc w:val="right"/>
              <w:rPr>
                <w:rFonts w:ascii="Arial" w:eastAsia="Arial" w:hAnsi="Arial" w:cs="Arial"/>
                <w:sz w:val="20"/>
                <w:szCs w:val="20"/>
              </w:rPr>
            </w:pPr>
            <w:r>
              <w:rPr>
                <w:sz w:val="22"/>
                <w:szCs w:val="22"/>
              </w:rPr>
              <w:t>129.10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71F64F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70874FAF"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5481340" w14:textId="77777777" w:rsidR="00480E11" w:rsidRDefault="00000000">
            <w:pPr>
              <w:widowControl w:val="0"/>
              <w:spacing w:after="0" w:line="276" w:lineRule="auto"/>
              <w:rPr>
                <w:rFonts w:ascii="Arial" w:eastAsia="Arial" w:hAnsi="Arial" w:cs="Arial"/>
                <w:sz w:val="20"/>
                <w:szCs w:val="20"/>
              </w:rPr>
            </w:pPr>
            <w:r>
              <w:rPr>
                <w:sz w:val="22"/>
                <w:szCs w:val="22"/>
              </w:rPr>
              <w:t>B1(1,3)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91737A6"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ABE9406" w14:textId="77777777" w:rsidR="00480E11" w:rsidRDefault="00000000">
            <w:pPr>
              <w:widowControl w:val="0"/>
              <w:spacing w:after="0" w:line="276" w:lineRule="auto"/>
              <w:jc w:val="right"/>
              <w:rPr>
                <w:rFonts w:ascii="Arial" w:eastAsia="Arial" w:hAnsi="Arial" w:cs="Arial"/>
                <w:sz w:val="20"/>
                <w:szCs w:val="20"/>
              </w:rPr>
            </w:pPr>
            <w:r>
              <w:rPr>
                <w:sz w:val="22"/>
                <w:szCs w:val="22"/>
              </w:rPr>
              <w:t>262.50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C419746"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B554440" w14:textId="77777777" w:rsidR="00480E11" w:rsidRDefault="00000000">
            <w:pPr>
              <w:widowControl w:val="0"/>
              <w:spacing w:after="0" w:line="276" w:lineRule="auto"/>
              <w:jc w:val="right"/>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12833B3" w14:textId="77777777" w:rsidR="00480E11" w:rsidRDefault="00000000">
            <w:pPr>
              <w:widowControl w:val="0"/>
              <w:spacing w:after="0" w:line="276" w:lineRule="auto"/>
              <w:jc w:val="right"/>
              <w:rPr>
                <w:rFonts w:ascii="Arial" w:eastAsia="Arial" w:hAnsi="Arial" w:cs="Arial"/>
                <w:sz w:val="20"/>
                <w:szCs w:val="20"/>
              </w:rPr>
            </w:pPr>
            <w:r>
              <w:rPr>
                <w:sz w:val="22"/>
                <w:szCs w:val="22"/>
              </w:rPr>
              <w:t>100.32</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2E543BC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9B2B701"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208E476" w14:textId="77777777" w:rsidR="00480E11" w:rsidRDefault="00000000">
            <w:pPr>
              <w:widowControl w:val="0"/>
              <w:spacing w:after="0"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A314E51" w14:textId="77777777" w:rsidR="00480E11" w:rsidRDefault="00000000">
            <w:pPr>
              <w:widowControl w:val="0"/>
              <w:spacing w:after="0" w:line="276" w:lineRule="auto"/>
              <w:jc w:val="right"/>
              <w:rPr>
                <w:rFonts w:ascii="Arial" w:eastAsia="Arial" w:hAnsi="Arial" w:cs="Arial"/>
                <w:sz w:val="20"/>
                <w:szCs w:val="20"/>
              </w:rPr>
            </w:pPr>
            <w:r>
              <w:rPr>
                <w:sz w:val="22"/>
                <w:szCs w:val="22"/>
              </w:rPr>
              <w:t>0.92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0967641" w14:textId="77777777" w:rsidR="00480E11" w:rsidRDefault="00000000">
            <w:pPr>
              <w:widowControl w:val="0"/>
              <w:spacing w:after="0" w:line="276" w:lineRule="auto"/>
              <w:jc w:val="right"/>
              <w:rPr>
                <w:rFonts w:ascii="Arial" w:eastAsia="Arial" w:hAnsi="Arial" w:cs="Arial"/>
                <w:sz w:val="20"/>
                <w:szCs w:val="20"/>
              </w:rPr>
            </w:pPr>
            <w:r>
              <w:rPr>
                <w:sz w:val="22"/>
                <w:szCs w:val="22"/>
              </w:rPr>
              <w:t>283.73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7438D2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8A0BF2" w14:textId="77777777" w:rsidR="00480E11" w:rsidRDefault="00000000">
            <w:pPr>
              <w:widowControl w:val="0"/>
              <w:spacing w:after="0" w:line="276" w:lineRule="auto"/>
              <w:jc w:val="right"/>
              <w:rPr>
                <w:rFonts w:ascii="Arial" w:eastAsia="Arial" w:hAnsi="Arial" w:cs="Arial"/>
                <w:sz w:val="20"/>
                <w:szCs w:val="20"/>
              </w:rPr>
            </w:pPr>
            <w:r>
              <w:rPr>
                <w:sz w:val="22"/>
                <w:szCs w:val="22"/>
              </w:rPr>
              <w:t>0.92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BF91E68" w14:textId="77777777" w:rsidR="00480E11" w:rsidRDefault="00000000">
            <w:pPr>
              <w:widowControl w:val="0"/>
              <w:spacing w:after="0" w:line="276" w:lineRule="auto"/>
              <w:jc w:val="right"/>
              <w:rPr>
                <w:rFonts w:ascii="Arial" w:eastAsia="Arial" w:hAnsi="Arial" w:cs="Arial"/>
                <w:sz w:val="20"/>
                <w:szCs w:val="20"/>
              </w:rPr>
            </w:pPr>
            <w:r>
              <w:rPr>
                <w:sz w:val="22"/>
                <w:szCs w:val="22"/>
              </w:rPr>
              <w:t>154.66</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6F1026F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6F325BCB" w14:textId="77777777" w:rsidTr="008015ED">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82377E8" w14:textId="77777777" w:rsidR="00480E11" w:rsidRDefault="00000000">
            <w:pPr>
              <w:widowControl w:val="0"/>
              <w:spacing w:after="0" w:line="276" w:lineRule="auto"/>
              <w:rPr>
                <w:rFonts w:ascii="Arial" w:eastAsia="Arial" w:hAnsi="Arial" w:cs="Arial"/>
                <w:sz w:val="20"/>
                <w:szCs w:val="20"/>
              </w:rPr>
            </w:pPr>
            <w:r>
              <w:rPr>
                <w:sz w:val="22"/>
                <w:szCs w:val="22"/>
              </w:rPr>
              <w:t>B1(2,3)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BBD141"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7577984" w14:textId="77777777" w:rsidR="00480E11" w:rsidRDefault="00000000">
            <w:pPr>
              <w:widowControl w:val="0"/>
              <w:spacing w:after="0" w:line="276" w:lineRule="auto"/>
              <w:jc w:val="right"/>
              <w:rPr>
                <w:rFonts w:ascii="Arial" w:eastAsia="Arial" w:hAnsi="Arial" w:cs="Arial"/>
                <w:sz w:val="20"/>
                <w:szCs w:val="20"/>
              </w:rPr>
            </w:pPr>
            <w:r>
              <w:rPr>
                <w:sz w:val="22"/>
                <w:szCs w:val="22"/>
              </w:rPr>
              <w:t>232.89</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1DD7AB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B8CBE9"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73B443" w14:textId="77777777" w:rsidR="00480E11" w:rsidRDefault="00000000">
            <w:pPr>
              <w:widowControl w:val="0"/>
              <w:spacing w:after="0" w:line="276" w:lineRule="auto"/>
              <w:jc w:val="right"/>
              <w:rPr>
                <w:rFonts w:ascii="Arial" w:eastAsia="Arial" w:hAnsi="Arial" w:cs="Arial"/>
                <w:sz w:val="20"/>
                <w:szCs w:val="20"/>
              </w:rPr>
            </w:pPr>
            <w:r>
              <w:rPr>
                <w:sz w:val="22"/>
                <w:szCs w:val="22"/>
              </w:rPr>
              <w:t>152.00</w:t>
            </w:r>
          </w:p>
        </w:tc>
        <w:tc>
          <w:tcPr>
            <w:tcW w:w="677" w:type="pct"/>
            <w:tcBorders>
              <w:top w:val="nil"/>
              <w:left w:val="nil"/>
              <w:bottom w:val="nil"/>
              <w:right w:val="nil"/>
            </w:tcBorders>
            <w:shd w:val="clear" w:color="auto" w:fill="auto"/>
            <w:tcMar>
              <w:top w:w="40" w:type="dxa"/>
              <w:left w:w="40" w:type="dxa"/>
              <w:bottom w:w="40" w:type="dxa"/>
              <w:right w:w="40" w:type="dxa"/>
            </w:tcMar>
            <w:vAlign w:val="bottom"/>
          </w:tcPr>
          <w:p w14:paraId="45D749A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147F4999" w14:textId="77777777" w:rsidTr="008015ED">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9F874CD" w14:textId="77777777" w:rsidR="00480E11" w:rsidRDefault="00000000">
            <w:pPr>
              <w:widowControl w:val="0"/>
              <w:spacing w:after="0"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BA5D8A1" w14:textId="77777777" w:rsidR="00480E11" w:rsidRDefault="00000000">
            <w:pPr>
              <w:widowControl w:val="0"/>
              <w:spacing w:after="0" w:line="276" w:lineRule="auto"/>
              <w:jc w:val="right"/>
              <w:rPr>
                <w:rFonts w:ascii="Arial" w:eastAsia="Arial" w:hAnsi="Arial" w:cs="Arial"/>
                <w:sz w:val="20"/>
                <w:szCs w:val="20"/>
              </w:rPr>
            </w:pPr>
            <w:r>
              <w:rPr>
                <w:sz w:val="22"/>
                <w:szCs w:val="22"/>
              </w:rPr>
              <w:t>0.94</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4747194" w14:textId="77777777" w:rsidR="00480E11" w:rsidRDefault="00000000">
            <w:pPr>
              <w:widowControl w:val="0"/>
              <w:spacing w:after="0" w:line="276" w:lineRule="auto"/>
              <w:jc w:val="right"/>
              <w:rPr>
                <w:rFonts w:ascii="Arial" w:eastAsia="Arial" w:hAnsi="Arial" w:cs="Arial"/>
                <w:sz w:val="20"/>
                <w:szCs w:val="20"/>
              </w:rPr>
            </w:pPr>
            <w:r>
              <w:rPr>
                <w:sz w:val="22"/>
                <w:szCs w:val="22"/>
              </w:rPr>
              <w:t>188.95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236137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F9631EC" w14:textId="77777777" w:rsidR="00480E11" w:rsidRDefault="00000000">
            <w:pPr>
              <w:widowControl w:val="0"/>
              <w:spacing w:after="0" w:line="276" w:lineRule="auto"/>
              <w:jc w:val="right"/>
              <w:rPr>
                <w:rFonts w:ascii="Arial" w:eastAsia="Arial" w:hAnsi="Arial" w:cs="Arial"/>
                <w:sz w:val="20"/>
                <w:szCs w:val="20"/>
              </w:rPr>
            </w:pPr>
            <w:r>
              <w:rPr>
                <w:sz w:val="22"/>
                <w:szCs w:val="22"/>
              </w:rPr>
              <w:t>0.94</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005F549" w14:textId="77777777" w:rsidR="00480E11" w:rsidRDefault="00000000">
            <w:pPr>
              <w:widowControl w:val="0"/>
              <w:spacing w:after="0" w:line="276" w:lineRule="auto"/>
              <w:jc w:val="right"/>
              <w:rPr>
                <w:rFonts w:ascii="Arial" w:eastAsia="Arial" w:hAnsi="Arial" w:cs="Arial"/>
                <w:sz w:val="20"/>
                <w:szCs w:val="20"/>
              </w:rPr>
            </w:pPr>
            <w:r>
              <w:rPr>
                <w:sz w:val="22"/>
                <w:szCs w:val="22"/>
              </w:rPr>
              <w:t>110.27</w:t>
            </w:r>
          </w:p>
        </w:tc>
        <w:tc>
          <w:tcPr>
            <w:tcW w:w="67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5F9FE77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bl>
    <w:p w14:paraId="735BD332" w14:textId="78A72DFE" w:rsidR="00542803" w:rsidRDefault="00542803" w:rsidP="00D44BF9"/>
    <w:p w14:paraId="4CC9906F" w14:textId="33734E53" w:rsidR="00480E11" w:rsidRDefault="00000000" w:rsidP="00F65113">
      <w:pPr>
        <w:jc w:val="center"/>
      </w:pPr>
      <w:r>
        <w:t>Table</w:t>
      </w:r>
      <w:r w:rsidR="007228CD">
        <w:t xml:space="preserve"> 8</w:t>
      </w:r>
      <w:r>
        <w:t xml:space="preserve">: </w:t>
      </w:r>
      <w:r w:rsidR="008424FB">
        <w:t xml:space="preserve">Digonal </w:t>
      </w:r>
      <w:r>
        <w:t>BEKK</w:t>
      </w:r>
    </w:p>
    <w:tbl>
      <w:tblPr>
        <w:tblStyle w:val="a6"/>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480E11" w14:paraId="23595C5C" w14:textId="77777777" w:rsidTr="00313F62">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BB6D441"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FF9AAF6" w14:textId="77777777" w:rsidR="00480E11" w:rsidRDefault="00000000">
            <w:pPr>
              <w:widowControl w:val="0"/>
              <w:spacing w:after="0" w:line="276" w:lineRule="auto"/>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8208832" w14:textId="77777777" w:rsidR="00480E11" w:rsidRDefault="00480E11">
            <w:pPr>
              <w:widowControl w:val="0"/>
              <w:spacing w:after="0" w:line="276" w:lineRule="auto"/>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63159E0F"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F5D929E" w14:textId="77777777" w:rsidR="00480E11" w:rsidRDefault="00000000">
            <w:pPr>
              <w:widowControl w:val="0"/>
              <w:spacing w:after="0" w:line="276" w:lineRule="auto"/>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53CEAA30"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A63D7C4" w14:textId="77777777" w:rsidR="00480E11" w:rsidRDefault="00480E11">
            <w:pPr>
              <w:widowControl w:val="0"/>
              <w:spacing w:after="0" w:line="276" w:lineRule="auto"/>
              <w:rPr>
                <w:rFonts w:ascii="Arial" w:eastAsia="Arial" w:hAnsi="Arial" w:cs="Arial"/>
                <w:sz w:val="20"/>
                <w:szCs w:val="20"/>
              </w:rPr>
            </w:pPr>
          </w:p>
        </w:tc>
      </w:tr>
      <w:tr w:rsidR="00480E11" w14:paraId="253C8AFA" w14:textId="77777777" w:rsidTr="00BE67EE">
        <w:trPr>
          <w:trHeight w:val="378"/>
        </w:trPr>
        <w:tc>
          <w:tcPr>
            <w:tcW w:w="761" w:type="pct"/>
            <w:tcBorders>
              <w:top w:val="nil"/>
              <w:left w:val="nil"/>
              <w:bottom w:val="nil"/>
              <w:right w:val="nil"/>
            </w:tcBorders>
            <w:tcMar>
              <w:top w:w="40" w:type="dxa"/>
              <w:left w:w="40" w:type="dxa"/>
              <w:bottom w:w="40" w:type="dxa"/>
              <w:right w:w="40" w:type="dxa"/>
            </w:tcMar>
            <w:vAlign w:val="bottom"/>
          </w:tcPr>
          <w:p w14:paraId="36390D50" w14:textId="77777777" w:rsidR="00480E11" w:rsidRDefault="00480E11">
            <w:pPr>
              <w:widowControl w:val="0"/>
              <w:spacing w:after="0"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45C09260" w14:textId="77777777" w:rsidR="00480E11" w:rsidRDefault="00000000">
            <w:pPr>
              <w:widowControl w:val="0"/>
              <w:spacing w:after="0" w:line="276" w:lineRule="auto"/>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07BC3E53" w14:textId="77777777" w:rsidR="00480E11" w:rsidRDefault="00000000">
            <w:pPr>
              <w:widowControl w:val="0"/>
              <w:spacing w:after="0" w:line="276" w:lineRule="auto"/>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5BAFBAA3" w14:textId="77777777" w:rsidR="00480E11" w:rsidRDefault="00000000">
            <w:pPr>
              <w:widowControl w:val="0"/>
              <w:spacing w:after="0" w:line="276" w:lineRule="auto"/>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7F97D9CD" w14:textId="77777777" w:rsidR="00480E11" w:rsidRDefault="00000000">
            <w:pPr>
              <w:widowControl w:val="0"/>
              <w:spacing w:after="0" w:line="276" w:lineRule="auto"/>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7F8B7E76" w14:textId="77777777" w:rsidR="00480E11" w:rsidRDefault="00000000">
            <w:pPr>
              <w:widowControl w:val="0"/>
              <w:spacing w:after="0" w:line="276" w:lineRule="auto"/>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257F71C6" w14:textId="77777777" w:rsidR="00480E11" w:rsidRDefault="00000000">
            <w:pPr>
              <w:widowControl w:val="0"/>
              <w:spacing w:after="0" w:line="276" w:lineRule="auto"/>
              <w:rPr>
                <w:rFonts w:ascii="Arial" w:eastAsia="Arial" w:hAnsi="Arial" w:cs="Arial"/>
                <w:sz w:val="20"/>
                <w:szCs w:val="20"/>
              </w:rPr>
            </w:pPr>
            <w:r>
              <w:rPr>
                <w:sz w:val="22"/>
                <w:szCs w:val="22"/>
              </w:rPr>
              <w:t>P-value</w:t>
            </w:r>
          </w:p>
        </w:tc>
      </w:tr>
      <w:tr w:rsidR="00480E11" w14:paraId="581F35EB" w14:textId="77777777" w:rsidTr="00313F62">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1EAC6EB1" w14:textId="77777777" w:rsidR="00480E11" w:rsidRDefault="00000000">
            <w:pPr>
              <w:widowControl w:val="0"/>
              <w:spacing w:after="0" w:line="276" w:lineRule="auto"/>
              <w:rPr>
                <w:rFonts w:ascii="Arial" w:eastAsia="Arial" w:hAnsi="Arial" w:cs="Arial"/>
                <w:sz w:val="20"/>
                <w:szCs w:val="20"/>
              </w:rPr>
            </w:pPr>
            <w:r>
              <w:rPr>
                <w:sz w:val="22"/>
                <w:szCs w:val="22"/>
              </w:rPr>
              <w:t>Mean Equation</w:t>
            </w:r>
          </w:p>
        </w:tc>
      </w:tr>
      <w:tr w:rsidR="00480E11" w14:paraId="2CE85426"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0646C5C" w14:textId="77777777" w:rsidR="00480E11" w:rsidRDefault="00000000">
            <w:pPr>
              <w:widowControl w:val="0"/>
              <w:spacing w:after="0"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9DE627"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2F93531D" w14:textId="77777777" w:rsidR="00480E11" w:rsidRDefault="00000000">
            <w:pPr>
              <w:widowControl w:val="0"/>
              <w:spacing w:after="0" w:line="276" w:lineRule="auto"/>
              <w:jc w:val="right"/>
              <w:rPr>
                <w:rFonts w:ascii="Arial" w:eastAsia="Arial" w:hAnsi="Arial" w:cs="Arial"/>
                <w:sz w:val="20"/>
                <w:szCs w:val="20"/>
              </w:rPr>
            </w:pPr>
            <w:r>
              <w:rPr>
                <w:sz w:val="22"/>
                <w:szCs w:val="22"/>
              </w:rPr>
              <w:t>0.81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1E85D6C" w14:textId="77777777" w:rsidR="00480E11" w:rsidRDefault="00000000">
            <w:pPr>
              <w:widowControl w:val="0"/>
              <w:spacing w:after="0" w:line="276" w:lineRule="auto"/>
              <w:jc w:val="right"/>
              <w:rPr>
                <w:rFonts w:ascii="Arial" w:eastAsia="Arial" w:hAnsi="Arial" w:cs="Arial"/>
                <w:sz w:val="20"/>
                <w:szCs w:val="20"/>
              </w:rPr>
            </w:pPr>
            <w:r>
              <w:rPr>
                <w:sz w:val="22"/>
                <w:szCs w:val="22"/>
              </w:rPr>
              <w:t>0.42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A54C29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0B8EF58" w14:textId="77777777" w:rsidR="00480E11" w:rsidRDefault="00000000">
            <w:pPr>
              <w:widowControl w:val="0"/>
              <w:spacing w:after="0" w:line="276" w:lineRule="auto"/>
              <w:jc w:val="right"/>
              <w:rPr>
                <w:rFonts w:ascii="Arial" w:eastAsia="Arial" w:hAnsi="Arial" w:cs="Arial"/>
                <w:sz w:val="20"/>
                <w:szCs w:val="20"/>
              </w:rPr>
            </w:pPr>
            <w:r>
              <w:rPr>
                <w:sz w:val="22"/>
                <w:szCs w:val="22"/>
              </w:rPr>
              <w:t>2.46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C2E56E"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52DD236F"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7F10F92" w14:textId="77777777" w:rsidR="00480E11" w:rsidRDefault="00000000">
            <w:pPr>
              <w:widowControl w:val="0"/>
              <w:spacing w:after="0"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5EF35B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4EDB4D4"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E3F1E0F" w14:textId="77777777" w:rsidR="00480E11" w:rsidRDefault="00000000">
            <w:pPr>
              <w:widowControl w:val="0"/>
              <w:spacing w:after="0" w:line="276" w:lineRule="auto"/>
              <w:jc w:val="right"/>
              <w:rPr>
                <w:rFonts w:ascii="Arial" w:eastAsia="Arial" w:hAnsi="Arial" w:cs="Arial"/>
                <w:sz w:val="20"/>
                <w:szCs w:val="20"/>
              </w:rPr>
            </w:pPr>
            <w:r>
              <w:rPr>
                <w:sz w:val="22"/>
                <w:szCs w:val="22"/>
              </w:rPr>
              <w:t>0.95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670CE49"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A6A022" w14:textId="77777777" w:rsidR="00480E11" w:rsidRDefault="00000000">
            <w:pPr>
              <w:widowControl w:val="0"/>
              <w:spacing w:after="0" w:line="276" w:lineRule="auto"/>
              <w:jc w:val="right"/>
              <w:rPr>
                <w:rFonts w:ascii="Arial" w:eastAsia="Arial" w:hAnsi="Arial" w:cs="Arial"/>
                <w:sz w:val="20"/>
                <w:szCs w:val="20"/>
              </w:rPr>
            </w:pPr>
            <w:r>
              <w:rPr>
                <w:sz w:val="22"/>
                <w:szCs w:val="22"/>
              </w:rPr>
              <w:t>-0.50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5A1B7C" w14:textId="77777777" w:rsidR="00480E11" w:rsidRDefault="00000000">
            <w:pPr>
              <w:widowControl w:val="0"/>
              <w:spacing w:after="0" w:line="276" w:lineRule="auto"/>
              <w:jc w:val="right"/>
              <w:rPr>
                <w:rFonts w:ascii="Arial" w:eastAsia="Arial" w:hAnsi="Arial" w:cs="Arial"/>
                <w:sz w:val="20"/>
                <w:szCs w:val="20"/>
              </w:rPr>
            </w:pPr>
            <w:r>
              <w:rPr>
                <w:sz w:val="22"/>
                <w:szCs w:val="22"/>
              </w:rPr>
              <w:t>0.62</w:t>
            </w:r>
          </w:p>
        </w:tc>
      </w:tr>
      <w:tr w:rsidR="00480E11" w14:paraId="2038598E"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8A54CCB" w14:textId="77777777" w:rsidR="00480E11" w:rsidRDefault="00000000">
            <w:pPr>
              <w:widowControl w:val="0"/>
              <w:spacing w:after="0"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7FB7B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6B73175" w14:textId="77777777" w:rsidR="00480E11" w:rsidRDefault="00000000">
            <w:pPr>
              <w:widowControl w:val="0"/>
              <w:spacing w:after="0" w:line="276" w:lineRule="auto"/>
              <w:jc w:val="right"/>
              <w:rPr>
                <w:rFonts w:ascii="Arial" w:eastAsia="Arial" w:hAnsi="Arial" w:cs="Arial"/>
                <w:sz w:val="20"/>
                <w:szCs w:val="20"/>
              </w:rPr>
            </w:pPr>
            <w:r>
              <w:rPr>
                <w:sz w:val="22"/>
                <w:szCs w:val="22"/>
              </w:rPr>
              <w:t>1.38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CF130C5" w14:textId="77777777" w:rsidR="00480E11" w:rsidRDefault="00000000">
            <w:pPr>
              <w:widowControl w:val="0"/>
              <w:spacing w:after="0" w:line="276" w:lineRule="auto"/>
              <w:jc w:val="right"/>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BE8B22E"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088CE4" w14:textId="77777777" w:rsidR="00480E11" w:rsidRDefault="00000000">
            <w:pPr>
              <w:widowControl w:val="0"/>
              <w:spacing w:after="0" w:line="276" w:lineRule="auto"/>
              <w:jc w:val="right"/>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11DC2C"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05EC440F"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CD060B2" w14:textId="77777777" w:rsidR="00480E11" w:rsidRDefault="00000000">
            <w:pPr>
              <w:widowControl w:val="0"/>
              <w:spacing w:after="0"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11A6AC6"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D7F0D29" w14:textId="77777777" w:rsidR="00480E11" w:rsidRDefault="00000000">
            <w:pPr>
              <w:widowControl w:val="0"/>
              <w:spacing w:after="0" w:line="276" w:lineRule="auto"/>
              <w:jc w:val="right"/>
              <w:rPr>
                <w:rFonts w:ascii="Arial" w:eastAsia="Arial" w:hAnsi="Arial" w:cs="Arial"/>
                <w:sz w:val="20"/>
                <w:szCs w:val="20"/>
              </w:rPr>
            </w:pPr>
            <w:r>
              <w:rPr>
                <w:sz w:val="22"/>
                <w:szCs w:val="22"/>
              </w:rPr>
              <w:t>-1.91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0E28D8EE" w14:textId="77777777" w:rsidR="00480E11" w:rsidRDefault="00000000">
            <w:pPr>
              <w:widowControl w:val="0"/>
              <w:spacing w:after="0" w:line="276" w:lineRule="auto"/>
              <w:jc w:val="right"/>
              <w:rPr>
                <w:rFonts w:ascii="Arial" w:eastAsia="Arial" w:hAnsi="Arial" w:cs="Arial"/>
                <w:sz w:val="20"/>
                <w:szCs w:val="20"/>
              </w:rPr>
            </w:pPr>
            <w:r>
              <w:rPr>
                <w:sz w:val="22"/>
                <w:szCs w:val="22"/>
              </w:rPr>
              <w:t>0.06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16DFD4"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9598CB" w14:textId="77777777" w:rsidR="00480E11" w:rsidRDefault="00000000">
            <w:pPr>
              <w:widowControl w:val="0"/>
              <w:spacing w:after="0" w:line="276" w:lineRule="auto"/>
              <w:jc w:val="right"/>
              <w:rPr>
                <w:rFonts w:ascii="Arial" w:eastAsia="Arial" w:hAnsi="Arial" w:cs="Arial"/>
                <w:sz w:val="20"/>
                <w:szCs w:val="20"/>
              </w:rPr>
            </w:pPr>
            <w:r>
              <w:rPr>
                <w:sz w:val="22"/>
                <w:szCs w:val="22"/>
              </w:rPr>
              <w:t>-1.38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134FE1" w14:textId="77777777" w:rsidR="00480E11" w:rsidRDefault="00000000">
            <w:pPr>
              <w:widowControl w:val="0"/>
              <w:spacing w:after="0" w:line="276" w:lineRule="auto"/>
              <w:jc w:val="right"/>
              <w:rPr>
                <w:rFonts w:ascii="Arial" w:eastAsia="Arial" w:hAnsi="Arial" w:cs="Arial"/>
                <w:sz w:val="20"/>
                <w:szCs w:val="20"/>
              </w:rPr>
            </w:pPr>
            <w:r>
              <w:rPr>
                <w:sz w:val="22"/>
                <w:szCs w:val="22"/>
              </w:rPr>
              <w:t>0.17</w:t>
            </w:r>
          </w:p>
        </w:tc>
      </w:tr>
      <w:tr w:rsidR="00480E11" w14:paraId="2109544A"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3FB9458" w14:textId="77777777" w:rsidR="00480E11" w:rsidRDefault="00000000">
            <w:pPr>
              <w:widowControl w:val="0"/>
              <w:spacing w:after="0"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76C3D7"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8440112"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3E9F405"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432D8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372382" w14:textId="77777777" w:rsidR="00480E11" w:rsidRDefault="00000000">
            <w:pPr>
              <w:widowControl w:val="0"/>
              <w:spacing w:after="0" w:line="276" w:lineRule="auto"/>
              <w:jc w:val="right"/>
              <w:rPr>
                <w:rFonts w:ascii="Arial" w:eastAsia="Arial" w:hAnsi="Arial" w:cs="Arial"/>
                <w:sz w:val="20"/>
                <w:szCs w:val="20"/>
              </w:rPr>
            </w:pPr>
            <w:r>
              <w:rPr>
                <w:sz w:val="22"/>
                <w:szCs w:val="22"/>
              </w:rPr>
              <w:t>1.60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35A0F4A" w14:textId="77777777" w:rsidR="00480E11" w:rsidRDefault="00000000">
            <w:pPr>
              <w:widowControl w:val="0"/>
              <w:spacing w:after="0" w:line="276" w:lineRule="auto"/>
              <w:jc w:val="right"/>
              <w:rPr>
                <w:rFonts w:ascii="Arial" w:eastAsia="Arial" w:hAnsi="Arial" w:cs="Arial"/>
                <w:sz w:val="20"/>
                <w:szCs w:val="20"/>
              </w:rPr>
            </w:pPr>
            <w:r>
              <w:rPr>
                <w:sz w:val="22"/>
                <w:szCs w:val="22"/>
              </w:rPr>
              <w:t>0.11</w:t>
            </w:r>
          </w:p>
        </w:tc>
      </w:tr>
      <w:tr w:rsidR="00480E11" w14:paraId="67ADC3B1"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DF35C84" w14:textId="77777777" w:rsidR="00480E11" w:rsidRDefault="00000000">
            <w:pPr>
              <w:widowControl w:val="0"/>
              <w:spacing w:after="0"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C3138A6"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7572C86" w14:textId="77777777" w:rsidR="00480E11" w:rsidRDefault="00000000">
            <w:pPr>
              <w:widowControl w:val="0"/>
              <w:spacing w:after="0" w:line="276" w:lineRule="auto"/>
              <w:jc w:val="right"/>
              <w:rPr>
                <w:rFonts w:ascii="Arial" w:eastAsia="Arial" w:hAnsi="Arial" w:cs="Arial"/>
                <w:sz w:val="20"/>
                <w:szCs w:val="20"/>
              </w:rPr>
            </w:pPr>
            <w:r>
              <w:rPr>
                <w:sz w:val="22"/>
                <w:szCs w:val="22"/>
              </w:rPr>
              <w:t>3.27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653B9A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506964F"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C12F97" w14:textId="77777777" w:rsidR="00480E11" w:rsidRDefault="00000000">
            <w:pPr>
              <w:widowControl w:val="0"/>
              <w:spacing w:after="0" w:line="276" w:lineRule="auto"/>
              <w:jc w:val="right"/>
              <w:rPr>
                <w:rFonts w:ascii="Arial" w:eastAsia="Arial" w:hAnsi="Arial" w:cs="Arial"/>
                <w:sz w:val="20"/>
                <w:szCs w:val="20"/>
              </w:rPr>
            </w:pPr>
            <w:r>
              <w:rPr>
                <w:sz w:val="22"/>
                <w:szCs w:val="22"/>
              </w:rPr>
              <w:t>2.45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4B73FF"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02D09A88" w14:textId="77777777" w:rsidTr="00313F62">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10395723" w14:textId="77777777" w:rsidR="00480E11" w:rsidRDefault="00000000">
            <w:pPr>
              <w:widowControl w:val="0"/>
              <w:spacing w:after="0" w:line="276" w:lineRule="auto"/>
              <w:rPr>
                <w:rFonts w:ascii="Arial" w:eastAsia="Arial" w:hAnsi="Arial" w:cs="Arial"/>
                <w:sz w:val="20"/>
                <w:szCs w:val="20"/>
              </w:rPr>
            </w:pPr>
            <w:r>
              <w:rPr>
                <w:sz w:val="22"/>
                <w:szCs w:val="22"/>
              </w:rPr>
              <w:t>Variance Equation</w:t>
            </w:r>
          </w:p>
        </w:tc>
      </w:tr>
      <w:tr w:rsidR="00480E11" w14:paraId="7938C3E6"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7C50B75" w14:textId="77777777" w:rsidR="00480E11" w:rsidRDefault="00000000">
            <w:pPr>
              <w:widowControl w:val="0"/>
              <w:spacing w:after="0" w:line="276" w:lineRule="auto"/>
              <w:rPr>
                <w:rFonts w:ascii="Arial" w:eastAsia="Arial" w:hAnsi="Arial" w:cs="Arial"/>
                <w:sz w:val="20"/>
                <w:szCs w:val="20"/>
              </w:rPr>
            </w:pPr>
            <w:r>
              <w:rPr>
                <w:sz w:val="22"/>
                <w:szCs w:val="22"/>
              </w:rPr>
              <w:t>M(1,1)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D5535E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90120A7" w14:textId="77777777" w:rsidR="00480E11" w:rsidRDefault="00000000">
            <w:pPr>
              <w:widowControl w:val="0"/>
              <w:spacing w:after="0" w:line="276" w:lineRule="auto"/>
              <w:jc w:val="right"/>
              <w:rPr>
                <w:rFonts w:ascii="Arial" w:eastAsia="Arial" w:hAnsi="Arial" w:cs="Arial"/>
                <w:sz w:val="20"/>
                <w:szCs w:val="20"/>
              </w:rPr>
            </w:pPr>
            <w:r>
              <w:rPr>
                <w:sz w:val="22"/>
                <w:szCs w:val="22"/>
              </w:rPr>
              <w:t>8.61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B4E82C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DFB090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295D5AA" w14:textId="77777777" w:rsidR="00480E11" w:rsidRDefault="00000000">
            <w:pPr>
              <w:widowControl w:val="0"/>
              <w:spacing w:after="0" w:line="276" w:lineRule="auto"/>
              <w:jc w:val="right"/>
              <w:rPr>
                <w:rFonts w:ascii="Arial" w:eastAsia="Arial" w:hAnsi="Arial" w:cs="Arial"/>
                <w:sz w:val="20"/>
                <w:szCs w:val="20"/>
              </w:rPr>
            </w:pPr>
            <w:r>
              <w:rPr>
                <w:sz w:val="22"/>
                <w:szCs w:val="22"/>
              </w:rPr>
              <w:t>7.30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932B43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A235D01"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1C03C8D" w14:textId="77777777" w:rsidR="00480E11" w:rsidRDefault="00000000">
            <w:pPr>
              <w:widowControl w:val="0"/>
              <w:spacing w:after="0" w:line="276" w:lineRule="auto"/>
              <w:rPr>
                <w:rFonts w:ascii="Arial" w:eastAsia="Arial" w:hAnsi="Arial" w:cs="Arial"/>
                <w:sz w:val="20"/>
                <w:szCs w:val="20"/>
              </w:rPr>
            </w:pPr>
            <w:r>
              <w:rPr>
                <w:sz w:val="22"/>
                <w:szCs w:val="22"/>
              </w:rPr>
              <w:t>M(1,2)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DFB99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FDF19C4" w14:textId="77777777" w:rsidR="00480E11" w:rsidRDefault="00000000">
            <w:pPr>
              <w:widowControl w:val="0"/>
              <w:spacing w:after="0" w:line="276" w:lineRule="auto"/>
              <w:jc w:val="right"/>
              <w:rPr>
                <w:rFonts w:ascii="Arial" w:eastAsia="Arial" w:hAnsi="Arial" w:cs="Arial"/>
                <w:sz w:val="20"/>
                <w:szCs w:val="20"/>
              </w:rPr>
            </w:pPr>
            <w:r>
              <w:rPr>
                <w:sz w:val="22"/>
                <w:szCs w:val="22"/>
              </w:rPr>
              <w:t>3.47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CEC341E"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C983A6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705D458" w14:textId="77777777" w:rsidR="00480E11" w:rsidRDefault="00000000">
            <w:pPr>
              <w:widowControl w:val="0"/>
              <w:spacing w:after="0" w:line="276" w:lineRule="auto"/>
              <w:jc w:val="right"/>
              <w:rPr>
                <w:rFonts w:ascii="Arial" w:eastAsia="Arial" w:hAnsi="Arial" w:cs="Arial"/>
                <w:sz w:val="20"/>
                <w:szCs w:val="20"/>
              </w:rPr>
            </w:pPr>
            <w:r>
              <w:rPr>
                <w:sz w:val="22"/>
                <w:szCs w:val="22"/>
              </w:rPr>
              <w:t>2.78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5AFF3A8"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34C738FC"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9B3DB90" w14:textId="77777777" w:rsidR="00480E11" w:rsidRDefault="00000000">
            <w:pPr>
              <w:widowControl w:val="0"/>
              <w:spacing w:after="0" w:line="276" w:lineRule="auto"/>
              <w:rPr>
                <w:rFonts w:ascii="Arial" w:eastAsia="Arial" w:hAnsi="Arial" w:cs="Arial"/>
                <w:sz w:val="20"/>
                <w:szCs w:val="20"/>
              </w:rPr>
            </w:pPr>
            <w:r>
              <w:rPr>
                <w:sz w:val="22"/>
                <w:szCs w:val="22"/>
              </w:rPr>
              <w:t>M(1,3)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3FAE1E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AB841EA" w14:textId="77777777" w:rsidR="00480E11" w:rsidRDefault="00000000">
            <w:pPr>
              <w:widowControl w:val="0"/>
              <w:spacing w:after="0" w:line="276" w:lineRule="auto"/>
              <w:jc w:val="right"/>
              <w:rPr>
                <w:rFonts w:ascii="Arial" w:eastAsia="Arial" w:hAnsi="Arial" w:cs="Arial"/>
                <w:sz w:val="20"/>
                <w:szCs w:val="20"/>
              </w:rPr>
            </w:pPr>
            <w:r>
              <w:rPr>
                <w:sz w:val="22"/>
                <w:szCs w:val="22"/>
              </w:rPr>
              <w:t>4.28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9C58B4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A7D9B8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FC57238" w14:textId="77777777" w:rsidR="00480E11" w:rsidRDefault="00000000">
            <w:pPr>
              <w:widowControl w:val="0"/>
              <w:spacing w:after="0" w:line="276" w:lineRule="auto"/>
              <w:jc w:val="right"/>
              <w:rPr>
                <w:rFonts w:ascii="Arial" w:eastAsia="Arial" w:hAnsi="Arial" w:cs="Arial"/>
                <w:sz w:val="20"/>
                <w:szCs w:val="20"/>
              </w:rPr>
            </w:pPr>
            <w:r>
              <w:rPr>
                <w:sz w:val="22"/>
                <w:szCs w:val="22"/>
              </w:rPr>
              <w:t>3.93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4BBD42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2798024A"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59E1DA56" w14:textId="77777777" w:rsidR="00480E11" w:rsidRDefault="00000000">
            <w:pPr>
              <w:widowControl w:val="0"/>
              <w:spacing w:after="0" w:line="276" w:lineRule="auto"/>
              <w:rPr>
                <w:rFonts w:ascii="Arial" w:eastAsia="Arial" w:hAnsi="Arial" w:cs="Arial"/>
                <w:sz w:val="20"/>
                <w:szCs w:val="20"/>
              </w:rPr>
            </w:pPr>
            <w:r>
              <w:rPr>
                <w:sz w:val="22"/>
                <w:szCs w:val="22"/>
              </w:rPr>
              <w:t>M(2,2)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81F75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CF9FC13" w14:textId="77777777" w:rsidR="00480E11" w:rsidRDefault="00000000">
            <w:pPr>
              <w:widowControl w:val="0"/>
              <w:spacing w:after="0" w:line="276" w:lineRule="auto"/>
              <w:jc w:val="right"/>
              <w:rPr>
                <w:rFonts w:ascii="Arial" w:eastAsia="Arial" w:hAnsi="Arial" w:cs="Arial"/>
                <w:sz w:val="20"/>
                <w:szCs w:val="20"/>
              </w:rPr>
            </w:pPr>
            <w:r>
              <w:rPr>
                <w:sz w:val="22"/>
                <w:szCs w:val="22"/>
              </w:rPr>
              <w:t>8.52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D48455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98C55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7D67C6E" w14:textId="77777777" w:rsidR="00480E11" w:rsidRDefault="00000000">
            <w:pPr>
              <w:widowControl w:val="0"/>
              <w:spacing w:after="0" w:line="276" w:lineRule="auto"/>
              <w:jc w:val="right"/>
              <w:rPr>
                <w:rFonts w:ascii="Arial" w:eastAsia="Arial" w:hAnsi="Arial" w:cs="Arial"/>
                <w:sz w:val="20"/>
                <w:szCs w:val="20"/>
              </w:rPr>
            </w:pPr>
            <w:r>
              <w:rPr>
                <w:sz w:val="22"/>
                <w:szCs w:val="22"/>
              </w:rPr>
              <w:t>6.44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707727"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2F518845"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D9C92AC" w14:textId="77777777" w:rsidR="00480E11" w:rsidRDefault="00000000">
            <w:pPr>
              <w:widowControl w:val="0"/>
              <w:spacing w:after="0" w:line="276" w:lineRule="auto"/>
              <w:rPr>
                <w:rFonts w:ascii="Arial" w:eastAsia="Arial" w:hAnsi="Arial" w:cs="Arial"/>
                <w:sz w:val="20"/>
                <w:szCs w:val="20"/>
              </w:rPr>
            </w:pPr>
            <w:r>
              <w:rPr>
                <w:sz w:val="22"/>
                <w:szCs w:val="22"/>
              </w:rPr>
              <w:t>M(2,3)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B3966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69D6639" w14:textId="77777777" w:rsidR="00480E11" w:rsidRDefault="00000000">
            <w:pPr>
              <w:widowControl w:val="0"/>
              <w:spacing w:after="0" w:line="276" w:lineRule="auto"/>
              <w:jc w:val="right"/>
              <w:rPr>
                <w:rFonts w:ascii="Arial" w:eastAsia="Arial" w:hAnsi="Arial" w:cs="Arial"/>
                <w:sz w:val="20"/>
                <w:szCs w:val="20"/>
              </w:rPr>
            </w:pPr>
            <w:r>
              <w:rPr>
                <w:sz w:val="22"/>
                <w:szCs w:val="22"/>
              </w:rPr>
              <w:t>3.46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F67882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DE114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F49F94F" w14:textId="77777777" w:rsidR="00480E11" w:rsidRDefault="00000000">
            <w:pPr>
              <w:widowControl w:val="0"/>
              <w:spacing w:after="0" w:line="276" w:lineRule="auto"/>
              <w:jc w:val="right"/>
              <w:rPr>
                <w:rFonts w:ascii="Arial" w:eastAsia="Arial" w:hAnsi="Arial" w:cs="Arial"/>
                <w:sz w:val="20"/>
                <w:szCs w:val="20"/>
              </w:rPr>
            </w:pPr>
            <w:r>
              <w:rPr>
                <w:sz w:val="22"/>
                <w:szCs w:val="22"/>
              </w:rPr>
              <w:t>3.45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3EE12B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D04B1AA"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5E58DF7" w14:textId="77777777" w:rsidR="00480E11" w:rsidRDefault="00000000">
            <w:pPr>
              <w:widowControl w:val="0"/>
              <w:spacing w:after="0" w:line="276" w:lineRule="auto"/>
              <w:rPr>
                <w:rFonts w:ascii="Arial" w:eastAsia="Arial" w:hAnsi="Arial" w:cs="Arial"/>
                <w:sz w:val="20"/>
                <w:szCs w:val="20"/>
              </w:rPr>
            </w:pPr>
            <w:r>
              <w:rPr>
                <w:sz w:val="22"/>
                <w:szCs w:val="22"/>
              </w:rPr>
              <w:t>M(3,3)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28420D6"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1EC7EFF" w14:textId="77777777" w:rsidR="00480E11" w:rsidRDefault="00000000">
            <w:pPr>
              <w:widowControl w:val="0"/>
              <w:spacing w:after="0" w:line="276" w:lineRule="auto"/>
              <w:jc w:val="right"/>
              <w:rPr>
                <w:rFonts w:ascii="Arial" w:eastAsia="Arial" w:hAnsi="Arial" w:cs="Arial"/>
                <w:sz w:val="20"/>
                <w:szCs w:val="20"/>
              </w:rPr>
            </w:pPr>
            <w:r>
              <w:rPr>
                <w:sz w:val="22"/>
                <w:szCs w:val="22"/>
              </w:rPr>
              <w:t>7.55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D0BA87"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A90A83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A92BB72" w14:textId="77777777" w:rsidR="00480E11" w:rsidRDefault="00000000">
            <w:pPr>
              <w:widowControl w:val="0"/>
              <w:spacing w:after="0" w:line="276" w:lineRule="auto"/>
              <w:jc w:val="right"/>
              <w:rPr>
                <w:rFonts w:ascii="Arial" w:eastAsia="Arial" w:hAnsi="Arial" w:cs="Arial"/>
                <w:sz w:val="20"/>
                <w:szCs w:val="20"/>
              </w:rPr>
            </w:pPr>
            <w:r>
              <w:rPr>
                <w:sz w:val="22"/>
                <w:szCs w:val="22"/>
              </w:rPr>
              <w:t>4.91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2DE05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450FCFBA"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8209FDA" w14:textId="77777777" w:rsidR="00480E11" w:rsidRDefault="00000000">
            <w:pPr>
              <w:widowControl w:val="0"/>
              <w:spacing w:after="0" w:line="276" w:lineRule="auto"/>
              <w:rPr>
                <w:rFonts w:ascii="Arial" w:eastAsia="Arial" w:hAnsi="Arial" w:cs="Arial"/>
                <w:sz w:val="20"/>
                <w:szCs w:val="20"/>
              </w:rPr>
            </w:pPr>
            <w:r>
              <w:rPr>
                <w:sz w:val="22"/>
                <w:szCs w:val="22"/>
              </w:rPr>
              <w:t>A1(1,1)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6A1208C" w14:textId="77777777" w:rsidR="00480E11" w:rsidRDefault="00000000">
            <w:pPr>
              <w:widowControl w:val="0"/>
              <w:spacing w:after="0" w:line="276" w:lineRule="auto"/>
              <w:jc w:val="right"/>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E6A7718" w14:textId="77777777" w:rsidR="00480E11" w:rsidRDefault="00000000">
            <w:pPr>
              <w:widowControl w:val="0"/>
              <w:spacing w:after="0" w:line="276" w:lineRule="auto"/>
              <w:jc w:val="right"/>
              <w:rPr>
                <w:rFonts w:ascii="Arial" w:eastAsia="Arial" w:hAnsi="Arial" w:cs="Arial"/>
                <w:sz w:val="20"/>
                <w:szCs w:val="20"/>
              </w:rPr>
            </w:pPr>
            <w:r>
              <w:rPr>
                <w:sz w:val="22"/>
                <w:szCs w:val="22"/>
              </w:rPr>
              <w:t>67.16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567C49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8EC90EA" w14:textId="77777777" w:rsidR="00480E11" w:rsidRDefault="00000000">
            <w:pPr>
              <w:widowControl w:val="0"/>
              <w:spacing w:after="0" w:line="276" w:lineRule="auto"/>
              <w:jc w:val="right"/>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6806195" w14:textId="77777777" w:rsidR="00480E11" w:rsidRDefault="00000000">
            <w:pPr>
              <w:widowControl w:val="0"/>
              <w:spacing w:after="0" w:line="276" w:lineRule="auto"/>
              <w:jc w:val="right"/>
              <w:rPr>
                <w:rFonts w:ascii="Arial" w:eastAsia="Arial" w:hAnsi="Arial" w:cs="Arial"/>
                <w:sz w:val="20"/>
                <w:szCs w:val="20"/>
              </w:rPr>
            </w:pPr>
            <w:r>
              <w:rPr>
                <w:sz w:val="22"/>
                <w:szCs w:val="22"/>
              </w:rPr>
              <w:t>25.41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2C85A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03AC97F"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AA0E2AC" w14:textId="77777777" w:rsidR="00480E11" w:rsidRDefault="00000000">
            <w:pPr>
              <w:widowControl w:val="0"/>
              <w:spacing w:after="0" w:line="276" w:lineRule="auto"/>
              <w:rPr>
                <w:rFonts w:ascii="Arial" w:eastAsia="Arial" w:hAnsi="Arial" w:cs="Arial"/>
                <w:sz w:val="20"/>
                <w:szCs w:val="20"/>
              </w:rPr>
            </w:pPr>
            <w:r>
              <w:rPr>
                <w:sz w:val="22"/>
                <w:szCs w:val="22"/>
              </w:rPr>
              <w:t>A1(2,2)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9249AA1" w14:textId="77777777" w:rsidR="00480E11" w:rsidRDefault="00000000">
            <w:pPr>
              <w:widowControl w:val="0"/>
              <w:spacing w:after="0" w:line="276" w:lineRule="auto"/>
              <w:jc w:val="right"/>
              <w:rPr>
                <w:rFonts w:ascii="Arial" w:eastAsia="Arial" w:hAnsi="Arial" w:cs="Arial"/>
                <w:sz w:val="20"/>
                <w:szCs w:val="20"/>
              </w:rPr>
            </w:pPr>
            <w:r>
              <w:rPr>
                <w:sz w:val="22"/>
                <w:szCs w:val="22"/>
              </w:rPr>
              <w:t>0.25</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C4CEA87" w14:textId="77777777" w:rsidR="00480E11" w:rsidRDefault="00000000">
            <w:pPr>
              <w:widowControl w:val="0"/>
              <w:spacing w:after="0" w:line="276" w:lineRule="auto"/>
              <w:jc w:val="right"/>
              <w:rPr>
                <w:rFonts w:ascii="Arial" w:eastAsia="Arial" w:hAnsi="Arial" w:cs="Arial"/>
                <w:sz w:val="20"/>
                <w:szCs w:val="20"/>
              </w:rPr>
            </w:pPr>
            <w:r>
              <w:rPr>
                <w:sz w:val="22"/>
                <w:szCs w:val="22"/>
              </w:rPr>
              <w:t>45.60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DCE274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8C6319A" w14:textId="77777777" w:rsidR="00480E11" w:rsidRDefault="00000000">
            <w:pPr>
              <w:widowControl w:val="0"/>
              <w:spacing w:after="0" w:line="276" w:lineRule="auto"/>
              <w:jc w:val="right"/>
              <w:rPr>
                <w:rFonts w:ascii="Arial" w:eastAsia="Arial" w:hAnsi="Arial" w:cs="Arial"/>
                <w:sz w:val="20"/>
                <w:szCs w:val="20"/>
              </w:rPr>
            </w:pPr>
            <w:r>
              <w:rPr>
                <w:sz w:val="22"/>
                <w:szCs w:val="22"/>
              </w:rPr>
              <w:t>0.25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669B41D" w14:textId="77777777" w:rsidR="00480E11" w:rsidRDefault="00000000">
            <w:pPr>
              <w:widowControl w:val="0"/>
              <w:spacing w:after="0" w:line="276" w:lineRule="auto"/>
              <w:jc w:val="right"/>
              <w:rPr>
                <w:rFonts w:ascii="Arial" w:eastAsia="Arial" w:hAnsi="Arial" w:cs="Arial"/>
                <w:sz w:val="20"/>
                <w:szCs w:val="20"/>
              </w:rPr>
            </w:pPr>
            <w:r>
              <w:rPr>
                <w:sz w:val="22"/>
                <w:szCs w:val="22"/>
              </w:rPr>
              <w:t>24.67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2FAE3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272789D8"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A50E759" w14:textId="77777777" w:rsidR="00480E11" w:rsidRDefault="00000000">
            <w:pPr>
              <w:widowControl w:val="0"/>
              <w:spacing w:after="0" w:line="276" w:lineRule="auto"/>
              <w:rPr>
                <w:rFonts w:ascii="Arial" w:eastAsia="Arial" w:hAnsi="Arial" w:cs="Arial"/>
                <w:sz w:val="20"/>
                <w:szCs w:val="20"/>
              </w:rPr>
            </w:pPr>
            <w:r>
              <w:rPr>
                <w:sz w:val="22"/>
                <w:szCs w:val="22"/>
              </w:rPr>
              <w:t>A1(3,3)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C835D9" w14:textId="77777777" w:rsidR="00480E11" w:rsidRDefault="00000000">
            <w:pPr>
              <w:widowControl w:val="0"/>
              <w:spacing w:after="0" w:line="276" w:lineRule="auto"/>
              <w:jc w:val="right"/>
              <w:rPr>
                <w:rFonts w:ascii="Arial" w:eastAsia="Arial" w:hAnsi="Arial" w:cs="Arial"/>
                <w:sz w:val="20"/>
                <w:szCs w:val="20"/>
              </w:rPr>
            </w:pPr>
            <w:r>
              <w:rPr>
                <w:sz w:val="22"/>
                <w:szCs w:val="22"/>
              </w:rPr>
              <w:t>0.16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7C68AB0" w14:textId="77777777" w:rsidR="00480E11" w:rsidRDefault="00000000">
            <w:pPr>
              <w:widowControl w:val="0"/>
              <w:spacing w:after="0" w:line="276" w:lineRule="auto"/>
              <w:jc w:val="right"/>
              <w:rPr>
                <w:rFonts w:ascii="Arial" w:eastAsia="Arial" w:hAnsi="Arial" w:cs="Arial"/>
                <w:sz w:val="20"/>
                <w:szCs w:val="20"/>
              </w:rPr>
            </w:pPr>
            <w:r>
              <w:rPr>
                <w:sz w:val="22"/>
                <w:szCs w:val="22"/>
              </w:rPr>
              <w:t>22.67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6C37F5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FA15AF" w14:textId="77777777" w:rsidR="00480E11" w:rsidRDefault="00000000">
            <w:pPr>
              <w:widowControl w:val="0"/>
              <w:spacing w:after="0" w:line="276" w:lineRule="auto"/>
              <w:jc w:val="right"/>
              <w:rPr>
                <w:rFonts w:ascii="Arial" w:eastAsia="Arial" w:hAnsi="Arial" w:cs="Arial"/>
                <w:sz w:val="20"/>
                <w:szCs w:val="20"/>
              </w:rPr>
            </w:pPr>
            <w:r>
              <w:rPr>
                <w:sz w:val="22"/>
                <w:szCs w:val="22"/>
              </w:rPr>
              <w:t>0.15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1EC0ED" w14:textId="77777777" w:rsidR="00480E11" w:rsidRDefault="00000000">
            <w:pPr>
              <w:widowControl w:val="0"/>
              <w:spacing w:after="0" w:line="276" w:lineRule="auto"/>
              <w:jc w:val="right"/>
              <w:rPr>
                <w:rFonts w:ascii="Arial" w:eastAsia="Arial" w:hAnsi="Arial" w:cs="Arial"/>
                <w:sz w:val="20"/>
                <w:szCs w:val="20"/>
              </w:rPr>
            </w:pPr>
            <w:r>
              <w:rPr>
                <w:sz w:val="22"/>
                <w:szCs w:val="22"/>
              </w:rPr>
              <w:t>14.33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BDC2295"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7CFA4070"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2DFE389" w14:textId="77777777" w:rsidR="00480E11" w:rsidRDefault="00000000">
            <w:pPr>
              <w:widowControl w:val="0"/>
              <w:spacing w:after="0" w:line="276" w:lineRule="auto"/>
              <w:rPr>
                <w:rFonts w:ascii="Arial" w:eastAsia="Arial" w:hAnsi="Arial" w:cs="Arial"/>
                <w:sz w:val="20"/>
                <w:szCs w:val="20"/>
              </w:rPr>
            </w:pPr>
            <w:r>
              <w:rPr>
                <w:sz w:val="22"/>
                <w:szCs w:val="22"/>
              </w:rPr>
              <w:t>B1(1,1)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228BDDC" w14:textId="77777777" w:rsidR="00480E11" w:rsidRDefault="00000000">
            <w:pPr>
              <w:widowControl w:val="0"/>
              <w:spacing w:after="0" w:line="276" w:lineRule="auto"/>
              <w:jc w:val="right"/>
              <w:rPr>
                <w:rFonts w:ascii="Arial" w:eastAsia="Arial" w:hAnsi="Arial" w:cs="Arial"/>
                <w:sz w:val="20"/>
                <w:szCs w:val="20"/>
              </w:rPr>
            </w:pPr>
            <w:r>
              <w:rPr>
                <w:sz w:val="22"/>
                <w:szCs w:val="22"/>
              </w:rPr>
              <w:t>0.99</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0087884" w14:textId="77777777" w:rsidR="00480E11" w:rsidRDefault="00000000">
            <w:pPr>
              <w:widowControl w:val="0"/>
              <w:spacing w:after="0" w:line="276" w:lineRule="auto"/>
              <w:jc w:val="right"/>
              <w:rPr>
                <w:rFonts w:ascii="Arial" w:eastAsia="Arial" w:hAnsi="Arial" w:cs="Arial"/>
                <w:sz w:val="20"/>
                <w:szCs w:val="20"/>
              </w:rPr>
            </w:pPr>
            <w:r>
              <w:rPr>
                <w:sz w:val="22"/>
                <w:szCs w:val="22"/>
              </w:rPr>
              <w:t>3671.72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004206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5B7E43" w14:textId="77777777" w:rsidR="00480E11" w:rsidRDefault="00000000">
            <w:pPr>
              <w:widowControl w:val="0"/>
              <w:spacing w:after="0" w:line="276" w:lineRule="auto"/>
              <w:jc w:val="right"/>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07A0F6" w14:textId="77777777" w:rsidR="00480E11" w:rsidRDefault="00000000">
            <w:pPr>
              <w:widowControl w:val="0"/>
              <w:spacing w:after="0" w:line="276" w:lineRule="auto"/>
              <w:jc w:val="right"/>
              <w:rPr>
                <w:rFonts w:ascii="Arial" w:eastAsia="Arial" w:hAnsi="Arial" w:cs="Arial"/>
                <w:sz w:val="20"/>
                <w:szCs w:val="20"/>
              </w:rPr>
            </w:pPr>
            <w:r>
              <w:rPr>
                <w:sz w:val="22"/>
                <w:szCs w:val="22"/>
              </w:rPr>
              <w:t>642.66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DB6E84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0F0D9DFA" w14:textId="77777777" w:rsidTr="00313F62">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786F58F" w14:textId="77777777" w:rsidR="00480E11" w:rsidRDefault="00000000">
            <w:pPr>
              <w:widowControl w:val="0"/>
              <w:spacing w:after="0" w:line="276" w:lineRule="auto"/>
              <w:rPr>
                <w:rFonts w:ascii="Arial" w:eastAsia="Arial" w:hAnsi="Arial" w:cs="Arial"/>
                <w:sz w:val="20"/>
                <w:szCs w:val="20"/>
              </w:rPr>
            </w:pPr>
            <w:r>
              <w:rPr>
                <w:sz w:val="22"/>
                <w:szCs w:val="22"/>
              </w:rPr>
              <w:t>B1(2,2)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F8745F0" w14:textId="77777777" w:rsidR="00480E11" w:rsidRDefault="00000000">
            <w:pPr>
              <w:widowControl w:val="0"/>
              <w:spacing w:after="0" w:line="276" w:lineRule="auto"/>
              <w:jc w:val="right"/>
              <w:rPr>
                <w:rFonts w:ascii="Arial" w:eastAsia="Arial" w:hAnsi="Arial" w:cs="Arial"/>
                <w:sz w:val="20"/>
                <w:szCs w:val="20"/>
              </w:rPr>
            </w:pPr>
            <w:r>
              <w:rPr>
                <w:sz w:val="22"/>
                <w:szCs w:val="22"/>
              </w:rPr>
              <w:t>0.96</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39303F9" w14:textId="77777777" w:rsidR="00480E11" w:rsidRDefault="00000000">
            <w:pPr>
              <w:widowControl w:val="0"/>
              <w:spacing w:after="0" w:line="276" w:lineRule="auto"/>
              <w:jc w:val="right"/>
              <w:rPr>
                <w:rFonts w:ascii="Arial" w:eastAsia="Arial" w:hAnsi="Arial" w:cs="Arial"/>
                <w:sz w:val="20"/>
                <w:szCs w:val="20"/>
              </w:rPr>
            </w:pPr>
            <w:r>
              <w:rPr>
                <w:sz w:val="22"/>
                <w:szCs w:val="22"/>
              </w:rPr>
              <w:t>596.12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A0C1DA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DD98FD6" w14:textId="77777777" w:rsidR="00480E11" w:rsidRDefault="00000000">
            <w:pPr>
              <w:widowControl w:val="0"/>
              <w:spacing w:after="0" w:line="276" w:lineRule="auto"/>
              <w:jc w:val="right"/>
              <w:rPr>
                <w:rFonts w:ascii="Arial" w:eastAsia="Arial" w:hAnsi="Arial" w:cs="Arial"/>
                <w:sz w:val="20"/>
                <w:szCs w:val="20"/>
              </w:rPr>
            </w:pPr>
            <w:r>
              <w:rPr>
                <w:sz w:val="22"/>
                <w:szCs w:val="22"/>
              </w:rPr>
              <w:t>0.96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E700998" w14:textId="77777777" w:rsidR="00480E11" w:rsidRDefault="00000000">
            <w:pPr>
              <w:widowControl w:val="0"/>
              <w:spacing w:after="0" w:line="276" w:lineRule="auto"/>
              <w:jc w:val="right"/>
              <w:rPr>
                <w:rFonts w:ascii="Arial" w:eastAsia="Arial" w:hAnsi="Arial" w:cs="Arial"/>
                <w:sz w:val="20"/>
                <w:szCs w:val="20"/>
              </w:rPr>
            </w:pPr>
            <w:r>
              <w:rPr>
                <w:sz w:val="22"/>
                <w:szCs w:val="22"/>
              </w:rPr>
              <w:t>345.57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B2CC1A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43E33A52" w14:textId="77777777" w:rsidTr="00313F62">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18723ACB" w14:textId="77777777" w:rsidR="00480E11" w:rsidRDefault="00000000">
            <w:pPr>
              <w:widowControl w:val="0"/>
              <w:spacing w:after="0" w:line="276" w:lineRule="auto"/>
              <w:rPr>
                <w:rFonts w:ascii="Arial" w:eastAsia="Arial" w:hAnsi="Arial" w:cs="Arial"/>
                <w:sz w:val="20"/>
                <w:szCs w:val="20"/>
              </w:rPr>
            </w:pPr>
            <w:r>
              <w:rPr>
                <w:sz w:val="22"/>
                <w:szCs w:val="22"/>
              </w:rPr>
              <w:t>B1(3,3)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71462F59" w14:textId="77777777" w:rsidR="00480E11" w:rsidRDefault="00000000">
            <w:pPr>
              <w:widowControl w:val="0"/>
              <w:spacing w:after="0" w:line="276" w:lineRule="auto"/>
              <w:jc w:val="right"/>
              <w:rPr>
                <w:rFonts w:ascii="Arial" w:eastAsia="Arial" w:hAnsi="Arial" w:cs="Arial"/>
                <w:sz w:val="20"/>
                <w:szCs w:val="20"/>
              </w:rPr>
            </w:pPr>
            <w:r>
              <w:rPr>
                <w:sz w:val="22"/>
                <w:szCs w:val="22"/>
              </w:rPr>
              <w:t>0.98</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C934C9D" w14:textId="77777777" w:rsidR="00480E11" w:rsidRDefault="00000000">
            <w:pPr>
              <w:widowControl w:val="0"/>
              <w:spacing w:after="0" w:line="276" w:lineRule="auto"/>
              <w:jc w:val="right"/>
              <w:rPr>
                <w:rFonts w:ascii="Arial" w:eastAsia="Arial" w:hAnsi="Arial" w:cs="Arial"/>
                <w:sz w:val="20"/>
                <w:szCs w:val="20"/>
              </w:rPr>
            </w:pPr>
            <w:r>
              <w:rPr>
                <w:sz w:val="22"/>
                <w:szCs w:val="22"/>
              </w:rPr>
              <w:t>426.52</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9EEF07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E8AC484" w14:textId="77777777" w:rsidR="00480E11" w:rsidRDefault="00000000">
            <w:pPr>
              <w:widowControl w:val="0"/>
              <w:spacing w:after="0" w:line="276" w:lineRule="auto"/>
              <w:jc w:val="right"/>
              <w:rPr>
                <w:rFonts w:ascii="Arial" w:eastAsia="Arial" w:hAnsi="Arial" w:cs="Arial"/>
                <w:sz w:val="20"/>
                <w:szCs w:val="20"/>
              </w:rPr>
            </w:pPr>
            <w:r>
              <w:rPr>
                <w:sz w:val="22"/>
                <w:szCs w:val="22"/>
              </w:rPr>
              <w:t>0.98</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CA1CEE6" w14:textId="77777777" w:rsidR="00480E11" w:rsidRDefault="00000000">
            <w:pPr>
              <w:widowControl w:val="0"/>
              <w:spacing w:after="0" w:line="276" w:lineRule="auto"/>
              <w:jc w:val="right"/>
              <w:rPr>
                <w:rFonts w:ascii="Arial" w:eastAsia="Arial" w:hAnsi="Arial" w:cs="Arial"/>
                <w:sz w:val="20"/>
                <w:szCs w:val="20"/>
              </w:rPr>
            </w:pPr>
            <w:r>
              <w:rPr>
                <w:sz w:val="22"/>
                <w:szCs w:val="22"/>
              </w:rPr>
              <w:t>260.19</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68B2A5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bl>
    <w:p w14:paraId="7F412DE8" w14:textId="2F623803" w:rsidR="00865D5C" w:rsidRDefault="00865D5C">
      <w:pPr>
        <w:jc w:val="both"/>
      </w:pPr>
    </w:p>
    <w:p w14:paraId="660B9B1C" w14:textId="77777777" w:rsidR="00865D5C" w:rsidRDefault="00865D5C">
      <w:r>
        <w:br w:type="page"/>
      </w:r>
    </w:p>
    <w:p w14:paraId="028B207C" w14:textId="0720A839" w:rsidR="00480E11" w:rsidRDefault="00000000" w:rsidP="00093436">
      <w:pPr>
        <w:jc w:val="center"/>
      </w:pPr>
      <w:r>
        <w:t>Table</w:t>
      </w:r>
      <w:r w:rsidR="000652D5">
        <w:t xml:space="preserve"> 9</w:t>
      </w:r>
      <w:r>
        <w:t>: CCC</w:t>
      </w:r>
    </w:p>
    <w:tbl>
      <w:tblPr>
        <w:tblStyle w:val="a7"/>
        <w:tblW w:w="5000" w:type="pct"/>
        <w:tblBorders>
          <w:top w:val="nil"/>
          <w:left w:val="nil"/>
          <w:bottom w:val="nil"/>
          <w:right w:val="nil"/>
          <w:insideH w:val="nil"/>
          <w:insideV w:val="nil"/>
        </w:tblBorders>
        <w:tblLook w:val="0600" w:firstRow="0" w:lastRow="0" w:firstColumn="0" w:lastColumn="0" w:noHBand="1" w:noVBand="1"/>
      </w:tblPr>
      <w:tblGrid>
        <w:gridCol w:w="1424"/>
        <w:gridCol w:w="1264"/>
        <w:gridCol w:w="1479"/>
        <w:gridCol w:w="1398"/>
        <w:gridCol w:w="1264"/>
        <w:gridCol w:w="1264"/>
        <w:gridCol w:w="1267"/>
      </w:tblGrid>
      <w:tr w:rsidR="00480E11" w14:paraId="18BDA065" w14:textId="77777777" w:rsidTr="00B002F4">
        <w:trPr>
          <w:trHeight w:val="345"/>
        </w:trPr>
        <w:tc>
          <w:tcPr>
            <w:tcW w:w="761"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E69EA9F"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05AAABC" w14:textId="77777777" w:rsidR="00480E11" w:rsidRDefault="00000000">
            <w:pPr>
              <w:widowControl w:val="0"/>
              <w:spacing w:after="0" w:line="276" w:lineRule="auto"/>
              <w:rPr>
                <w:rFonts w:ascii="Arial" w:eastAsia="Arial" w:hAnsi="Arial" w:cs="Arial"/>
                <w:sz w:val="20"/>
                <w:szCs w:val="20"/>
              </w:rPr>
            </w:pPr>
            <w:r>
              <w:rPr>
                <w:b/>
                <w:sz w:val="22"/>
                <w:szCs w:val="22"/>
              </w:rPr>
              <w:t>Norm</w:t>
            </w:r>
          </w:p>
        </w:tc>
        <w:tc>
          <w:tcPr>
            <w:tcW w:w="790"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2154B807" w14:textId="77777777" w:rsidR="00480E11" w:rsidRDefault="00480E11">
            <w:pPr>
              <w:widowControl w:val="0"/>
              <w:spacing w:after="0" w:line="276" w:lineRule="auto"/>
              <w:rPr>
                <w:rFonts w:ascii="Arial" w:eastAsia="Arial" w:hAnsi="Arial" w:cs="Arial"/>
                <w:sz w:val="20"/>
                <w:szCs w:val="20"/>
              </w:rPr>
            </w:pPr>
          </w:p>
        </w:tc>
        <w:tc>
          <w:tcPr>
            <w:tcW w:w="747"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4A24B431"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7D2198DC" w14:textId="77777777" w:rsidR="00480E11" w:rsidRDefault="00000000">
            <w:pPr>
              <w:widowControl w:val="0"/>
              <w:spacing w:after="0" w:line="276" w:lineRule="auto"/>
              <w:rPr>
                <w:rFonts w:ascii="Arial" w:eastAsia="Arial" w:hAnsi="Arial" w:cs="Arial"/>
                <w:sz w:val="20"/>
                <w:szCs w:val="20"/>
              </w:rPr>
            </w:pPr>
            <w:r>
              <w:rPr>
                <w:b/>
                <w:sz w:val="22"/>
                <w:szCs w:val="22"/>
              </w:rPr>
              <w:t>T</w:t>
            </w: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0CF220B1" w14:textId="77777777" w:rsidR="00480E11" w:rsidRDefault="00480E11">
            <w:pPr>
              <w:widowControl w:val="0"/>
              <w:spacing w:after="0" w:line="276" w:lineRule="auto"/>
              <w:rPr>
                <w:rFonts w:ascii="Arial" w:eastAsia="Arial" w:hAnsi="Arial" w:cs="Arial"/>
                <w:sz w:val="20"/>
                <w:szCs w:val="20"/>
              </w:rPr>
            </w:pPr>
          </w:p>
        </w:tc>
        <w:tc>
          <w:tcPr>
            <w:tcW w:w="675" w:type="pct"/>
            <w:tcBorders>
              <w:top w:val="single" w:sz="4" w:space="0" w:color="000000"/>
              <w:left w:val="nil"/>
              <w:bottom w:val="single" w:sz="4" w:space="0" w:color="000000"/>
              <w:right w:val="nil"/>
            </w:tcBorders>
            <w:tcMar>
              <w:top w:w="40" w:type="dxa"/>
              <w:left w:w="40" w:type="dxa"/>
              <w:bottom w:w="40" w:type="dxa"/>
              <w:right w:w="40" w:type="dxa"/>
            </w:tcMar>
            <w:vAlign w:val="bottom"/>
          </w:tcPr>
          <w:p w14:paraId="3FDCE803" w14:textId="77777777" w:rsidR="00480E11" w:rsidRDefault="00480E11">
            <w:pPr>
              <w:widowControl w:val="0"/>
              <w:spacing w:after="0" w:line="276" w:lineRule="auto"/>
              <w:rPr>
                <w:rFonts w:ascii="Arial" w:eastAsia="Arial" w:hAnsi="Arial" w:cs="Arial"/>
                <w:sz w:val="20"/>
                <w:szCs w:val="20"/>
              </w:rPr>
            </w:pPr>
          </w:p>
        </w:tc>
      </w:tr>
      <w:tr w:rsidR="00480E11" w14:paraId="097ADEF0" w14:textId="77777777" w:rsidTr="00C8706F">
        <w:trPr>
          <w:trHeight w:val="286"/>
        </w:trPr>
        <w:tc>
          <w:tcPr>
            <w:tcW w:w="761" w:type="pct"/>
            <w:tcBorders>
              <w:top w:val="nil"/>
              <w:left w:val="nil"/>
              <w:bottom w:val="nil"/>
              <w:right w:val="nil"/>
            </w:tcBorders>
            <w:tcMar>
              <w:top w:w="40" w:type="dxa"/>
              <w:left w:w="40" w:type="dxa"/>
              <w:bottom w:w="40" w:type="dxa"/>
              <w:right w:w="40" w:type="dxa"/>
            </w:tcMar>
            <w:vAlign w:val="bottom"/>
          </w:tcPr>
          <w:p w14:paraId="3DBF0C59" w14:textId="77777777" w:rsidR="00480E11" w:rsidRDefault="00480E11">
            <w:pPr>
              <w:widowControl w:val="0"/>
              <w:spacing w:after="0" w:line="276" w:lineRule="auto"/>
              <w:rPr>
                <w:rFonts w:ascii="Arial" w:eastAsia="Arial" w:hAnsi="Arial" w:cs="Arial"/>
                <w:sz w:val="20"/>
                <w:szCs w:val="20"/>
              </w:rPr>
            </w:pPr>
          </w:p>
        </w:tc>
        <w:tc>
          <w:tcPr>
            <w:tcW w:w="675" w:type="pct"/>
            <w:tcBorders>
              <w:top w:val="nil"/>
              <w:left w:val="nil"/>
              <w:bottom w:val="nil"/>
              <w:right w:val="nil"/>
            </w:tcBorders>
            <w:tcMar>
              <w:top w:w="40" w:type="dxa"/>
              <w:left w:w="40" w:type="dxa"/>
              <w:bottom w:w="40" w:type="dxa"/>
              <w:right w:w="40" w:type="dxa"/>
            </w:tcMar>
            <w:vAlign w:val="bottom"/>
          </w:tcPr>
          <w:p w14:paraId="65497B03" w14:textId="77777777" w:rsidR="00480E11" w:rsidRDefault="00000000">
            <w:pPr>
              <w:widowControl w:val="0"/>
              <w:spacing w:after="0" w:line="276" w:lineRule="auto"/>
              <w:rPr>
                <w:rFonts w:ascii="Arial" w:eastAsia="Arial" w:hAnsi="Arial" w:cs="Arial"/>
                <w:sz w:val="20"/>
                <w:szCs w:val="20"/>
              </w:rPr>
            </w:pPr>
            <w:r>
              <w:rPr>
                <w:sz w:val="22"/>
                <w:szCs w:val="22"/>
              </w:rPr>
              <w:t>Coef</w:t>
            </w:r>
          </w:p>
        </w:tc>
        <w:tc>
          <w:tcPr>
            <w:tcW w:w="790" w:type="pct"/>
            <w:tcBorders>
              <w:top w:val="nil"/>
              <w:left w:val="nil"/>
              <w:bottom w:val="nil"/>
              <w:right w:val="nil"/>
            </w:tcBorders>
            <w:tcMar>
              <w:top w:w="40" w:type="dxa"/>
              <w:left w:w="40" w:type="dxa"/>
              <w:bottom w:w="40" w:type="dxa"/>
              <w:right w:w="40" w:type="dxa"/>
            </w:tcMar>
            <w:vAlign w:val="bottom"/>
          </w:tcPr>
          <w:p w14:paraId="4F010345" w14:textId="77777777" w:rsidR="00480E11" w:rsidRDefault="00000000">
            <w:pPr>
              <w:widowControl w:val="0"/>
              <w:spacing w:after="0" w:line="276" w:lineRule="auto"/>
              <w:rPr>
                <w:rFonts w:ascii="Arial" w:eastAsia="Arial" w:hAnsi="Arial" w:cs="Arial"/>
                <w:sz w:val="20"/>
                <w:szCs w:val="20"/>
              </w:rPr>
            </w:pPr>
            <w:r>
              <w:rPr>
                <w:sz w:val="22"/>
                <w:szCs w:val="22"/>
              </w:rPr>
              <w:t>z-Stat</w:t>
            </w:r>
          </w:p>
        </w:tc>
        <w:tc>
          <w:tcPr>
            <w:tcW w:w="747" w:type="pct"/>
            <w:tcBorders>
              <w:top w:val="nil"/>
              <w:left w:val="nil"/>
              <w:bottom w:val="nil"/>
              <w:right w:val="nil"/>
            </w:tcBorders>
            <w:tcMar>
              <w:top w:w="40" w:type="dxa"/>
              <w:left w:w="40" w:type="dxa"/>
              <w:bottom w:w="40" w:type="dxa"/>
              <w:right w:w="40" w:type="dxa"/>
            </w:tcMar>
            <w:vAlign w:val="bottom"/>
          </w:tcPr>
          <w:p w14:paraId="74E75E75" w14:textId="77777777" w:rsidR="00480E11" w:rsidRDefault="00000000">
            <w:pPr>
              <w:widowControl w:val="0"/>
              <w:spacing w:after="0" w:line="276" w:lineRule="auto"/>
              <w:rPr>
                <w:rFonts w:ascii="Arial" w:eastAsia="Arial" w:hAnsi="Arial" w:cs="Arial"/>
                <w:sz w:val="20"/>
                <w:szCs w:val="20"/>
              </w:rPr>
            </w:pPr>
            <w:r>
              <w:rPr>
                <w:sz w:val="22"/>
                <w:szCs w:val="22"/>
              </w:rPr>
              <w:t>P-value</w:t>
            </w:r>
          </w:p>
        </w:tc>
        <w:tc>
          <w:tcPr>
            <w:tcW w:w="675" w:type="pct"/>
            <w:tcBorders>
              <w:top w:val="nil"/>
              <w:left w:val="nil"/>
              <w:bottom w:val="nil"/>
              <w:right w:val="nil"/>
            </w:tcBorders>
            <w:tcMar>
              <w:top w:w="40" w:type="dxa"/>
              <w:left w:w="40" w:type="dxa"/>
              <w:bottom w:w="40" w:type="dxa"/>
              <w:right w:w="40" w:type="dxa"/>
            </w:tcMar>
            <w:vAlign w:val="bottom"/>
          </w:tcPr>
          <w:p w14:paraId="6B1F9A06" w14:textId="77777777" w:rsidR="00480E11" w:rsidRDefault="00000000">
            <w:pPr>
              <w:widowControl w:val="0"/>
              <w:spacing w:after="0" w:line="276" w:lineRule="auto"/>
              <w:rPr>
                <w:rFonts w:ascii="Arial" w:eastAsia="Arial" w:hAnsi="Arial" w:cs="Arial"/>
                <w:sz w:val="20"/>
                <w:szCs w:val="20"/>
              </w:rPr>
            </w:pPr>
            <w:r>
              <w:rPr>
                <w:sz w:val="22"/>
                <w:szCs w:val="22"/>
              </w:rPr>
              <w:t>Coef</w:t>
            </w:r>
          </w:p>
        </w:tc>
        <w:tc>
          <w:tcPr>
            <w:tcW w:w="675" w:type="pct"/>
            <w:tcBorders>
              <w:top w:val="nil"/>
              <w:left w:val="nil"/>
              <w:bottom w:val="nil"/>
              <w:right w:val="nil"/>
            </w:tcBorders>
            <w:tcMar>
              <w:top w:w="40" w:type="dxa"/>
              <w:left w:w="40" w:type="dxa"/>
              <w:bottom w:w="40" w:type="dxa"/>
              <w:right w:w="40" w:type="dxa"/>
            </w:tcMar>
            <w:vAlign w:val="bottom"/>
          </w:tcPr>
          <w:p w14:paraId="3664CB32" w14:textId="77777777" w:rsidR="00480E11" w:rsidRDefault="00000000">
            <w:pPr>
              <w:widowControl w:val="0"/>
              <w:spacing w:after="0" w:line="276" w:lineRule="auto"/>
              <w:rPr>
                <w:rFonts w:ascii="Arial" w:eastAsia="Arial" w:hAnsi="Arial" w:cs="Arial"/>
                <w:sz w:val="20"/>
                <w:szCs w:val="20"/>
              </w:rPr>
            </w:pPr>
            <w:r>
              <w:rPr>
                <w:sz w:val="22"/>
                <w:szCs w:val="22"/>
              </w:rPr>
              <w:t>z-Stat</w:t>
            </w:r>
          </w:p>
        </w:tc>
        <w:tc>
          <w:tcPr>
            <w:tcW w:w="675" w:type="pct"/>
            <w:tcBorders>
              <w:top w:val="nil"/>
              <w:left w:val="nil"/>
              <w:bottom w:val="nil"/>
              <w:right w:val="nil"/>
            </w:tcBorders>
            <w:tcMar>
              <w:top w:w="40" w:type="dxa"/>
              <w:left w:w="40" w:type="dxa"/>
              <w:bottom w:w="40" w:type="dxa"/>
              <w:right w:w="40" w:type="dxa"/>
            </w:tcMar>
            <w:vAlign w:val="bottom"/>
          </w:tcPr>
          <w:p w14:paraId="53D4101C" w14:textId="77777777" w:rsidR="00480E11" w:rsidRDefault="00000000">
            <w:pPr>
              <w:widowControl w:val="0"/>
              <w:spacing w:after="0" w:line="276" w:lineRule="auto"/>
              <w:rPr>
                <w:rFonts w:ascii="Arial" w:eastAsia="Arial" w:hAnsi="Arial" w:cs="Arial"/>
                <w:sz w:val="20"/>
                <w:szCs w:val="20"/>
              </w:rPr>
            </w:pPr>
            <w:r>
              <w:rPr>
                <w:sz w:val="22"/>
                <w:szCs w:val="22"/>
              </w:rPr>
              <w:t>P-value</w:t>
            </w:r>
          </w:p>
        </w:tc>
      </w:tr>
      <w:tr w:rsidR="00480E11" w14:paraId="7DB0A3F6" w14:textId="77777777" w:rsidTr="00B002F4">
        <w:trPr>
          <w:trHeight w:val="315"/>
        </w:trPr>
        <w:tc>
          <w:tcPr>
            <w:tcW w:w="5000" w:type="pct"/>
            <w:gridSpan w:val="7"/>
            <w:tcBorders>
              <w:top w:val="nil"/>
              <w:left w:val="nil"/>
              <w:bottom w:val="nil"/>
              <w:right w:val="nil"/>
            </w:tcBorders>
            <w:tcMar>
              <w:top w:w="40" w:type="dxa"/>
              <w:left w:w="40" w:type="dxa"/>
              <w:bottom w:w="40" w:type="dxa"/>
              <w:right w:w="40" w:type="dxa"/>
            </w:tcMar>
            <w:vAlign w:val="bottom"/>
          </w:tcPr>
          <w:p w14:paraId="49C74BB8" w14:textId="77777777" w:rsidR="00480E11" w:rsidRDefault="00000000">
            <w:pPr>
              <w:widowControl w:val="0"/>
              <w:spacing w:after="0" w:line="276" w:lineRule="auto"/>
              <w:rPr>
                <w:rFonts w:ascii="Arial" w:eastAsia="Arial" w:hAnsi="Arial" w:cs="Arial"/>
                <w:sz w:val="20"/>
                <w:szCs w:val="20"/>
              </w:rPr>
            </w:pPr>
            <w:r>
              <w:rPr>
                <w:sz w:val="22"/>
                <w:szCs w:val="22"/>
              </w:rPr>
              <w:t>Mean Equation</w:t>
            </w:r>
          </w:p>
        </w:tc>
      </w:tr>
      <w:tr w:rsidR="00480E11" w14:paraId="61F3F35E"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C8F1790" w14:textId="77777777" w:rsidR="00480E11" w:rsidRDefault="00000000">
            <w:pPr>
              <w:widowControl w:val="0"/>
              <w:spacing w:after="0" w:line="276" w:lineRule="auto"/>
              <w:rPr>
                <w:rFonts w:ascii="Arial" w:eastAsia="Arial" w:hAnsi="Arial" w:cs="Arial"/>
                <w:sz w:val="20"/>
                <w:szCs w:val="20"/>
              </w:rPr>
            </w:pPr>
            <w:r>
              <w:rPr>
                <w:sz w:val="22"/>
                <w:szCs w:val="22"/>
              </w:rPr>
              <w:t>C(1)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887F19E"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24CE914" w14:textId="77777777" w:rsidR="00480E11" w:rsidRDefault="00000000">
            <w:pPr>
              <w:widowControl w:val="0"/>
              <w:spacing w:after="0" w:line="276" w:lineRule="auto"/>
              <w:jc w:val="right"/>
              <w:rPr>
                <w:rFonts w:ascii="Arial" w:eastAsia="Arial" w:hAnsi="Arial" w:cs="Arial"/>
                <w:sz w:val="20"/>
                <w:szCs w:val="20"/>
              </w:rPr>
            </w:pPr>
            <w:r>
              <w:rPr>
                <w:sz w:val="22"/>
                <w:szCs w:val="22"/>
              </w:rPr>
              <w:t>0.75</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B968453" w14:textId="77777777" w:rsidR="00480E11" w:rsidRDefault="00000000">
            <w:pPr>
              <w:widowControl w:val="0"/>
              <w:spacing w:after="0" w:line="276" w:lineRule="auto"/>
              <w:jc w:val="right"/>
              <w:rPr>
                <w:rFonts w:ascii="Arial" w:eastAsia="Arial" w:hAnsi="Arial" w:cs="Arial"/>
                <w:sz w:val="20"/>
                <w:szCs w:val="20"/>
              </w:rPr>
            </w:pPr>
            <w:r>
              <w:rPr>
                <w:sz w:val="22"/>
                <w:szCs w:val="22"/>
              </w:rPr>
              <w:t>0.46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85F38B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10D400" w14:textId="77777777" w:rsidR="00480E11" w:rsidRDefault="00000000">
            <w:pPr>
              <w:widowControl w:val="0"/>
              <w:spacing w:after="0" w:line="276" w:lineRule="auto"/>
              <w:jc w:val="right"/>
              <w:rPr>
                <w:rFonts w:ascii="Arial" w:eastAsia="Arial" w:hAnsi="Arial" w:cs="Arial"/>
                <w:sz w:val="20"/>
                <w:szCs w:val="20"/>
              </w:rPr>
            </w:pPr>
            <w:r>
              <w:rPr>
                <w:sz w:val="22"/>
                <w:szCs w:val="22"/>
              </w:rPr>
              <w:t>2.41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8A1CAF5"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r>
      <w:tr w:rsidR="00480E11" w14:paraId="0B4570BF"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66CC393C" w14:textId="77777777" w:rsidR="00480E11" w:rsidRDefault="00000000">
            <w:pPr>
              <w:widowControl w:val="0"/>
              <w:spacing w:after="0" w:line="276" w:lineRule="auto"/>
              <w:rPr>
                <w:rFonts w:ascii="Arial" w:eastAsia="Arial" w:hAnsi="Arial" w:cs="Arial"/>
                <w:sz w:val="20"/>
                <w:szCs w:val="20"/>
              </w:rPr>
            </w:pPr>
            <w:r>
              <w:rPr>
                <w:sz w:val="22"/>
                <w:szCs w:val="22"/>
              </w:rPr>
              <w:t>C(2)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BC95B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4C7EB3D"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74985C9F" w14:textId="77777777" w:rsidR="00480E11" w:rsidRDefault="00000000">
            <w:pPr>
              <w:widowControl w:val="0"/>
              <w:spacing w:after="0" w:line="276" w:lineRule="auto"/>
              <w:jc w:val="right"/>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263B5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9BE8080" w14:textId="77777777" w:rsidR="00480E11" w:rsidRDefault="00000000">
            <w:pPr>
              <w:widowControl w:val="0"/>
              <w:spacing w:after="0" w:line="276" w:lineRule="auto"/>
              <w:jc w:val="right"/>
              <w:rPr>
                <w:rFonts w:ascii="Arial" w:eastAsia="Arial" w:hAnsi="Arial" w:cs="Arial"/>
                <w:sz w:val="20"/>
                <w:szCs w:val="20"/>
              </w:rPr>
            </w:pPr>
            <w:r>
              <w:rPr>
                <w:sz w:val="22"/>
                <w:szCs w:val="22"/>
              </w:rPr>
              <w:t>0.19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C545B75" w14:textId="77777777" w:rsidR="00480E11" w:rsidRDefault="00000000">
            <w:pPr>
              <w:widowControl w:val="0"/>
              <w:spacing w:after="0" w:line="276" w:lineRule="auto"/>
              <w:jc w:val="right"/>
              <w:rPr>
                <w:rFonts w:ascii="Arial" w:eastAsia="Arial" w:hAnsi="Arial" w:cs="Arial"/>
                <w:sz w:val="20"/>
                <w:szCs w:val="20"/>
              </w:rPr>
            </w:pPr>
            <w:r>
              <w:rPr>
                <w:sz w:val="22"/>
                <w:szCs w:val="22"/>
              </w:rPr>
              <w:t>0.85</w:t>
            </w:r>
          </w:p>
        </w:tc>
      </w:tr>
      <w:tr w:rsidR="00480E11" w14:paraId="5BEC64AA"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2030FAE" w14:textId="77777777" w:rsidR="00480E11" w:rsidRDefault="00000000">
            <w:pPr>
              <w:widowControl w:val="0"/>
              <w:spacing w:after="0" w:line="276" w:lineRule="auto"/>
              <w:rPr>
                <w:rFonts w:ascii="Arial" w:eastAsia="Arial" w:hAnsi="Arial" w:cs="Arial"/>
                <w:sz w:val="20"/>
                <w:szCs w:val="20"/>
              </w:rPr>
            </w:pPr>
            <w:r>
              <w:rPr>
                <w:sz w:val="22"/>
                <w:szCs w:val="22"/>
              </w:rPr>
              <w:t>C(3)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A7D33D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03AB0B3" w14:textId="77777777" w:rsidR="00480E11" w:rsidRDefault="00000000">
            <w:pPr>
              <w:widowControl w:val="0"/>
              <w:spacing w:after="0" w:line="276" w:lineRule="auto"/>
              <w:jc w:val="right"/>
              <w:rPr>
                <w:rFonts w:ascii="Arial" w:eastAsia="Arial" w:hAnsi="Arial" w:cs="Arial"/>
                <w:sz w:val="20"/>
                <w:szCs w:val="20"/>
              </w:rPr>
            </w:pPr>
            <w:r>
              <w:rPr>
                <w:sz w:val="22"/>
                <w:szCs w:val="22"/>
              </w:rPr>
              <w:t>1.57</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6999B98" w14:textId="77777777" w:rsidR="00480E11" w:rsidRDefault="00000000">
            <w:pPr>
              <w:widowControl w:val="0"/>
              <w:spacing w:after="0" w:line="276" w:lineRule="auto"/>
              <w:jc w:val="right"/>
              <w:rPr>
                <w:rFonts w:ascii="Arial" w:eastAsia="Arial" w:hAnsi="Arial" w:cs="Arial"/>
                <w:sz w:val="20"/>
                <w:szCs w:val="20"/>
              </w:rPr>
            </w:pPr>
            <w:r>
              <w:rPr>
                <w:sz w:val="22"/>
                <w:szCs w:val="22"/>
              </w:rPr>
              <w:t>0.12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DF2E48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A35950A" w14:textId="77777777" w:rsidR="00480E11" w:rsidRDefault="00000000">
            <w:pPr>
              <w:widowControl w:val="0"/>
              <w:spacing w:after="0" w:line="276" w:lineRule="auto"/>
              <w:jc w:val="right"/>
              <w:rPr>
                <w:rFonts w:ascii="Arial" w:eastAsia="Arial" w:hAnsi="Arial" w:cs="Arial"/>
                <w:sz w:val="20"/>
                <w:szCs w:val="20"/>
              </w:rPr>
            </w:pPr>
            <w:r>
              <w:rPr>
                <w:sz w:val="22"/>
                <w:szCs w:val="22"/>
              </w:rPr>
              <w:t>2.64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A3687E"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4D796F3B"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6DEC51F" w14:textId="77777777" w:rsidR="00480E11" w:rsidRDefault="00000000">
            <w:pPr>
              <w:widowControl w:val="0"/>
              <w:spacing w:after="0" w:line="276" w:lineRule="auto"/>
              <w:rPr>
                <w:rFonts w:ascii="Arial" w:eastAsia="Arial" w:hAnsi="Arial" w:cs="Arial"/>
                <w:sz w:val="20"/>
                <w:szCs w:val="20"/>
              </w:rPr>
            </w:pPr>
            <w:r>
              <w:rPr>
                <w:sz w:val="22"/>
                <w:szCs w:val="22"/>
              </w:rPr>
              <w:t>C(4)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3CF74C" w14:textId="77777777" w:rsidR="00480E11" w:rsidRDefault="00000000">
            <w:pPr>
              <w:widowControl w:val="0"/>
              <w:spacing w:after="0" w:line="276" w:lineRule="auto"/>
              <w:jc w:val="right"/>
              <w:rPr>
                <w:rFonts w:ascii="Arial" w:eastAsia="Arial" w:hAnsi="Arial" w:cs="Arial"/>
                <w:sz w:val="20"/>
                <w:szCs w:val="20"/>
              </w:rPr>
            </w:pPr>
            <w:r>
              <w:rPr>
                <w:sz w:val="22"/>
                <w:szCs w:val="22"/>
              </w:rPr>
              <w:t>-0.02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CE811EC" w14:textId="77777777" w:rsidR="00480E11" w:rsidRDefault="00000000">
            <w:pPr>
              <w:widowControl w:val="0"/>
              <w:spacing w:after="0" w:line="276" w:lineRule="auto"/>
              <w:jc w:val="right"/>
              <w:rPr>
                <w:rFonts w:ascii="Arial" w:eastAsia="Arial" w:hAnsi="Arial" w:cs="Arial"/>
                <w:sz w:val="20"/>
                <w:szCs w:val="20"/>
              </w:rPr>
            </w:pPr>
            <w:r>
              <w:rPr>
                <w:sz w:val="22"/>
                <w:szCs w:val="22"/>
              </w:rPr>
              <w:t>-1.36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E04798E" w14:textId="77777777" w:rsidR="00480E11" w:rsidRDefault="00000000">
            <w:pPr>
              <w:widowControl w:val="0"/>
              <w:spacing w:after="0" w:line="276" w:lineRule="auto"/>
              <w:jc w:val="right"/>
              <w:rPr>
                <w:rFonts w:ascii="Arial" w:eastAsia="Arial" w:hAnsi="Arial" w:cs="Arial"/>
                <w:sz w:val="20"/>
                <w:szCs w:val="20"/>
              </w:rPr>
            </w:pPr>
            <w:r>
              <w:rPr>
                <w:sz w:val="22"/>
                <w:szCs w:val="22"/>
              </w:rPr>
              <w:t>0.17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CB808F0"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B3BBC8D" w14:textId="77777777" w:rsidR="00480E11" w:rsidRDefault="00000000">
            <w:pPr>
              <w:widowControl w:val="0"/>
              <w:spacing w:after="0" w:line="276" w:lineRule="auto"/>
              <w:jc w:val="right"/>
              <w:rPr>
                <w:rFonts w:ascii="Arial" w:eastAsia="Arial" w:hAnsi="Arial" w:cs="Arial"/>
                <w:sz w:val="20"/>
                <w:szCs w:val="20"/>
              </w:rPr>
            </w:pPr>
            <w:r>
              <w:rPr>
                <w:sz w:val="22"/>
                <w:szCs w:val="22"/>
              </w:rPr>
              <w:t>-1.01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DBD2D23" w14:textId="77777777" w:rsidR="00480E11" w:rsidRDefault="00000000">
            <w:pPr>
              <w:widowControl w:val="0"/>
              <w:spacing w:after="0" w:line="276" w:lineRule="auto"/>
              <w:jc w:val="right"/>
              <w:rPr>
                <w:rFonts w:ascii="Arial" w:eastAsia="Arial" w:hAnsi="Arial" w:cs="Arial"/>
                <w:sz w:val="20"/>
                <w:szCs w:val="20"/>
              </w:rPr>
            </w:pPr>
            <w:r>
              <w:rPr>
                <w:sz w:val="22"/>
                <w:szCs w:val="22"/>
              </w:rPr>
              <w:t>0.31</w:t>
            </w:r>
          </w:p>
        </w:tc>
      </w:tr>
      <w:tr w:rsidR="00480E11" w14:paraId="5EFA025D"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6AD0A44" w14:textId="77777777" w:rsidR="00480E11" w:rsidRDefault="00000000">
            <w:pPr>
              <w:widowControl w:val="0"/>
              <w:spacing w:after="0" w:line="276" w:lineRule="auto"/>
              <w:rPr>
                <w:rFonts w:ascii="Arial" w:eastAsia="Arial" w:hAnsi="Arial" w:cs="Arial"/>
                <w:sz w:val="20"/>
                <w:szCs w:val="20"/>
              </w:rPr>
            </w:pPr>
            <w:r>
              <w:rPr>
                <w:sz w:val="22"/>
                <w:szCs w:val="22"/>
              </w:rPr>
              <w:t>C(5)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76FB8C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40FAD17"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701144" w14:textId="77777777" w:rsidR="00480E11" w:rsidRDefault="00000000">
            <w:pPr>
              <w:widowControl w:val="0"/>
              <w:spacing w:after="0" w:line="276" w:lineRule="auto"/>
              <w:jc w:val="right"/>
              <w:rPr>
                <w:rFonts w:ascii="Arial" w:eastAsia="Arial" w:hAnsi="Arial" w:cs="Arial"/>
                <w:sz w:val="20"/>
                <w:szCs w:val="20"/>
              </w:rPr>
            </w:pPr>
            <w:r>
              <w:rPr>
                <w:sz w:val="22"/>
                <w:szCs w:val="22"/>
              </w:rPr>
              <w:t>0.98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E53233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67BA438" w14:textId="77777777" w:rsidR="00480E11" w:rsidRDefault="00000000">
            <w:pPr>
              <w:widowControl w:val="0"/>
              <w:spacing w:after="0" w:line="276" w:lineRule="auto"/>
              <w:jc w:val="right"/>
              <w:rPr>
                <w:rFonts w:ascii="Arial" w:eastAsia="Arial" w:hAnsi="Arial" w:cs="Arial"/>
                <w:sz w:val="20"/>
                <w:szCs w:val="20"/>
              </w:rPr>
            </w:pPr>
            <w:r>
              <w:rPr>
                <w:sz w:val="22"/>
                <w:szCs w:val="22"/>
              </w:rPr>
              <w:t>1.49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057AFA5" w14:textId="77777777" w:rsidR="00480E11" w:rsidRDefault="00000000">
            <w:pPr>
              <w:widowControl w:val="0"/>
              <w:spacing w:after="0" w:line="276" w:lineRule="auto"/>
              <w:jc w:val="right"/>
              <w:rPr>
                <w:rFonts w:ascii="Arial" w:eastAsia="Arial" w:hAnsi="Arial" w:cs="Arial"/>
                <w:sz w:val="20"/>
                <w:szCs w:val="20"/>
              </w:rPr>
            </w:pPr>
            <w:r>
              <w:rPr>
                <w:sz w:val="22"/>
                <w:szCs w:val="22"/>
              </w:rPr>
              <w:t>0.14</w:t>
            </w:r>
          </w:p>
        </w:tc>
      </w:tr>
      <w:tr w:rsidR="00480E11" w14:paraId="2D41A676"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839972E" w14:textId="77777777" w:rsidR="00480E11" w:rsidRDefault="00000000">
            <w:pPr>
              <w:widowControl w:val="0"/>
              <w:spacing w:after="0" w:line="276" w:lineRule="auto"/>
              <w:rPr>
                <w:rFonts w:ascii="Arial" w:eastAsia="Arial" w:hAnsi="Arial" w:cs="Arial"/>
                <w:sz w:val="20"/>
                <w:szCs w:val="20"/>
              </w:rPr>
            </w:pPr>
            <w:r>
              <w:rPr>
                <w:sz w:val="22"/>
                <w:szCs w:val="22"/>
              </w:rPr>
              <w:t>C(6)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469A10C"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353FAF7" w14:textId="77777777" w:rsidR="00480E11" w:rsidRDefault="00000000">
            <w:pPr>
              <w:widowControl w:val="0"/>
              <w:spacing w:after="0" w:line="276" w:lineRule="auto"/>
              <w:jc w:val="right"/>
              <w:rPr>
                <w:rFonts w:ascii="Arial" w:eastAsia="Arial" w:hAnsi="Arial" w:cs="Arial"/>
                <w:sz w:val="20"/>
                <w:szCs w:val="20"/>
              </w:rPr>
            </w:pPr>
            <w:r>
              <w:rPr>
                <w:sz w:val="22"/>
                <w:szCs w:val="22"/>
              </w:rPr>
              <w:t>3.40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7CF92A6"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139B7A2"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E4686B7" w14:textId="77777777" w:rsidR="00480E11" w:rsidRDefault="00000000">
            <w:pPr>
              <w:widowControl w:val="0"/>
              <w:spacing w:after="0" w:line="276" w:lineRule="auto"/>
              <w:jc w:val="right"/>
              <w:rPr>
                <w:rFonts w:ascii="Arial" w:eastAsia="Arial" w:hAnsi="Arial" w:cs="Arial"/>
                <w:sz w:val="20"/>
                <w:szCs w:val="20"/>
              </w:rPr>
            </w:pPr>
            <w:r>
              <w:rPr>
                <w:sz w:val="22"/>
                <w:szCs w:val="22"/>
              </w:rPr>
              <w:t>2.53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2AACB2F" w14:textId="77777777" w:rsidR="00480E11" w:rsidRDefault="00000000">
            <w:pPr>
              <w:widowControl w:val="0"/>
              <w:spacing w:after="0" w:line="276" w:lineRule="auto"/>
              <w:jc w:val="right"/>
              <w:rPr>
                <w:rFonts w:ascii="Arial" w:eastAsia="Arial" w:hAnsi="Arial" w:cs="Arial"/>
                <w:sz w:val="20"/>
                <w:szCs w:val="20"/>
              </w:rPr>
            </w:pPr>
            <w:r>
              <w:rPr>
                <w:sz w:val="22"/>
                <w:szCs w:val="22"/>
              </w:rPr>
              <w:t>0.01</w:t>
            </w:r>
          </w:p>
        </w:tc>
      </w:tr>
      <w:tr w:rsidR="00480E11" w14:paraId="575211E2" w14:textId="77777777" w:rsidTr="00B002F4">
        <w:trPr>
          <w:trHeight w:val="315"/>
        </w:trPr>
        <w:tc>
          <w:tcPr>
            <w:tcW w:w="5000" w:type="pct"/>
            <w:gridSpan w:val="7"/>
            <w:tcBorders>
              <w:top w:val="nil"/>
              <w:left w:val="nil"/>
              <w:bottom w:val="nil"/>
              <w:right w:val="nil"/>
            </w:tcBorders>
            <w:shd w:val="clear" w:color="auto" w:fill="auto"/>
            <w:tcMar>
              <w:top w:w="40" w:type="dxa"/>
              <w:left w:w="40" w:type="dxa"/>
              <w:bottom w:w="40" w:type="dxa"/>
              <w:right w:w="40" w:type="dxa"/>
            </w:tcMar>
            <w:vAlign w:val="bottom"/>
          </w:tcPr>
          <w:p w14:paraId="4A9BD548" w14:textId="77777777" w:rsidR="00480E11" w:rsidRDefault="00000000">
            <w:pPr>
              <w:widowControl w:val="0"/>
              <w:spacing w:after="0" w:line="276" w:lineRule="auto"/>
              <w:rPr>
                <w:rFonts w:ascii="Arial" w:eastAsia="Arial" w:hAnsi="Arial" w:cs="Arial"/>
                <w:sz w:val="20"/>
                <w:szCs w:val="20"/>
              </w:rPr>
            </w:pPr>
            <w:r>
              <w:rPr>
                <w:sz w:val="22"/>
                <w:szCs w:val="22"/>
              </w:rPr>
              <w:t>Variance Equation</w:t>
            </w:r>
          </w:p>
        </w:tc>
      </w:tr>
      <w:tr w:rsidR="00480E11" w14:paraId="7BCABC4D"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0284E612" w14:textId="77777777" w:rsidR="00480E11" w:rsidRDefault="00000000">
            <w:pPr>
              <w:widowControl w:val="0"/>
              <w:spacing w:after="0" w:line="276" w:lineRule="auto"/>
              <w:rPr>
                <w:rFonts w:ascii="Arial" w:eastAsia="Arial" w:hAnsi="Arial" w:cs="Arial"/>
                <w:sz w:val="20"/>
                <w:szCs w:val="20"/>
              </w:rPr>
            </w:pPr>
            <w:r>
              <w:rPr>
                <w:sz w:val="22"/>
                <w:szCs w:val="22"/>
              </w:rPr>
              <w:t>M(1)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F7AE14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8216F75" w14:textId="77777777" w:rsidR="00480E11" w:rsidRDefault="00000000">
            <w:pPr>
              <w:widowControl w:val="0"/>
              <w:spacing w:after="0" w:line="276" w:lineRule="auto"/>
              <w:jc w:val="right"/>
              <w:rPr>
                <w:rFonts w:ascii="Arial" w:eastAsia="Arial" w:hAnsi="Arial" w:cs="Arial"/>
                <w:sz w:val="20"/>
                <w:szCs w:val="20"/>
              </w:rPr>
            </w:pPr>
            <w:r>
              <w:rPr>
                <w:sz w:val="22"/>
                <w:szCs w:val="22"/>
              </w:rPr>
              <w:t>7.56</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5BDC65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C6F454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3C1CC27" w14:textId="77777777" w:rsidR="00480E11" w:rsidRDefault="00000000">
            <w:pPr>
              <w:widowControl w:val="0"/>
              <w:spacing w:after="0" w:line="276" w:lineRule="auto"/>
              <w:jc w:val="right"/>
              <w:rPr>
                <w:rFonts w:ascii="Arial" w:eastAsia="Arial" w:hAnsi="Arial" w:cs="Arial"/>
                <w:sz w:val="20"/>
                <w:szCs w:val="20"/>
              </w:rPr>
            </w:pPr>
            <w:r>
              <w:rPr>
                <w:sz w:val="22"/>
                <w:szCs w:val="22"/>
              </w:rPr>
              <w:t>7.52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C1A45A"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625BC37A"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BA6CB3D" w14:textId="77777777" w:rsidR="00480E11" w:rsidRDefault="00000000">
            <w:pPr>
              <w:widowControl w:val="0"/>
              <w:spacing w:after="0" w:line="276" w:lineRule="auto"/>
              <w:rPr>
                <w:rFonts w:ascii="Arial" w:eastAsia="Arial" w:hAnsi="Arial" w:cs="Arial"/>
                <w:sz w:val="20"/>
                <w:szCs w:val="20"/>
              </w:rPr>
            </w:pPr>
            <w:r>
              <w:rPr>
                <w:sz w:val="22"/>
                <w:szCs w:val="22"/>
              </w:rPr>
              <w:t>A1(1)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8CFA0FA" w14:textId="77777777" w:rsidR="00480E11" w:rsidRDefault="00000000">
            <w:pPr>
              <w:widowControl w:val="0"/>
              <w:spacing w:after="0" w:line="276" w:lineRule="auto"/>
              <w:jc w:val="right"/>
              <w:rPr>
                <w:rFonts w:ascii="Arial" w:eastAsia="Arial" w:hAnsi="Arial" w:cs="Arial"/>
                <w:sz w:val="20"/>
                <w:szCs w:val="20"/>
              </w:rPr>
            </w:pPr>
            <w:r>
              <w:rPr>
                <w:sz w:val="22"/>
                <w:szCs w:val="22"/>
              </w:rPr>
              <w:t>0.03</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105F6B0B" w14:textId="77777777" w:rsidR="00480E11" w:rsidRDefault="00000000">
            <w:pPr>
              <w:widowControl w:val="0"/>
              <w:spacing w:after="0" w:line="276" w:lineRule="auto"/>
              <w:jc w:val="right"/>
              <w:rPr>
                <w:rFonts w:ascii="Arial" w:eastAsia="Arial" w:hAnsi="Arial" w:cs="Arial"/>
                <w:sz w:val="20"/>
                <w:szCs w:val="20"/>
              </w:rPr>
            </w:pPr>
            <w:r>
              <w:rPr>
                <w:sz w:val="22"/>
                <w:szCs w:val="22"/>
              </w:rPr>
              <w:t>32.83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79A3EC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366C0C4" w14:textId="77777777" w:rsidR="00480E11" w:rsidRDefault="00000000">
            <w:pPr>
              <w:widowControl w:val="0"/>
              <w:spacing w:after="0" w:line="276" w:lineRule="auto"/>
              <w:jc w:val="right"/>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7FDF7B2" w14:textId="77777777" w:rsidR="00480E11" w:rsidRDefault="00000000">
            <w:pPr>
              <w:widowControl w:val="0"/>
              <w:spacing w:after="0" w:line="276" w:lineRule="auto"/>
              <w:jc w:val="right"/>
              <w:rPr>
                <w:rFonts w:ascii="Arial" w:eastAsia="Arial" w:hAnsi="Arial" w:cs="Arial"/>
                <w:sz w:val="20"/>
                <w:szCs w:val="20"/>
              </w:rPr>
            </w:pPr>
            <w:r>
              <w:rPr>
                <w:sz w:val="22"/>
                <w:szCs w:val="22"/>
              </w:rPr>
              <w:t>11.79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142EF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7985E237"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5670D2A" w14:textId="77777777" w:rsidR="00480E11" w:rsidRDefault="00000000">
            <w:pPr>
              <w:widowControl w:val="0"/>
              <w:spacing w:after="0" w:line="276" w:lineRule="auto"/>
              <w:rPr>
                <w:rFonts w:ascii="Arial" w:eastAsia="Arial" w:hAnsi="Arial" w:cs="Arial"/>
                <w:sz w:val="20"/>
                <w:szCs w:val="20"/>
              </w:rPr>
            </w:pPr>
            <w:r>
              <w:rPr>
                <w:sz w:val="22"/>
                <w:szCs w:val="22"/>
              </w:rPr>
              <w:t>B1(1)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D70E90A" w14:textId="77777777" w:rsidR="00480E11" w:rsidRDefault="00000000">
            <w:pPr>
              <w:widowControl w:val="0"/>
              <w:spacing w:after="0" w:line="276" w:lineRule="auto"/>
              <w:jc w:val="right"/>
              <w:rPr>
                <w:rFonts w:ascii="Arial" w:eastAsia="Arial" w:hAnsi="Arial" w:cs="Arial"/>
                <w:sz w:val="20"/>
                <w:szCs w:val="20"/>
              </w:rPr>
            </w:pPr>
            <w:r>
              <w:rPr>
                <w:sz w:val="22"/>
                <w:szCs w:val="22"/>
              </w:rPr>
              <w:t>0.97</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3FA8E3F3" w14:textId="77777777" w:rsidR="00480E11" w:rsidRDefault="00000000">
            <w:pPr>
              <w:widowControl w:val="0"/>
              <w:spacing w:after="0" w:line="276" w:lineRule="auto"/>
              <w:jc w:val="right"/>
              <w:rPr>
                <w:rFonts w:ascii="Arial" w:eastAsia="Arial" w:hAnsi="Arial" w:cs="Arial"/>
                <w:sz w:val="20"/>
                <w:szCs w:val="20"/>
              </w:rPr>
            </w:pPr>
            <w:r>
              <w:rPr>
                <w:sz w:val="22"/>
                <w:szCs w:val="22"/>
              </w:rPr>
              <w:t>1690.00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D3DA76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14C4195" w14:textId="77777777" w:rsidR="00480E11" w:rsidRDefault="00000000">
            <w:pPr>
              <w:widowControl w:val="0"/>
              <w:spacing w:after="0" w:line="276" w:lineRule="auto"/>
              <w:jc w:val="right"/>
              <w:rPr>
                <w:rFonts w:ascii="Arial" w:eastAsia="Arial" w:hAnsi="Arial" w:cs="Arial"/>
                <w:sz w:val="20"/>
                <w:szCs w:val="20"/>
              </w:rPr>
            </w:pPr>
            <w:r>
              <w:rPr>
                <w:sz w:val="22"/>
                <w:szCs w:val="22"/>
              </w:rPr>
              <w:t>0.90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57CD42E" w14:textId="77777777" w:rsidR="00480E11" w:rsidRDefault="00000000">
            <w:pPr>
              <w:widowControl w:val="0"/>
              <w:spacing w:after="0" w:line="276" w:lineRule="auto"/>
              <w:jc w:val="right"/>
              <w:rPr>
                <w:rFonts w:ascii="Arial" w:eastAsia="Arial" w:hAnsi="Arial" w:cs="Arial"/>
                <w:sz w:val="20"/>
                <w:szCs w:val="20"/>
              </w:rPr>
            </w:pPr>
            <w:r>
              <w:rPr>
                <w:sz w:val="22"/>
                <w:szCs w:val="22"/>
              </w:rPr>
              <w:t>119.71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0E4EDDC"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4B529B0D"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20445B42" w14:textId="77777777" w:rsidR="00480E11" w:rsidRDefault="00000000">
            <w:pPr>
              <w:widowControl w:val="0"/>
              <w:spacing w:after="0" w:line="276" w:lineRule="auto"/>
              <w:rPr>
                <w:rFonts w:ascii="Arial" w:eastAsia="Arial" w:hAnsi="Arial" w:cs="Arial"/>
                <w:sz w:val="20"/>
                <w:szCs w:val="20"/>
              </w:rPr>
            </w:pPr>
            <w:r>
              <w:rPr>
                <w:sz w:val="22"/>
                <w:szCs w:val="22"/>
              </w:rPr>
              <w:t>M(2)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96DAF71"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7FF0724A" w14:textId="77777777" w:rsidR="00480E11" w:rsidRDefault="00000000">
            <w:pPr>
              <w:widowControl w:val="0"/>
              <w:spacing w:after="0" w:line="276" w:lineRule="auto"/>
              <w:jc w:val="right"/>
              <w:rPr>
                <w:rFonts w:ascii="Arial" w:eastAsia="Arial" w:hAnsi="Arial" w:cs="Arial"/>
                <w:sz w:val="20"/>
                <w:szCs w:val="20"/>
              </w:rPr>
            </w:pPr>
            <w:r>
              <w:rPr>
                <w:sz w:val="22"/>
                <w:szCs w:val="22"/>
              </w:rPr>
              <w:t>8.34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465D84F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C3740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1468755" w14:textId="77777777" w:rsidR="00480E11" w:rsidRDefault="00000000">
            <w:pPr>
              <w:widowControl w:val="0"/>
              <w:spacing w:after="0" w:line="276" w:lineRule="auto"/>
              <w:jc w:val="right"/>
              <w:rPr>
                <w:rFonts w:ascii="Arial" w:eastAsia="Arial" w:hAnsi="Arial" w:cs="Arial"/>
                <w:sz w:val="20"/>
                <w:szCs w:val="20"/>
              </w:rPr>
            </w:pPr>
            <w:r>
              <w:rPr>
                <w:sz w:val="22"/>
                <w:szCs w:val="22"/>
              </w:rPr>
              <w:t>5.64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C2A577"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78027B5D"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B130CE0" w14:textId="77777777" w:rsidR="00480E11" w:rsidRDefault="00000000">
            <w:pPr>
              <w:widowControl w:val="0"/>
              <w:spacing w:after="0" w:line="276" w:lineRule="auto"/>
              <w:rPr>
                <w:rFonts w:ascii="Arial" w:eastAsia="Arial" w:hAnsi="Arial" w:cs="Arial"/>
                <w:sz w:val="20"/>
                <w:szCs w:val="20"/>
              </w:rPr>
            </w:pPr>
            <w:r>
              <w:rPr>
                <w:sz w:val="22"/>
                <w:szCs w:val="22"/>
              </w:rPr>
              <w:t>A1(2)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4E1CE55" w14:textId="77777777" w:rsidR="00480E11" w:rsidRDefault="00000000">
            <w:pPr>
              <w:widowControl w:val="0"/>
              <w:spacing w:after="0" w:line="276" w:lineRule="auto"/>
              <w:jc w:val="right"/>
              <w:rPr>
                <w:rFonts w:ascii="Arial" w:eastAsia="Arial" w:hAnsi="Arial" w:cs="Arial"/>
                <w:sz w:val="20"/>
                <w:szCs w:val="20"/>
              </w:rPr>
            </w:pPr>
            <w:r>
              <w:rPr>
                <w:sz w:val="22"/>
                <w:szCs w:val="22"/>
              </w:rPr>
              <w:t>0.08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5B56E5E" w14:textId="77777777" w:rsidR="00480E11" w:rsidRDefault="00000000">
            <w:pPr>
              <w:widowControl w:val="0"/>
              <w:spacing w:after="0" w:line="276" w:lineRule="auto"/>
              <w:jc w:val="right"/>
              <w:rPr>
                <w:rFonts w:ascii="Arial" w:eastAsia="Arial" w:hAnsi="Arial" w:cs="Arial"/>
                <w:sz w:val="20"/>
                <w:szCs w:val="20"/>
              </w:rPr>
            </w:pPr>
            <w:r>
              <w:rPr>
                <w:sz w:val="22"/>
                <w:szCs w:val="22"/>
              </w:rPr>
              <w:t>20.51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5C57DDA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1DFDAF0" w14:textId="77777777" w:rsidR="00480E11" w:rsidRDefault="00000000">
            <w:pPr>
              <w:widowControl w:val="0"/>
              <w:spacing w:after="0" w:line="276" w:lineRule="auto"/>
              <w:jc w:val="right"/>
              <w:rPr>
                <w:rFonts w:ascii="Arial" w:eastAsia="Arial" w:hAnsi="Arial" w:cs="Arial"/>
                <w:sz w:val="20"/>
                <w:szCs w:val="20"/>
              </w:rPr>
            </w:pPr>
            <w:r>
              <w:rPr>
                <w:sz w:val="22"/>
                <w:szCs w:val="22"/>
              </w:rPr>
              <w:t>0.07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3DEFFA7" w14:textId="77777777" w:rsidR="00480E11" w:rsidRDefault="00000000">
            <w:pPr>
              <w:widowControl w:val="0"/>
              <w:spacing w:after="0" w:line="276" w:lineRule="auto"/>
              <w:jc w:val="right"/>
              <w:rPr>
                <w:rFonts w:ascii="Arial" w:eastAsia="Arial" w:hAnsi="Arial" w:cs="Arial"/>
                <w:sz w:val="20"/>
                <w:szCs w:val="20"/>
              </w:rPr>
            </w:pPr>
            <w:r>
              <w:rPr>
                <w:sz w:val="22"/>
                <w:szCs w:val="22"/>
              </w:rPr>
              <w:t>11.65</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D029B0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14796E3B"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243897C" w14:textId="77777777" w:rsidR="00480E11" w:rsidRDefault="00000000">
            <w:pPr>
              <w:widowControl w:val="0"/>
              <w:spacing w:after="0" w:line="276" w:lineRule="auto"/>
              <w:rPr>
                <w:rFonts w:ascii="Arial" w:eastAsia="Arial" w:hAnsi="Arial" w:cs="Arial"/>
                <w:sz w:val="20"/>
                <w:szCs w:val="20"/>
              </w:rPr>
            </w:pPr>
            <w:r>
              <w:rPr>
                <w:sz w:val="22"/>
                <w:szCs w:val="22"/>
              </w:rPr>
              <w:t>B1(2)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3FE26B3" w14:textId="77777777" w:rsidR="00480E11" w:rsidRDefault="00000000">
            <w:pPr>
              <w:widowControl w:val="0"/>
              <w:spacing w:after="0" w:line="276" w:lineRule="auto"/>
              <w:jc w:val="right"/>
              <w:rPr>
                <w:rFonts w:ascii="Arial" w:eastAsia="Arial" w:hAnsi="Arial" w:cs="Arial"/>
                <w:sz w:val="20"/>
                <w:szCs w:val="20"/>
              </w:rPr>
            </w:pPr>
            <w:r>
              <w:rPr>
                <w:sz w:val="22"/>
                <w:szCs w:val="22"/>
              </w:rPr>
              <w:t>0.91</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081F73E7" w14:textId="77777777" w:rsidR="00480E11" w:rsidRDefault="00000000">
            <w:pPr>
              <w:widowControl w:val="0"/>
              <w:spacing w:after="0" w:line="276" w:lineRule="auto"/>
              <w:jc w:val="right"/>
              <w:rPr>
                <w:rFonts w:ascii="Arial" w:eastAsia="Arial" w:hAnsi="Arial" w:cs="Arial"/>
                <w:sz w:val="20"/>
                <w:szCs w:val="20"/>
              </w:rPr>
            </w:pPr>
            <w:r>
              <w:rPr>
                <w:sz w:val="22"/>
                <w:szCs w:val="22"/>
              </w:rPr>
              <w:t>212.78</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9AE1459"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64F7358" w14:textId="77777777" w:rsidR="00480E11" w:rsidRDefault="00000000">
            <w:pPr>
              <w:widowControl w:val="0"/>
              <w:spacing w:after="0" w:line="276" w:lineRule="auto"/>
              <w:jc w:val="right"/>
              <w:rPr>
                <w:rFonts w:ascii="Arial" w:eastAsia="Arial" w:hAnsi="Arial" w:cs="Arial"/>
                <w:sz w:val="20"/>
                <w:szCs w:val="20"/>
              </w:rPr>
            </w:pPr>
            <w:r>
              <w:rPr>
                <w:sz w:val="22"/>
                <w:szCs w:val="22"/>
              </w:rPr>
              <w:t>0.91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108EF15" w14:textId="77777777" w:rsidR="00480E11" w:rsidRDefault="00000000">
            <w:pPr>
              <w:widowControl w:val="0"/>
              <w:spacing w:after="0" w:line="276" w:lineRule="auto"/>
              <w:jc w:val="right"/>
              <w:rPr>
                <w:rFonts w:ascii="Arial" w:eastAsia="Arial" w:hAnsi="Arial" w:cs="Arial"/>
                <w:sz w:val="20"/>
                <w:szCs w:val="20"/>
              </w:rPr>
            </w:pPr>
            <w:r>
              <w:rPr>
                <w:sz w:val="22"/>
                <w:szCs w:val="22"/>
              </w:rPr>
              <w:t>134.97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1EC8B2A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15AA71D5"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11869990" w14:textId="77777777" w:rsidR="00480E11" w:rsidRDefault="00000000">
            <w:pPr>
              <w:widowControl w:val="0"/>
              <w:spacing w:after="0" w:line="276" w:lineRule="auto"/>
              <w:rPr>
                <w:rFonts w:ascii="Arial" w:eastAsia="Arial" w:hAnsi="Arial" w:cs="Arial"/>
                <w:sz w:val="20"/>
                <w:szCs w:val="20"/>
              </w:rPr>
            </w:pPr>
            <w:r>
              <w:rPr>
                <w:sz w:val="22"/>
                <w:szCs w:val="22"/>
              </w:rPr>
              <w:t>M(3)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3BDF1C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8F0DED8" w14:textId="77777777" w:rsidR="00480E11" w:rsidRDefault="00000000">
            <w:pPr>
              <w:widowControl w:val="0"/>
              <w:spacing w:after="0" w:line="276" w:lineRule="auto"/>
              <w:jc w:val="right"/>
              <w:rPr>
                <w:rFonts w:ascii="Arial" w:eastAsia="Arial" w:hAnsi="Arial" w:cs="Arial"/>
                <w:sz w:val="20"/>
                <w:szCs w:val="20"/>
              </w:rPr>
            </w:pPr>
            <w:r>
              <w:rPr>
                <w:sz w:val="22"/>
                <w:szCs w:val="22"/>
              </w:rPr>
              <w:t>7.14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2BA1DB03"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B5BD40F"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CE338B7" w14:textId="77777777" w:rsidR="00480E11" w:rsidRDefault="00000000">
            <w:pPr>
              <w:widowControl w:val="0"/>
              <w:spacing w:after="0" w:line="276" w:lineRule="auto"/>
              <w:jc w:val="right"/>
              <w:rPr>
                <w:rFonts w:ascii="Arial" w:eastAsia="Arial" w:hAnsi="Arial" w:cs="Arial"/>
                <w:sz w:val="20"/>
                <w:szCs w:val="20"/>
              </w:rPr>
            </w:pPr>
            <w:r>
              <w:rPr>
                <w:sz w:val="22"/>
                <w:szCs w:val="22"/>
              </w:rPr>
              <w:t>4.66</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403824D"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33CC98FD"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6DDB226" w14:textId="77777777" w:rsidR="00480E11" w:rsidRDefault="00000000">
            <w:pPr>
              <w:widowControl w:val="0"/>
              <w:spacing w:after="0" w:line="276" w:lineRule="auto"/>
              <w:rPr>
                <w:rFonts w:ascii="Arial" w:eastAsia="Arial" w:hAnsi="Arial" w:cs="Arial"/>
                <w:sz w:val="20"/>
                <w:szCs w:val="20"/>
              </w:rPr>
            </w:pPr>
            <w:r>
              <w:rPr>
                <w:sz w:val="22"/>
                <w:szCs w:val="22"/>
              </w:rPr>
              <w:t>A1(3)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208375E"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5040E9A3" w14:textId="77777777" w:rsidR="00480E11" w:rsidRDefault="00000000">
            <w:pPr>
              <w:widowControl w:val="0"/>
              <w:spacing w:after="0" w:line="276" w:lineRule="auto"/>
              <w:jc w:val="right"/>
              <w:rPr>
                <w:rFonts w:ascii="Arial" w:eastAsia="Arial" w:hAnsi="Arial" w:cs="Arial"/>
                <w:sz w:val="20"/>
                <w:szCs w:val="20"/>
              </w:rPr>
            </w:pPr>
            <w:r>
              <w:rPr>
                <w:sz w:val="22"/>
                <w:szCs w:val="22"/>
              </w:rPr>
              <w:t>11.50</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654FFFE8"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919647C" w14:textId="77777777" w:rsidR="00480E11" w:rsidRDefault="00000000">
            <w:pPr>
              <w:widowControl w:val="0"/>
              <w:spacing w:after="0" w:line="276" w:lineRule="auto"/>
              <w:jc w:val="right"/>
              <w:rPr>
                <w:rFonts w:ascii="Arial" w:eastAsia="Arial" w:hAnsi="Arial" w:cs="Arial"/>
                <w:sz w:val="20"/>
                <w:szCs w:val="20"/>
              </w:rPr>
            </w:pPr>
            <w:r>
              <w:rPr>
                <w:sz w:val="22"/>
                <w:szCs w:val="22"/>
              </w:rPr>
              <w:t>0.04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E30D6E4" w14:textId="77777777" w:rsidR="00480E11" w:rsidRDefault="00000000">
            <w:pPr>
              <w:widowControl w:val="0"/>
              <w:spacing w:after="0" w:line="276" w:lineRule="auto"/>
              <w:jc w:val="right"/>
              <w:rPr>
                <w:rFonts w:ascii="Arial" w:eastAsia="Arial" w:hAnsi="Arial" w:cs="Arial"/>
                <w:sz w:val="20"/>
                <w:szCs w:val="20"/>
              </w:rPr>
            </w:pPr>
            <w:r>
              <w:rPr>
                <w:sz w:val="22"/>
                <w:szCs w:val="22"/>
              </w:rPr>
              <w:t>6.84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2B0CD9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4E536D61"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4B15E80B" w14:textId="77777777" w:rsidR="00480E11" w:rsidRDefault="00000000">
            <w:pPr>
              <w:widowControl w:val="0"/>
              <w:spacing w:after="0" w:line="276" w:lineRule="auto"/>
              <w:rPr>
                <w:rFonts w:ascii="Arial" w:eastAsia="Arial" w:hAnsi="Arial" w:cs="Arial"/>
                <w:sz w:val="20"/>
                <w:szCs w:val="20"/>
              </w:rPr>
            </w:pPr>
            <w:r>
              <w:rPr>
                <w:sz w:val="22"/>
                <w:szCs w:val="22"/>
              </w:rPr>
              <w:t>B1(3)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273C870" w14:textId="77777777" w:rsidR="00480E11" w:rsidRDefault="00000000">
            <w:pPr>
              <w:widowControl w:val="0"/>
              <w:spacing w:after="0" w:line="276" w:lineRule="auto"/>
              <w:jc w:val="right"/>
              <w:rPr>
                <w:rFonts w:ascii="Arial" w:eastAsia="Arial" w:hAnsi="Arial" w:cs="Arial"/>
                <w:sz w:val="20"/>
                <w:szCs w:val="20"/>
              </w:rPr>
            </w:pPr>
            <w:r>
              <w:rPr>
                <w:sz w:val="22"/>
                <w:szCs w:val="22"/>
              </w:rPr>
              <w:t>0.94</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EDD2D61" w14:textId="77777777" w:rsidR="00480E11" w:rsidRDefault="00000000">
            <w:pPr>
              <w:widowControl w:val="0"/>
              <w:spacing w:after="0" w:line="276" w:lineRule="auto"/>
              <w:jc w:val="right"/>
              <w:rPr>
                <w:rFonts w:ascii="Arial" w:eastAsia="Arial" w:hAnsi="Arial" w:cs="Arial"/>
                <w:sz w:val="20"/>
                <w:szCs w:val="20"/>
              </w:rPr>
            </w:pPr>
            <w:r>
              <w:rPr>
                <w:sz w:val="22"/>
                <w:szCs w:val="22"/>
              </w:rPr>
              <w:t>161.04</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1622C107"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4E53D467" w14:textId="77777777" w:rsidR="00480E11" w:rsidRDefault="00000000">
            <w:pPr>
              <w:widowControl w:val="0"/>
              <w:spacing w:after="0" w:line="276" w:lineRule="auto"/>
              <w:jc w:val="right"/>
              <w:rPr>
                <w:rFonts w:ascii="Arial" w:eastAsia="Arial" w:hAnsi="Arial" w:cs="Arial"/>
                <w:sz w:val="20"/>
                <w:szCs w:val="20"/>
              </w:rPr>
            </w:pPr>
            <w:r>
              <w:rPr>
                <w:sz w:val="22"/>
                <w:szCs w:val="22"/>
              </w:rPr>
              <w:t>0.94</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08495D" w14:textId="77777777" w:rsidR="00480E11" w:rsidRDefault="00000000">
            <w:pPr>
              <w:widowControl w:val="0"/>
              <w:spacing w:after="0" w:line="276" w:lineRule="auto"/>
              <w:jc w:val="right"/>
              <w:rPr>
                <w:rFonts w:ascii="Arial" w:eastAsia="Arial" w:hAnsi="Arial" w:cs="Arial"/>
                <w:sz w:val="20"/>
                <w:szCs w:val="20"/>
              </w:rPr>
            </w:pPr>
            <w:r>
              <w:rPr>
                <w:sz w:val="22"/>
                <w:szCs w:val="22"/>
              </w:rPr>
              <w:t>97.47</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5F3356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2421BD31"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71980ECF" w14:textId="77777777" w:rsidR="00480E11" w:rsidRDefault="00000000">
            <w:pPr>
              <w:widowControl w:val="0"/>
              <w:spacing w:after="0" w:line="276" w:lineRule="auto"/>
              <w:rPr>
                <w:rFonts w:ascii="Arial" w:eastAsia="Arial" w:hAnsi="Arial" w:cs="Arial"/>
                <w:sz w:val="20"/>
                <w:szCs w:val="20"/>
              </w:rPr>
            </w:pPr>
            <w:r>
              <w:rPr>
                <w:sz w:val="22"/>
                <w:szCs w:val="22"/>
              </w:rPr>
              <w:t>R(1,2)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17CFC9A" w14:textId="77777777" w:rsidR="00480E11" w:rsidRDefault="00000000">
            <w:pPr>
              <w:widowControl w:val="0"/>
              <w:spacing w:after="0" w:line="276" w:lineRule="auto"/>
              <w:jc w:val="right"/>
              <w:rPr>
                <w:rFonts w:ascii="Arial" w:eastAsia="Arial" w:hAnsi="Arial" w:cs="Arial"/>
                <w:sz w:val="20"/>
                <w:szCs w:val="20"/>
              </w:rPr>
            </w:pPr>
            <w:r>
              <w:rPr>
                <w:sz w:val="22"/>
                <w:szCs w:val="22"/>
              </w:rPr>
              <w:t>0.18</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62F3A53E" w14:textId="77777777" w:rsidR="00480E11" w:rsidRDefault="00000000">
            <w:pPr>
              <w:widowControl w:val="0"/>
              <w:spacing w:after="0" w:line="276" w:lineRule="auto"/>
              <w:jc w:val="right"/>
              <w:rPr>
                <w:rFonts w:ascii="Arial" w:eastAsia="Arial" w:hAnsi="Arial" w:cs="Arial"/>
                <w:sz w:val="20"/>
                <w:szCs w:val="20"/>
              </w:rPr>
            </w:pPr>
            <w:r>
              <w:rPr>
                <w:sz w:val="22"/>
                <w:szCs w:val="22"/>
              </w:rPr>
              <w:t>16.11</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8171AC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96A5925" w14:textId="77777777" w:rsidR="00480E11" w:rsidRDefault="00000000">
            <w:pPr>
              <w:widowControl w:val="0"/>
              <w:spacing w:after="0" w:line="276" w:lineRule="auto"/>
              <w:jc w:val="right"/>
              <w:rPr>
                <w:rFonts w:ascii="Arial" w:eastAsia="Arial" w:hAnsi="Arial" w:cs="Arial"/>
                <w:sz w:val="20"/>
                <w:szCs w:val="20"/>
              </w:rPr>
            </w:pPr>
            <w:r>
              <w:rPr>
                <w:sz w:val="22"/>
                <w:szCs w:val="22"/>
              </w:rPr>
              <w:t>0.18</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2FEAC406" w14:textId="77777777" w:rsidR="00480E11" w:rsidRDefault="00000000">
            <w:pPr>
              <w:widowControl w:val="0"/>
              <w:spacing w:after="0" w:line="276" w:lineRule="auto"/>
              <w:jc w:val="right"/>
              <w:rPr>
                <w:rFonts w:ascii="Arial" w:eastAsia="Arial" w:hAnsi="Arial" w:cs="Arial"/>
                <w:sz w:val="20"/>
                <w:szCs w:val="20"/>
              </w:rPr>
            </w:pPr>
            <w:r>
              <w:rPr>
                <w:sz w:val="22"/>
                <w:szCs w:val="22"/>
              </w:rPr>
              <w:t>13.31</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5C6EDD04"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4D8F48B4" w14:textId="77777777" w:rsidTr="00B002F4">
        <w:trPr>
          <w:trHeight w:val="315"/>
        </w:trPr>
        <w:tc>
          <w:tcPr>
            <w:tcW w:w="761" w:type="pct"/>
            <w:tcBorders>
              <w:top w:val="nil"/>
              <w:left w:val="nil"/>
              <w:bottom w:val="nil"/>
              <w:right w:val="nil"/>
            </w:tcBorders>
            <w:shd w:val="clear" w:color="auto" w:fill="auto"/>
            <w:tcMar>
              <w:top w:w="40" w:type="dxa"/>
              <w:left w:w="40" w:type="dxa"/>
              <w:bottom w:w="40" w:type="dxa"/>
              <w:right w:w="40" w:type="dxa"/>
            </w:tcMar>
            <w:vAlign w:val="bottom"/>
          </w:tcPr>
          <w:p w14:paraId="3D63D95E" w14:textId="77777777" w:rsidR="00480E11" w:rsidRDefault="00000000">
            <w:pPr>
              <w:widowControl w:val="0"/>
              <w:spacing w:after="0" w:line="276" w:lineRule="auto"/>
              <w:rPr>
                <w:rFonts w:ascii="Arial" w:eastAsia="Arial" w:hAnsi="Arial" w:cs="Arial"/>
                <w:sz w:val="20"/>
                <w:szCs w:val="20"/>
              </w:rPr>
            </w:pPr>
            <w:r>
              <w:rPr>
                <w:sz w:val="22"/>
                <w:szCs w:val="22"/>
              </w:rPr>
              <w:t>R(1,3)</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3A96B973" w14:textId="77777777" w:rsidR="00480E11" w:rsidRDefault="00000000">
            <w:pPr>
              <w:widowControl w:val="0"/>
              <w:spacing w:after="0" w:line="276" w:lineRule="auto"/>
              <w:jc w:val="right"/>
              <w:rPr>
                <w:rFonts w:ascii="Arial" w:eastAsia="Arial" w:hAnsi="Arial" w:cs="Arial"/>
                <w:sz w:val="20"/>
                <w:szCs w:val="20"/>
              </w:rPr>
            </w:pPr>
            <w:r>
              <w:rPr>
                <w:sz w:val="22"/>
                <w:szCs w:val="22"/>
              </w:rPr>
              <w:t>0.22</w:t>
            </w:r>
          </w:p>
        </w:tc>
        <w:tc>
          <w:tcPr>
            <w:tcW w:w="790" w:type="pct"/>
            <w:tcBorders>
              <w:top w:val="nil"/>
              <w:left w:val="nil"/>
              <w:bottom w:val="nil"/>
              <w:right w:val="nil"/>
            </w:tcBorders>
            <w:shd w:val="clear" w:color="auto" w:fill="auto"/>
            <w:tcMar>
              <w:top w:w="40" w:type="dxa"/>
              <w:left w:w="40" w:type="dxa"/>
              <w:bottom w:w="40" w:type="dxa"/>
              <w:right w:w="40" w:type="dxa"/>
            </w:tcMar>
            <w:vAlign w:val="bottom"/>
          </w:tcPr>
          <w:p w14:paraId="43554380" w14:textId="77777777" w:rsidR="00480E11" w:rsidRDefault="00000000">
            <w:pPr>
              <w:widowControl w:val="0"/>
              <w:spacing w:after="0" w:line="276" w:lineRule="auto"/>
              <w:jc w:val="right"/>
              <w:rPr>
                <w:rFonts w:ascii="Arial" w:eastAsia="Arial" w:hAnsi="Arial" w:cs="Arial"/>
                <w:sz w:val="20"/>
                <w:szCs w:val="20"/>
              </w:rPr>
            </w:pPr>
            <w:r>
              <w:rPr>
                <w:sz w:val="22"/>
                <w:szCs w:val="22"/>
              </w:rPr>
              <w:t>19.53</w:t>
            </w:r>
          </w:p>
        </w:tc>
        <w:tc>
          <w:tcPr>
            <w:tcW w:w="747" w:type="pct"/>
            <w:tcBorders>
              <w:top w:val="nil"/>
              <w:left w:val="nil"/>
              <w:bottom w:val="nil"/>
              <w:right w:val="nil"/>
            </w:tcBorders>
            <w:shd w:val="clear" w:color="auto" w:fill="auto"/>
            <w:tcMar>
              <w:top w:w="40" w:type="dxa"/>
              <w:left w:w="40" w:type="dxa"/>
              <w:bottom w:w="40" w:type="dxa"/>
              <w:right w:w="40" w:type="dxa"/>
            </w:tcMar>
            <w:vAlign w:val="bottom"/>
          </w:tcPr>
          <w:p w14:paraId="390B4D5B"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01A37D52" w14:textId="77777777" w:rsidR="00480E11" w:rsidRDefault="00000000">
            <w:pPr>
              <w:widowControl w:val="0"/>
              <w:spacing w:after="0" w:line="276" w:lineRule="auto"/>
              <w:jc w:val="right"/>
              <w:rPr>
                <w:rFonts w:ascii="Arial" w:eastAsia="Arial" w:hAnsi="Arial" w:cs="Arial"/>
                <w:sz w:val="20"/>
                <w:szCs w:val="20"/>
              </w:rPr>
            </w:pPr>
            <w:r>
              <w:rPr>
                <w:sz w:val="22"/>
                <w:szCs w:val="22"/>
              </w:rPr>
              <w:t>0.22</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780B5D6C" w14:textId="77777777" w:rsidR="00480E11" w:rsidRDefault="00000000">
            <w:pPr>
              <w:widowControl w:val="0"/>
              <w:spacing w:after="0" w:line="276" w:lineRule="auto"/>
              <w:jc w:val="right"/>
              <w:rPr>
                <w:rFonts w:ascii="Arial" w:eastAsia="Arial" w:hAnsi="Arial" w:cs="Arial"/>
                <w:sz w:val="20"/>
                <w:szCs w:val="20"/>
              </w:rPr>
            </w:pPr>
            <w:r>
              <w:rPr>
                <w:sz w:val="22"/>
                <w:szCs w:val="22"/>
              </w:rPr>
              <w:t>16.19</w:t>
            </w:r>
          </w:p>
        </w:tc>
        <w:tc>
          <w:tcPr>
            <w:tcW w:w="675" w:type="pct"/>
            <w:tcBorders>
              <w:top w:val="nil"/>
              <w:left w:val="nil"/>
              <w:bottom w:val="nil"/>
              <w:right w:val="nil"/>
            </w:tcBorders>
            <w:shd w:val="clear" w:color="auto" w:fill="auto"/>
            <w:tcMar>
              <w:top w:w="40" w:type="dxa"/>
              <w:left w:w="40" w:type="dxa"/>
              <w:bottom w:w="40" w:type="dxa"/>
              <w:right w:w="40" w:type="dxa"/>
            </w:tcMar>
            <w:vAlign w:val="bottom"/>
          </w:tcPr>
          <w:p w14:paraId="670BDFA2"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r w:rsidR="00480E11" w14:paraId="55F9FEDE" w14:textId="77777777" w:rsidTr="00B002F4">
        <w:trPr>
          <w:trHeight w:val="330"/>
        </w:trPr>
        <w:tc>
          <w:tcPr>
            <w:tcW w:w="761"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0CE50F17" w14:textId="77777777" w:rsidR="00480E11" w:rsidRDefault="00000000">
            <w:pPr>
              <w:widowControl w:val="0"/>
              <w:spacing w:after="0" w:line="276" w:lineRule="auto"/>
              <w:rPr>
                <w:rFonts w:ascii="Arial" w:eastAsia="Arial" w:hAnsi="Arial" w:cs="Arial"/>
                <w:sz w:val="20"/>
                <w:szCs w:val="20"/>
              </w:rPr>
            </w:pPr>
            <w:r>
              <w:rPr>
                <w:sz w:val="22"/>
                <w:szCs w:val="22"/>
              </w:rPr>
              <w:t>R(2,3)</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A8095D5" w14:textId="77777777" w:rsidR="00480E11" w:rsidRDefault="00000000">
            <w:pPr>
              <w:widowControl w:val="0"/>
              <w:spacing w:after="0" w:line="276" w:lineRule="auto"/>
              <w:jc w:val="right"/>
              <w:rPr>
                <w:rFonts w:ascii="Arial" w:eastAsia="Arial" w:hAnsi="Arial" w:cs="Arial"/>
                <w:sz w:val="20"/>
                <w:szCs w:val="20"/>
              </w:rPr>
            </w:pPr>
            <w:r>
              <w:rPr>
                <w:sz w:val="22"/>
                <w:szCs w:val="22"/>
              </w:rPr>
              <w:t>0.16</w:t>
            </w:r>
          </w:p>
        </w:tc>
        <w:tc>
          <w:tcPr>
            <w:tcW w:w="790"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4200FA39" w14:textId="77777777" w:rsidR="00480E11" w:rsidRDefault="00000000">
            <w:pPr>
              <w:widowControl w:val="0"/>
              <w:spacing w:after="0" w:line="276" w:lineRule="auto"/>
              <w:jc w:val="right"/>
              <w:rPr>
                <w:rFonts w:ascii="Arial" w:eastAsia="Arial" w:hAnsi="Arial" w:cs="Arial"/>
                <w:sz w:val="20"/>
                <w:szCs w:val="20"/>
              </w:rPr>
            </w:pPr>
            <w:r>
              <w:rPr>
                <w:sz w:val="22"/>
                <w:szCs w:val="22"/>
              </w:rPr>
              <w:t>13.65</w:t>
            </w:r>
          </w:p>
        </w:tc>
        <w:tc>
          <w:tcPr>
            <w:tcW w:w="747"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A8C417C"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31B917A7" w14:textId="77777777" w:rsidR="00480E11" w:rsidRDefault="00000000">
            <w:pPr>
              <w:widowControl w:val="0"/>
              <w:spacing w:after="0" w:line="276" w:lineRule="auto"/>
              <w:jc w:val="right"/>
              <w:rPr>
                <w:rFonts w:ascii="Arial" w:eastAsia="Arial" w:hAnsi="Arial" w:cs="Arial"/>
                <w:sz w:val="20"/>
                <w:szCs w:val="20"/>
              </w:rPr>
            </w:pPr>
            <w:r>
              <w:rPr>
                <w:sz w:val="22"/>
                <w:szCs w:val="22"/>
              </w:rPr>
              <w:t>0.16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24CD20D6" w14:textId="77777777" w:rsidR="00480E11" w:rsidRDefault="00000000">
            <w:pPr>
              <w:widowControl w:val="0"/>
              <w:spacing w:after="0" w:line="276" w:lineRule="auto"/>
              <w:jc w:val="right"/>
              <w:rPr>
                <w:rFonts w:ascii="Arial" w:eastAsia="Arial" w:hAnsi="Arial" w:cs="Arial"/>
                <w:sz w:val="20"/>
                <w:szCs w:val="20"/>
              </w:rPr>
            </w:pPr>
            <w:r>
              <w:rPr>
                <w:sz w:val="22"/>
                <w:szCs w:val="22"/>
              </w:rPr>
              <w:t>11.66</w:t>
            </w:r>
          </w:p>
        </w:tc>
        <w:tc>
          <w:tcPr>
            <w:tcW w:w="675" w:type="pct"/>
            <w:tcBorders>
              <w:top w:val="nil"/>
              <w:left w:val="nil"/>
              <w:bottom w:val="single" w:sz="4" w:space="0" w:color="000000"/>
              <w:right w:val="nil"/>
            </w:tcBorders>
            <w:shd w:val="clear" w:color="auto" w:fill="auto"/>
            <w:tcMar>
              <w:top w:w="40" w:type="dxa"/>
              <w:left w:w="40" w:type="dxa"/>
              <w:bottom w:w="40" w:type="dxa"/>
              <w:right w:w="40" w:type="dxa"/>
            </w:tcMar>
            <w:vAlign w:val="bottom"/>
          </w:tcPr>
          <w:p w14:paraId="6C7169F0" w14:textId="77777777" w:rsidR="00480E11" w:rsidRDefault="00000000">
            <w:pPr>
              <w:widowControl w:val="0"/>
              <w:spacing w:after="0" w:line="276" w:lineRule="auto"/>
              <w:jc w:val="right"/>
              <w:rPr>
                <w:rFonts w:ascii="Arial" w:eastAsia="Arial" w:hAnsi="Arial" w:cs="Arial"/>
                <w:sz w:val="20"/>
                <w:szCs w:val="20"/>
              </w:rPr>
            </w:pPr>
            <w:r>
              <w:rPr>
                <w:sz w:val="22"/>
                <w:szCs w:val="22"/>
              </w:rPr>
              <w:t>0.00</w:t>
            </w:r>
          </w:p>
        </w:tc>
      </w:tr>
    </w:tbl>
    <w:p w14:paraId="5B7CE38D" w14:textId="77777777" w:rsidR="00480E11" w:rsidRDefault="00480E11">
      <w:pPr>
        <w:jc w:val="both"/>
      </w:pPr>
    </w:p>
    <w:p w14:paraId="61329128" w14:textId="77777777" w:rsidR="00480E11" w:rsidRDefault="00000000">
      <w:pPr>
        <w:pStyle w:val="Heading1"/>
        <w:jc w:val="both"/>
      </w:pPr>
      <w:bookmarkStart w:id="21" w:name="_kcscvgn4l1x4" w:colFirst="0" w:colLast="0"/>
      <w:bookmarkEnd w:id="21"/>
      <w:r>
        <w:br w:type="page"/>
      </w:r>
    </w:p>
    <w:p w14:paraId="6BF78BD0" w14:textId="77777777" w:rsidR="00480E11" w:rsidRDefault="00000000">
      <w:pPr>
        <w:pStyle w:val="Heading1"/>
        <w:jc w:val="both"/>
      </w:pPr>
      <w:bookmarkStart w:id="22" w:name="_Toc166705779"/>
      <w:r>
        <w:t>References</w:t>
      </w:r>
      <w:bookmarkEnd w:id="22"/>
    </w:p>
    <w:p w14:paraId="12BB9411" w14:textId="77777777" w:rsidR="00480E11" w:rsidRDefault="00000000">
      <w:pPr>
        <w:widowControl w:val="0"/>
        <w:pBdr>
          <w:top w:val="nil"/>
          <w:left w:val="nil"/>
          <w:bottom w:val="nil"/>
          <w:right w:val="nil"/>
          <w:between w:val="nil"/>
        </w:pBdr>
        <w:spacing w:after="0"/>
        <w:ind w:left="720" w:hanging="720"/>
      </w:pPr>
      <w:hyperlink r:id="rId91">
        <w:r w:rsidRPr="00DF0B95">
          <w:rPr>
            <w:lang w:val="sv-SE"/>
          </w:rPr>
          <w:t xml:space="preserve">Adhikari, R. &amp; Putnam, K. J. (2020). </w:t>
        </w:r>
        <w:r>
          <w:t xml:space="preserve">Comovement in the Commodity Futures Markets: An Analysis of the Energy, Grains, and Livestock Sectors, </w:t>
        </w:r>
      </w:hyperlink>
      <w:hyperlink r:id="rId92">
        <w:r>
          <w:rPr>
            <w:i/>
          </w:rPr>
          <w:t>Journal of Commodity Markets</w:t>
        </w:r>
      </w:hyperlink>
      <w:hyperlink r:id="rId93">
        <w:r>
          <w:t>, vol. 18, p.100090</w:t>
        </w:r>
      </w:hyperlink>
    </w:p>
    <w:p w14:paraId="412BFA10" w14:textId="77777777" w:rsidR="00480E11" w:rsidRDefault="00000000">
      <w:pPr>
        <w:widowControl w:val="0"/>
        <w:pBdr>
          <w:top w:val="nil"/>
          <w:left w:val="nil"/>
          <w:bottom w:val="nil"/>
          <w:right w:val="nil"/>
          <w:between w:val="nil"/>
        </w:pBdr>
        <w:spacing w:after="0"/>
        <w:ind w:left="720" w:hanging="720"/>
      </w:pPr>
      <w:hyperlink r:id="rId94">
        <w:r>
          <w:t xml:space="preserve">Albulescu, C. T., Tiwari, A. K. &amp; Ji, Q. (2020). Copula-Based Local Dependence among Energy, Agriculture and Metal Commodities Markets, </w:t>
        </w:r>
      </w:hyperlink>
      <w:hyperlink r:id="rId95">
        <w:r>
          <w:rPr>
            <w:i/>
          </w:rPr>
          <w:t>Energy</w:t>
        </w:r>
      </w:hyperlink>
      <w:hyperlink r:id="rId96">
        <w:r>
          <w:t>, vol. 202, p.117762</w:t>
        </w:r>
      </w:hyperlink>
    </w:p>
    <w:p w14:paraId="4F24FFE5" w14:textId="77777777" w:rsidR="00480E11" w:rsidRDefault="00000000">
      <w:pPr>
        <w:widowControl w:val="0"/>
        <w:pBdr>
          <w:top w:val="nil"/>
          <w:left w:val="nil"/>
          <w:bottom w:val="nil"/>
          <w:right w:val="nil"/>
          <w:between w:val="nil"/>
        </w:pBdr>
        <w:spacing w:after="0"/>
        <w:ind w:left="720" w:hanging="720"/>
      </w:pPr>
      <w:hyperlink r:id="rId97">
        <w:r>
          <w:t xml:space="preserve">Alshammari, S. &amp; Obeid, H. (2023). Analyzing Commodity Futures and Stock Market Indices: Hedging Strategies Using Asymmetric Dynamic Conditional Correlation Models, </w:t>
        </w:r>
      </w:hyperlink>
      <w:hyperlink r:id="rId98">
        <w:r>
          <w:rPr>
            <w:i/>
          </w:rPr>
          <w:t>Finance Research Letters</w:t>
        </w:r>
      </w:hyperlink>
      <w:hyperlink r:id="rId99">
        <w:r>
          <w:t>, vol. 56, p.104081</w:t>
        </w:r>
      </w:hyperlink>
    </w:p>
    <w:p w14:paraId="5979C3FD" w14:textId="77777777" w:rsidR="00480E11" w:rsidRDefault="00000000">
      <w:pPr>
        <w:widowControl w:val="0"/>
        <w:pBdr>
          <w:top w:val="nil"/>
          <w:left w:val="nil"/>
          <w:bottom w:val="nil"/>
          <w:right w:val="nil"/>
          <w:between w:val="nil"/>
        </w:pBdr>
        <w:spacing w:after="0"/>
        <w:ind w:left="720" w:hanging="720"/>
      </w:pPr>
      <w:hyperlink r:id="rId100">
        <w:r>
          <w:t xml:space="preserve">Bedoui, R., Benkraiem, R., Guesmi, K. &amp; Kedidi, I. (2023). Portfolio Optimization through Hybrid Deep Learning and Genetic Algorithms Vine Copula-GARCH-EVT-CVaR Model, </w:t>
        </w:r>
      </w:hyperlink>
      <w:hyperlink r:id="rId101">
        <w:r>
          <w:rPr>
            <w:i/>
          </w:rPr>
          <w:t>Technological Forecasting and Social Change</w:t>
        </w:r>
      </w:hyperlink>
      <w:hyperlink r:id="rId102">
        <w:r>
          <w:t>, vol. 197, p.122887</w:t>
        </w:r>
      </w:hyperlink>
    </w:p>
    <w:p w14:paraId="2F60ABE9" w14:textId="77777777" w:rsidR="00480E11" w:rsidRDefault="00000000">
      <w:pPr>
        <w:widowControl w:val="0"/>
        <w:pBdr>
          <w:top w:val="nil"/>
          <w:left w:val="nil"/>
          <w:bottom w:val="nil"/>
          <w:right w:val="nil"/>
          <w:between w:val="nil"/>
        </w:pBdr>
        <w:spacing w:after="0"/>
        <w:ind w:left="720" w:hanging="720"/>
      </w:pPr>
      <w:hyperlink r:id="rId103">
        <w:r>
          <w:t xml:space="preserve">Bollerslev, T. (1990). Modelling the Coherence in Short-Run Nominal Exchange Rates: A Multivariate Generalized ARCH Model, </w:t>
        </w:r>
      </w:hyperlink>
      <w:hyperlink r:id="rId104">
        <w:r>
          <w:rPr>
            <w:i/>
          </w:rPr>
          <w:t>The review of economics and statistics</w:t>
        </w:r>
      </w:hyperlink>
      <w:hyperlink r:id="rId105">
        <w:r>
          <w:t>, pp.498–505</w:t>
        </w:r>
      </w:hyperlink>
    </w:p>
    <w:p w14:paraId="2AAFCBCF" w14:textId="77777777" w:rsidR="00480E11" w:rsidRDefault="00000000">
      <w:pPr>
        <w:widowControl w:val="0"/>
        <w:pBdr>
          <w:top w:val="nil"/>
          <w:left w:val="nil"/>
          <w:bottom w:val="nil"/>
          <w:right w:val="nil"/>
          <w:between w:val="nil"/>
        </w:pBdr>
        <w:spacing w:after="0"/>
        <w:ind w:left="720" w:hanging="720"/>
      </w:pPr>
      <w:hyperlink r:id="rId106">
        <w:r>
          <w:t xml:space="preserve">Bollerslev, T., Engle, R. F. &amp; Wooldridge, J. M. (1988). A Capital Asset Pricing Model with Time-Varying Covariances, </w:t>
        </w:r>
      </w:hyperlink>
      <w:hyperlink r:id="rId107">
        <w:r>
          <w:rPr>
            <w:i/>
          </w:rPr>
          <w:t>Journal of Political Economy</w:t>
        </w:r>
      </w:hyperlink>
      <w:hyperlink r:id="rId108">
        <w:r>
          <w:t>, vol. 96, no. 1, pp.116–131</w:t>
        </w:r>
      </w:hyperlink>
    </w:p>
    <w:p w14:paraId="352A8696" w14:textId="77777777" w:rsidR="00480E11" w:rsidRDefault="00000000">
      <w:pPr>
        <w:widowControl w:val="0"/>
        <w:pBdr>
          <w:top w:val="nil"/>
          <w:left w:val="nil"/>
          <w:bottom w:val="nil"/>
          <w:right w:val="nil"/>
          <w:between w:val="nil"/>
        </w:pBdr>
        <w:spacing w:after="0"/>
        <w:ind w:left="720" w:hanging="720"/>
      </w:pPr>
      <w:hyperlink r:id="rId109">
        <w:r>
          <w:t xml:space="preserve">Bunnag, T. (2016). Volatility Transmission in Crude Oil, Gold, Standard and Poor’s500 and US Dollar Index Futures Using Vector AutoregressiveMultivariateGeneralized Autoregressive ConditionalHeteroskedasticity Model, </w:t>
        </w:r>
      </w:hyperlink>
      <w:hyperlink r:id="rId110">
        <w:r>
          <w:rPr>
            <w:i/>
          </w:rPr>
          <w:t>International Journal of Energy Economics and Policy</w:t>
        </w:r>
      </w:hyperlink>
      <w:hyperlink r:id="rId111">
        <w:r>
          <w:t>, vol. 6, no. 1, pp.39–52</w:t>
        </w:r>
      </w:hyperlink>
    </w:p>
    <w:p w14:paraId="3B79FFC9" w14:textId="77777777" w:rsidR="00480E11" w:rsidRDefault="00000000">
      <w:pPr>
        <w:widowControl w:val="0"/>
        <w:pBdr>
          <w:top w:val="nil"/>
          <w:left w:val="nil"/>
          <w:bottom w:val="nil"/>
          <w:right w:val="nil"/>
          <w:between w:val="nil"/>
        </w:pBdr>
        <w:spacing w:after="0"/>
        <w:ind w:left="720" w:hanging="720"/>
      </w:pPr>
      <w:hyperlink r:id="rId112">
        <w:r>
          <w:t>Daigler, R. T., Dupoyet, B. V. &amp; You, L. (2017). Spicing up a Portfolio with Commodity Futures: Still a Good Recipe?, SSRN Scholarly Paper, 3355815, Available Online: https://papers.ssrn.com/abstract=3355815 [Accessed 16 April 2024]</w:t>
        </w:r>
      </w:hyperlink>
    </w:p>
    <w:p w14:paraId="52568CF2" w14:textId="77777777" w:rsidR="00480E11" w:rsidRDefault="00000000">
      <w:pPr>
        <w:widowControl w:val="0"/>
        <w:pBdr>
          <w:top w:val="nil"/>
          <w:left w:val="nil"/>
          <w:bottom w:val="nil"/>
          <w:right w:val="nil"/>
          <w:between w:val="nil"/>
        </w:pBdr>
        <w:spacing w:after="0"/>
        <w:ind w:left="720" w:hanging="720"/>
      </w:pPr>
      <w:hyperlink r:id="rId113">
        <w:r w:rsidRPr="00DF0B95">
          <w:rPr>
            <w:lang w:val="sv-SE"/>
          </w:rPr>
          <w:t xml:space="preserve">de Almeida, D., Hotta, L. K. &amp; Ruiz, E. (2018). </w:t>
        </w:r>
        <w:r>
          <w:t xml:space="preserve">MGARCH Models: Trade-off between Feasibility and Flexibility, </w:t>
        </w:r>
      </w:hyperlink>
      <w:hyperlink r:id="rId114">
        <w:r>
          <w:rPr>
            <w:i/>
          </w:rPr>
          <w:t>International Journal of Forecasting</w:t>
        </w:r>
      </w:hyperlink>
      <w:hyperlink r:id="rId115">
        <w:r>
          <w:t>, vol. 34, no. 1, pp.45–63</w:t>
        </w:r>
      </w:hyperlink>
    </w:p>
    <w:p w14:paraId="5D6A1254" w14:textId="77777777" w:rsidR="00480E11" w:rsidRDefault="00000000">
      <w:pPr>
        <w:widowControl w:val="0"/>
        <w:pBdr>
          <w:top w:val="nil"/>
          <w:left w:val="nil"/>
          <w:bottom w:val="nil"/>
          <w:right w:val="nil"/>
          <w:between w:val="nil"/>
        </w:pBdr>
        <w:spacing w:after="0"/>
        <w:ind w:left="720" w:hanging="720"/>
      </w:pPr>
      <w:hyperlink r:id="rId116">
        <w:r>
          <w:t xml:space="preserve">Dojima Rice Exchange. (2024). </w:t>
        </w:r>
      </w:hyperlink>
      <w:hyperlink r:id="rId117">
        <w:r>
          <w:rPr>
            <w:i/>
          </w:rPr>
          <w:t>Dojima Rice Exchange</w:t>
        </w:r>
      </w:hyperlink>
      <w:hyperlink r:id="rId118">
        <w:r>
          <w:t>, Available Online: https://www.jpx.co.jp/dojima/en/index.html [Accessed 15 April 2024]</w:t>
        </w:r>
      </w:hyperlink>
    </w:p>
    <w:p w14:paraId="494E085E" w14:textId="77777777" w:rsidR="00480E11" w:rsidRDefault="00000000">
      <w:pPr>
        <w:widowControl w:val="0"/>
        <w:pBdr>
          <w:top w:val="nil"/>
          <w:left w:val="nil"/>
          <w:bottom w:val="nil"/>
          <w:right w:val="nil"/>
          <w:between w:val="nil"/>
        </w:pBdr>
        <w:spacing w:after="0"/>
        <w:ind w:left="720" w:hanging="720"/>
      </w:pPr>
      <w:hyperlink r:id="rId119">
        <w:r>
          <w:t xml:space="preserve">Duan, K., Ren, X., Wen, F. &amp; Chen, J. (2023). Evolution of the Information Transmission between Chinese and International Oil Markets: A Quantile-Based Framework, </w:t>
        </w:r>
      </w:hyperlink>
      <w:hyperlink r:id="rId120">
        <w:r>
          <w:rPr>
            <w:i/>
          </w:rPr>
          <w:t>Journal of Commodity Markets</w:t>
        </w:r>
      </w:hyperlink>
      <w:hyperlink r:id="rId121">
        <w:r>
          <w:t>, vol. 29, p.100304</w:t>
        </w:r>
      </w:hyperlink>
    </w:p>
    <w:p w14:paraId="51A3CE8C" w14:textId="77777777" w:rsidR="00480E11" w:rsidRDefault="00000000">
      <w:pPr>
        <w:widowControl w:val="0"/>
        <w:pBdr>
          <w:top w:val="nil"/>
          <w:left w:val="nil"/>
          <w:bottom w:val="nil"/>
          <w:right w:val="nil"/>
          <w:between w:val="nil"/>
        </w:pBdr>
        <w:spacing w:after="0"/>
        <w:ind w:left="720" w:hanging="720"/>
      </w:pPr>
      <w:hyperlink r:id="rId122">
        <w:r>
          <w:t xml:space="preserve">Engle, R. F. (1982). Autoregressive Conditional Heteroscedasticity with Estimates of the Variance of United Kingdom Inflation, </w:t>
        </w:r>
      </w:hyperlink>
      <w:hyperlink r:id="rId123">
        <w:r>
          <w:rPr>
            <w:i/>
          </w:rPr>
          <w:t>Econometrica</w:t>
        </w:r>
      </w:hyperlink>
      <w:hyperlink r:id="rId124">
        <w:r>
          <w:t>, vol. 50, no. 4, pp.987–1007</w:t>
        </w:r>
      </w:hyperlink>
    </w:p>
    <w:p w14:paraId="1437A6E1" w14:textId="77777777" w:rsidR="00480E11" w:rsidRDefault="00000000">
      <w:pPr>
        <w:widowControl w:val="0"/>
        <w:pBdr>
          <w:top w:val="nil"/>
          <w:left w:val="nil"/>
          <w:bottom w:val="nil"/>
          <w:right w:val="nil"/>
          <w:between w:val="nil"/>
        </w:pBdr>
        <w:spacing w:after="0"/>
        <w:ind w:left="720" w:hanging="720"/>
      </w:pPr>
      <w:hyperlink r:id="rId125">
        <w:r w:rsidRPr="00DF0B95">
          <w:rPr>
            <w:lang w:val="sv-SE"/>
          </w:rPr>
          <w:t xml:space="preserve">Engle, R. F. &amp; Kroner, K. F. (1995). </w:t>
        </w:r>
        <w:r>
          <w:t xml:space="preserve">Multivariate Simultaneous Generalized ARCH, </w:t>
        </w:r>
      </w:hyperlink>
      <w:hyperlink r:id="rId126">
        <w:r>
          <w:rPr>
            <w:i/>
          </w:rPr>
          <w:t>Econometric theory</w:t>
        </w:r>
      </w:hyperlink>
      <w:hyperlink r:id="rId127">
        <w:r>
          <w:t>, vol. 11, no. 1, pp.122–150</w:t>
        </w:r>
      </w:hyperlink>
    </w:p>
    <w:p w14:paraId="3609CD4C" w14:textId="77777777" w:rsidR="00480E11" w:rsidRDefault="00000000">
      <w:pPr>
        <w:widowControl w:val="0"/>
        <w:pBdr>
          <w:top w:val="nil"/>
          <w:left w:val="nil"/>
          <w:bottom w:val="nil"/>
          <w:right w:val="nil"/>
          <w:between w:val="nil"/>
        </w:pBdr>
        <w:spacing w:after="0"/>
        <w:ind w:left="720" w:hanging="720"/>
      </w:pPr>
      <w:hyperlink r:id="rId128">
        <w:r>
          <w:t xml:space="preserve">Fousekis, P. &amp; Grigoriadis, V. (2017). Price Co-Movement and the Crack Spread in the US Futures Markets, </w:t>
        </w:r>
      </w:hyperlink>
      <w:hyperlink r:id="rId129">
        <w:r>
          <w:rPr>
            <w:i/>
          </w:rPr>
          <w:t>Journal of Commodity Markets</w:t>
        </w:r>
      </w:hyperlink>
      <w:hyperlink r:id="rId130">
        <w:r>
          <w:t>, vol. 7, pp.57–71</w:t>
        </w:r>
      </w:hyperlink>
    </w:p>
    <w:p w14:paraId="3115A1FF" w14:textId="77777777" w:rsidR="00480E11" w:rsidRDefault="00000000">
      <w:pPr>
        <w:widowControl w:val="0"/>
        <w:pBdr>
          <w:top w:val="nil"/>
          <w:left w:val="nil"/>
          <w:bottom w:val="nil"/>
          <w:right w:val="nil"/>
          <w:between w:val="nil"/>
        </w:pBdr>
        <w:spacing w:after="0"/>
        <w:ind w:left="720" w:hanging="720"/>
      </w:pPr>
      <w:hyperlink r:id="rId131">
        <w:r>
          <w:t xml:space="preserve">Furuoka, F., Yaya, O. S., Ling, P. K., Al-Faryan, M. A. S. &amp; Islam, M. N. (2023). Transmission of Risks between Energy and Agricultural Commodities: Frequency Time-Varying VAR, Asymmetry and Portfolio Management, </w:t>
        </w:r>
      </w:hyperlink>
      <w:hyperlink r:id="rId132">
        <w:r>
          <w:rPr>
            <w:i/>
          </w:rPr>
          <w:t>Resources Policy</w:t>
        </w:r>
      </w:hyperlink>
      <w:hyperlink r:id="rId133">
        <w:r>
          <w:t>, vol. 81, p.103339</w:t>
        </w:r>
      </w:hyperlink>
    </w:p>
    <w:p w14:paraId="25F46EC2" w14:textId="77777777" w:rsidR="00480E11" w:rsidRDefault="00000000">
      <w:pPr>
        <w:widowControl w:val="0"/>
        <w:pBdr>
          <w:top w:val="nil"/>
          <w:left w:val="nil"/>
          <w:bottom w:val="nil"/>
          <w:right w:val="nil"/>
          <w:between w:val="nil"/>
        </w:pBdr>
        <w:spacing w:after="0"/>
        <w:ind w:left="720" w:hanging="720"/>
      </w:pPr>
      <w:hyperlink r:id="rId134">
        <w:r>
          <w:t xml:space="preserve">Gaete, M. &amp; Herrera, R. (2023). Diversification Benefits of Commodities in Portfolio Allocation: A Dynamic Factor Copula Approach, </w:t>
        </w:r>
      </w:hyperlink>
      <w:hyperlink r:id="rId135">
        <w:r>
          <w:rPr>
            <w:i/>
          </w:rPr>
          <w:t>Journal of Commodity Markets</w:t>
        </w:r>
      </w:hyperlink>
      <w:hyperlink r:id="rId136">
        <w:r>
          <w:t>, vol. 32, p.100363</w:t>
        </w:r>
      </w:hyperlink>
    </w:p>
    <w:p w14:paraId="2D49C804" w14:textId="77777777" w:rsidR="00480E11" w:rsidRDefault="00000000">
      <w:pPr>
        <w:widowControl w:val="0"/>
        <w:pBdr>
          <w:top w:val="nil"/>
          <w:left w:val="nil"/>
          <w:bottom w:val="nil"/>
          <w:right w:val="nil"/>
          <w:between w:val="nil"/>
        </w:pBdr>
        <w:spacing w:after="0"/>
        <w:ind w:left="720" w:hanging="720"/>
      </w:pPr>
      <w:hyperlink r:id="rId137">
        <w:r>
          <w:t xml:space="preserve">Galvao, A. F. (2009). Unit Root Quantile Autoregression Testing Using Covariates, </w:t>
        </w:r>
      </w:hyperlink>
      <w:hyperlink r:id="rId138">
        <w:r>
          <w:rPr>
            <w:i/>
          </w:rPr>
          <w:t>Journal of Econometrics</w:t>
        </w:r>
      </w:hyperlink>
      <w:hyperlink r:id="rId139">
        <w:r>
          <w:t>, vol. 152, no. 2, pp.165–178</w:t>
        </w:r>
      </w:hyperlink>
    </w:p>
    <w:p w14:paraId="028B1C7F" w14:textId="77777777" w:rsidR="00480E11" w:rsidRDefault="00000000">
      <w:pPr>
        <w:widowControl w:val="0"/>
        <w:pBdr>
          <w:top w:val="nil"/>
          <w:left w:val="nil"/>
          <w:bottom w:val="nil"/>
          <w:right w:val="nil"/>
          <w:between w:val="nil"/>
        </w:pBdr>
        <w:spacing w:after="0"/>
        <w:ind w:left="720" w:hanging="720"/>
      </w:pPr>
      <w:hyperlink r:id="rId140">
        <w:r>
          <w:t xml:space="preserve">Ghaemi Asl, M., Rashidi, M. M., Tavakkoli, H. R. &amp; Rezgui, H. (2024). Does Islamic Investing Modify Portfolio Performance? Time-Varying Optimization Strategies for Conventional and Shariah Energy-ESG-Utilities Portfolio, </w:t>
        </w:r>
      </w:hyperlink>
      <w:hyperlink r:id="rId141">
        <w:r>
          <w:rPr>
            <w:i/>
          </w:rPr>
          <w:t>The Quarterly Review of Economics and Finance</w:t>
        </w:r>
      </w:hyperlink>
      <w:hyperlink r:id="rId142">
        <w:r>
          <w:t>, vol. 94, pp.37–57</w:t>
        </w:r>
      </w:hyperlink>
    </w:p>
    <w:p w14:paraId="2DD0DBDA" w14:textId="77777777" w:rsidR="00480E11" w:rsidRDefault="00000000">
      <w:pPr>
        <w:widowControl w:val="0"/>
        <w:pBdr>
          <w:top w:val="nil"/>
          <w:left w:val="nil"/>
          <w:bottom w:val="nil"/>
          <w:right w:val="nil"/>
          <w:between w:val="nil"/>
        </w:pBdr>
        <w:spacing w:after="0"/>
        <w:ind w:left="720" w:hanging="720"/>
      </w:pPr>
      <w:hyperlink r:id="rId143">
        <w:r>
          <w:t>Gilbert, C. L. (2008). Commodity Speculation and Commodity Investment, Department of Economics Working Paper, 0820, Department of Economics, University of Trento, Italia, Available Online: https://econpapers.repec.org/paper/trnutwpde/0820.htm [Accessed 16 April 2024]</w:t>
        </w:r>
      </w:hyperlink>
    </w:p>
    <w:p w14:paraId="408EF804" w14:textId="77777777" w:rsidR="00480E11" w:rsidRDefault="00000000">
      <w:pPr>
        <w:widowControl w:val="0"/>
        <w:pBdr>
          <w:top w:val="nil"/>
          <w:left w:val="nil"/>
          <w:bottom w:val="nil"/>
          <w:right w:val="nil"/>
          <w:between w:val="nil"/>
        </w:pBdr>
        <w:spacing w:after="0"/>
        <w:ind w:left="720" w:hanging="720"/>
      </w:pPr>
      <w:hyperlink r:id="rId144">
        <w:r>
          <w:t xml:space="preserve">Gulley, A. &amp; Tilton, J. E. (2014). The Relationship between Spot and Futures Prices: An Empirical Analysis, </w:t>
        </w:r>
      </w:hyperlink>
      <w:hyperlink r:id="rId145">
        <w:r>
          <w:rPr>
            <w:i/>
          </w:rPr>
          <w:t>Resources Policy</w:t>
        </w:r>
      </w:hyperlink>
      <w:hyperlink r:id="rId146">
        <w:r>
          <w:t>, vol. 41, pp.109–112</w:t>
        </w:r>
      </w:hyperlink>
    </w:p>
    <w:p w14:paraId="47CD7650" w14:textId="77777777" w:rsidR="00480E11" w:rsidRDefault="00000000">
      <w:pPr>
        <w:widowControl w:val="0"/>
        <w:pBdr>
          <w:top w:val="nil"/>
          <w:left w:val="nil"/>
          <w:bottom w:val="nil"/>
          <w:right w:val="nil"/>
          <w:between w:val="nil"/>
        </w:pBdr>
        <w:spacing w:after="0"/>
        <w:ind w:left="720" w:hanging="720"/>
      </w:pPr>
      <w:hyperlink r:id="rId147">
        <w:r>
          <w:t xml:space="preserve">Hammoudeh, S. &amp; Yuan, Y. (2008). Metal Volatility in Presence of Oil and Interest Rate Shocks, </w:t>
        </w:r>
      </w:hyperlink>
      <w:hyperlink r:id="rId148">
        <w:r>
          <w:rPr>
            <w:i/>
          </w:rPr>
          <w:t>Energy Economics</w:t>
        </w:r>
      </w:hyperlink>
      <w:hyperlink r:id="rId149">
        <w:r>
          <w:t>, vol. 30, no. 2, pp.606–620</w:t>
        </w:r>
      </w:hyperlink>
    </w:p>
    <w:p w14:paraId="3040B221" w14:textId="77777777" w:rsidR="00480E11" w:rsidRDefault="00000000">
      <w:pPr>
        <w:widowControl w:val="0"/>
        <w:pBdr>
          <w:top w:val="nil"/>
          <w:left w:val="nil"/>
          <w:bottom w:val="nil"/>
          <w:right w:val="nil"/>
          <w:between w:val="nil"/>
        </w:pBdr>
        <w:spacing w:after="0"/>
        <w:ind w:left="720" w:hanging="720"/>
      </w:pPr>
      <w:hyperlink r:id="rId150">
        <w:r w:rsidRPr="00DF0B95">
          <w:rPr>
            <w:lang w:val="sv-SE"/>
          </w:rPr>
          <w:t xml:space="preserve">Hanif, W., Mensi, W., Vo, X. V., BenSaïda, A., Hernandez, J. A. &amp; Kang, S. H. (2023). </w:t>
        </w:r>
        <w:r>
          <w:t xml:space="preserve">Dependence and Risk Management of Portfolios of Metals and Agricultural Commodity Futures, </w:t>
        </w:r>
      </w:hyperlink>
      <w:hyperlink r:id="rId151">
        <w:r>
          <w:rPr>
            <w:i/>
          </w:rPr>
          <w:t>Resources Policy</w:t>
        </w:r>
      </w:hyperlink>
      <w:hyperlink r:id="rId152">
        <w:r>
          <w:t>, vol. 82, p.103567</w:t>
        </w:r>
      </w:hyperlink>
    </w:p>
    <w:p w14:paraId="3CFE7860" w14:textId="77777777" w:rsidR="00480E11" w:rsidRDefault="00000000">
      <w:pPr>
        <w:widowControl w:val="0"/>
        <w:pBdr>
          <w:top w:val="nil"/>
          <w:left w:val="nil"/>
          <w:bottom w:val="nil"/>
          <w:right w:val="nil"/>
          <w:between w:val="nil"/>
        </w:pBdr>
        <w:spacing w:after="0"/>
        <w:ind w:left="720" w:hanging="720"/>
      </w:pPr>
      <w:hyperlink r:id="rId153">
        <w:r w:rsidRPr="00DF0B95">
          <w:rPr>
            <w:lang w:val="sv-SE"/>
          </w:rPr>
          <w:t xml:space="preserve">Hernandez, J. A., Shahzad, S. J. H., Uddin, G. S. &amp; Kang, S. H. (2019). </w:t>
        </w:r>
        <w:r>
          <w:t xml:space="preserve">Can Agricultural and Precious Metal Commodities Diversify and Hedge Extreme Downside and Upside Oil Market Risk? An Extreme Quantile Approach, </w:t>
        </w:r>
      </w:hyperlink>
      <w:hyperlink r:id="rId154">
        <w:r>
          <w:rPr>
            <w:i/>
          </w:rPr>
          <w:t>Resources Policy</w:t>
        </w:r>
      </w:hyperlink>
      <w:hyperlink r:id="rId155">
        <w:r>
          <w:t>, vol. 62, pp.588–601</w:t>
        </w:r>
      </w:hyperlink>
    </w:p>
    <w:p w14:paraId="095CD34B" w14:textId="77777777" w:rsidR="00480E11" w:rsidRDefault="00000000">
      <w:pPr>
        <w:widowControl w:val="0"/>
        <w:pBdr>
          <w:top w:val="nil"/>
          <w:left w:val="nil"/>
          <w:bottom w:val="nil"/>
          <w:right w:val="nil"/>
          <w:between w:val="nil"/>
        </w:pBdr>
        <w:spacing w:after="0"/>
        <w:ind w:left="720" w:hanging="720"/>
      </w:pPr>
      <w:hyperlink r:id="rId156">
        <w:r>
          <w:t>How To Trade Commodities – Forbes Advisor. (2024). , Available Online: https://www.forbes.com/advisor/investing/commodities-trading/ [Accessed 16 April 2024]</w:t>
        </w:r>
      </w:hyperlink>
    </w:p>
    <w:p w14:paraId="4922A49C" w14:textId="77777777" w:rsidR="00480E11" w:rsidRDefault="00000000">
      <w:pPr>
        <w:widowControl w:val="0"/>
        <w:pBdr>
          <w:top w:val="nil"/>
          <w:left w:val="nil"/>
          <w:bottom w:val="nil"/>
          <w:right w:val="nil"/>
          <w:between w:val="nil"/>
        </w:pBdr>
        <w:spacing w:after="0"/>
        <w:ind w:left="720" w:hanging="720"/>
      </w:pPr>
      <w:hyperlink r:id="rId157">
        <w:r>
          <w:t xml:space="preserve">Joo, Y. C. &amp; Park, S. Y. (2024). Hedging Bitcoin with Commodity Futures: An Analysis with Copper, Gas, Gold, and Crude Oil Futures, </w:t>
        </w:r>
      </w:hyperlink>
      <w:hyperlink r:id="rId158">
        <w:r>
          <w:rPr>
            <w:i/>
          </w:rPr>
          <w:t>The North American Journal of Economics and Finance</w:t>
        </w:r>
      </w:hyperlink>
      <w:hyperlink r:id="rId159">
        <w:r>
          <w:t>, vol. 72, p.102127</w:t>
        </w:r>
      </w:hyperlink>
    </w:p>
    <w:p w14:paraId="5111CFA2" w14:textId="77777777" w:rsidR="00480E11" w:rsidRDefault="00000000">
      <w:pPr>
        <w:widowControl w:val="0"/>
        <w:pBdr>
          <w:top w:val="nil"/>
          <w:left w:val="nil"/>
          <w:bottom w:val="nil"/>
          <w:right w:val="nil"/>
          <w:between w:val="nil"/>
        </w:pBdr>
        <w:spacing w:after="0"/>
        <w:ind w:left="720" w:hanging="720"/>
      </w:pPr>
      <w:hyperlink r:id="rId160">
        <w:r>
          <w:t xml:space="preserve">Joseph, A., Sisodia, G. &amp; Tiwari, A. K. (2014). A Frequency Domain Causality Investigation between Futures and Spot Prices of Indian Commodity Markets, </w:t>
        </w:r>
      </w:hyperlink>
      <w:hyperlink r:id="rId161">
        <w:r>
          <w:rPr>
            <w:i/>
          </w:rPr>
          <w:t>Economic Modelling</w:t>
        </w:r>
      </w:hyperlink>
      <w:hyperlink r:id="rId162">
        <w:r>
          <w:t>, vol. 40, pp.250–258</w:t>
        </w:r>
      </w:hyperlink>
    </w:p>
    <w:p w14:paraId="33576753" w14:textId="77777777" w:rsidR="00480E11" w:rsidRDefault="00000000">
      <w:pPr>
        <w:widowControl w:val="0"/>
        <w:pBdr>
          <w:top w:val="nil"/>
          <w:left w:val="nil"/>
          <w:bottom w:val="nil"/>
          <w:right w:val="nil"/>
          <w:between w:val="nil"/>
        </w:pBdr>
        <w:spacing w:after="0"/>
        <w:ind w:left="720" w:hanging="720"/>
      </w:pPr>
      <w:hyperlink r:id="rId163">
        <w:r>
          <w:t xml:space="preserve">Khalfaoui, R., Shahzad, U., Ghaemi Asl, M. &amp; Ben Jabeur, S. (2023). Investigating the Spillovers between Energy, Food, and Agricultural Commodity Markets: New Insights from the Quantile Coherency Approach, </w:t>
        </w:r>
      </w:hyperlink>
      <w:hyperlink r:id="rId164">
        <w:r>
          <w:rPr>
            <w:i/>
          </w:rPr>
          <w:t>The Quarterly Review of Economics and Finance</w:t>
        </w:r>
      </w:hyperlink>
      <w:hyperlink r:id="rId165">
        <w:r>
          <w:t>, vol. 88, pp.63–80</w:t>
        </w:r>
      </w:hyperlink>
    </w:p>
    <w:p w14:paraId="3B239D17" w14:textId="77777777" w:rsidR="00480E11" w:rsidRDefault="00000000">
      <w:pPr>
        <w:widowControl w:val="0"/>
        <w:pBdr>
          <w:top w:val="nil"/>
          <w:left w:val="nil"/>
          <w:bottom w:val="nil"/>
          <w:right w:val="nil"/>
          <w:between w:val="nil"/>
        </w:pBdr>
        <w:spacing w:after="0"/>
        <w:ind w:left="720" w:hanging="720"/>
      </w:pPr>
      <w:hyperlink r:id="rId166">
        <w:r w:rsidRPr="00DF0B95">
          <w:rPr>
            <w:lang w:val="sv-SE"/>
          </w:rPr>
          <w:t xml:space="preserve">Koirala, K. H., Mishra, A. K., D’Antoni, J. M. &amp; Mehlhorn, J. E. (2015). </w:t>
        </w:r>
        <w:r>
          <w:t xml:space="preserve">Energy Prices and Agricultural Commodity Prices: Testing Correlation Using Copulas Method, </w:t>
        </w:r>
      </w:hyperlink>
      <w:hyperlink r:id="rId167">
        <w:r>
          <w:rPr>
            <w:i/>
          </w:rPr>
          <w:t>Energy</w:t>
        </w:r>
      </w:hyperlink>
      <w:hyperlink r:id="rId168">
        <w:r>
          <w:t>, vol. 81, pp.430–436</w:t>
        </w:r>
      </w:hyperlink>
    </w:p>
    <w:p w14:paraId="604E4F33" w14:textId="77777777" w:rsidR="00480E11" w:rsidRDefault="00000000">
      <w:pPr>
        <w:widowControl w:val="0"/>
        <w:pBdr>
          <w:top w:val="nil"/>
          <w:left w:val="nil"/>
          <w:bottom w:val="nil"/>
          <w:right w:val="nil"/>
          <w:between w:val="nil"/>
        </w:pBdr>
        <w:spacing w:after="0"/>
        <w:ind w:left="720" w:hanging="720"/>
      </w:pPr>
      <w:hyperlink r:id="rId169">
        <w:r w:rsidRPr="00DF0B95">
          <w:rPr>
            <w:lang w:val="sv-SE"/>
          </w:rPr>
          <w:t xml:space="preserve">Kroner, K. F. &amp; Sultan, J. (1993). </w:t>
        </w:r>
        <w:r>
          <w:t xml:space="preserve">Time-Varying Distributions and Dynamic Hedging with Foreign Currency Futures, </w:t>
        </w:r>
      </w:hyperlink>
      <w:hyperlink r:id="rId170">
        <w:r>
          <w:rPr>
            <w:i/>
          </w:rPr>
          <w:t>Journal of financial and quantitative analysis</w:t>
        </w:r>
      </w:hyperlink>
      <w:hyperlink r:id="rId171">
        <w:r>
          <w:t>, vol. 28, no. 4, pp.535–551</w:t>
        </w:r>
      </w:hyperlink>
    </w:p>
    <w:p w14:paraId="37413B2F" w14:textId="77777777" w:rsidR="00480E11" w:rsidRDefault="00000000">
      <w:pPr>
        <w:widowControl w:val="0"/>
        <w:pBdr>
          <w:top w:val="nil"/>
          <w:left w:val="nil"/>
          <w:bottom w:val="nil"/>
          <w:right w:val="nil"/>
          <w:between w:val="nil"/>
        </w:pBdr>
        <w:spacing w:after="0"/>
        <w:ind w:left="720" w:hanging="720"/>
      </w:pPr>
      <w:hyperlink r:id="rId172">
        <w:r w:rsidRPr="00DF0B95">
          <w:rPr>
            <w:lang w:val="sv-SE"/>
          </w:rPr>
          <w:t xml:space="preserve">Kumar, S., Tiwari, A. K., Raheem, I. D. &amp; Hille, E. (2021). </w:t>
        </w:r>
        <w:r>
          <w:t xml:space="preserve">Time-Varying Dependence Structure between Oil and Agricultural Commodity Markets: A Dependence-Switching CoVaR Copula Approach, </w:t>
        </w:r>
      </w:hyperlink>
      <w:hyperlink r:id="rId173">
        <w:r>
          <w:rPr>
            <w:i/>
          </w:rPr>
          <w:t>Resources Policy</w:t>
        </w:r>
      </w:hyperlink>
      <w:hyperlink r:id="rId174">
        <w:r>
          <w:t>, vol. 72, p.102049</w:t>
        </w:r>
      </w:hyperlink>
    </w:p>
    <w:p w14:paraId="5C8843E1" w14:textId="77777777" w:rsidR="00480E11" w:rsidRDefault="00000000">
      <w:pPr>
        <w:widowControl w:val="0"/>
        <w:pBdr>
          <w:top w:val="nil"/>
          <w:left w:val="nil"/>
          <w:bottom w:val="nil"/>
          <w:right w:val="nil"/>
          <w:between w:val="nil"/>
        </w:pBdr>
        <w:spacing w:after="0"/>
        <w:ind w:left="720" w:hanging="720"/>
      </w:pPr>
      <w:hyperlink r:id="rId175">
        <w:r>
          <w:t xml:space="preserve">Kuriyama, N. (2016). Testing Cointegration in Quantile Regressions with an Application to the Term Structure of Interest Rates, </w:t>
        </w:r>
      </w:hyperlink>
      <w:hyperlink r:id="rId176">
        <w:r>
          <w:rPr>
            <w:i/>
          </w:rPr>
          <w:t>Studies in Nonlinear Dynamics &amp; Econometrics</w:t>
        </w:r>
      </w:hyperlink>
      <w:hyperlink r:id="rId177">
        <w:r>
          <w:t>, vol. 20, no. 2, pp.107–121</w:t>
        </w:r>
      </w:hyperlink>
    </w:p>
    <w:p w14:paraId="72A0E55A" w14:textId="77777777" w:rsidR="00480E11" w:rsidRDefault="00000000">
      <w:pPr>
        <w:widowControl w:val="0"/>
        <w:pBdr>
          <w:top w:val="nil"/>
          <w:left w:val="nil"/>
          <w:bottom w:val="nil"/>
          <w:right w:val="nil"/>
          <w:between w:val="nil"/>
        </w:pBdr>
        <w:spacing w:after="0"/>
        <w:ind w:left="720" w:hanging="720"/>
      </w:pPr>
      <w:hyperlink r:id="rId178">
        <w:r>
          <w:t xml:space="preserve">Liu, D. C. &amp; Nocedal, J. (1989). On the Limited Memory BFGS Method for Large Scale Optimization, </w:t>
        </w:r>
      </w:hyperlink>
      <w:hyperlink r:id="rId179">
        <w:r>
          <w:rPr>
            <w:i/>
          </w:rPr>
          <w:t>Mathematical Programming</w:t>
        </w:r>
      </w:hyperlink>
      <w:hyperlink r:id="rId180">
        <w:r>
          <w:t>, vol. 45, no. 1, pp.503–528</w:t>
        </w:r>
      </w:hyperlink>
    </w:p>
    <w:p w14:paraId="218BAD00" w14:textId="77777777" w:rsidR="00480E11" w:rsidRDefault="00000000">
      <w:pPr>
        <w:widowControl w:val="0"/>
        <w:pBdr>
          <w:top w:val="nil"/>
          <w:left w:val="nil"/>
          <w:bottom w:val="nil"/>
          <w:right w:val="nil"/>
          <w:between w:val="nil"/>
        </w:pBdr>
        <w:spacing w:after="0"/>
        <w:ind w:left="720" w:hanging="720"/>
      </w:pPr>
      <w:hyperlink r:id="rId181">
        <w:r>
          <w:t xml:space="preserve">Lourakis, M. I. (2005). A Brief Description of the Levenberg-Marquardt Algorithm Implemented by Levmar, </w:t>
        </w:r>
      </w:hyperlink>
      <w:hyperlink r:id="rId182">
        <w:r>
          <w:rPr>
            <w:i/>
          </w:rPr>
          <w:t>Foundation of Research and Technology</w:t>
        </w:r>
      </w:hyperlink>
      <w:hyperlink r:id="rId183">
        <w:r>
          <w:t>, vol. 4, no. 1, pp.1–6</w:t>
        </w:r>
      </w:hyperlink>
    </w:p>
    <w:p w14:paraId="0678A3DB" w14:textId="77777777" w:rsidR="00480E11" w:rsidRDefault="00000000">
      <w:pPr>
        <w:widowControl w:val="0"/>
        <w:pBdr>
          <w:top w:val="nil"/>
          <w:left w:val="nil"/>
          <w:bottom w:val="nil"/>
          <w:right w:val="nil"/>
          <w:between w:val="nil"/>
        </w:pBdr>
        <w:spacing w:after="0"/>
        <w:ind w:left="720" w:hanging="720"/>
      </w:pPr>
      <w:hyperlink r:id="rId184">
        <w:r>
          <w:t xml:space="preserve">Miljkovic, D. &amp; Vatsa, P. (2023). On the Linkages between Energy and Agricultural Commodity Prices: A Dynamic Time Warping Analysis, </w:t>
        </w:r>
      </w:hyperlink>
      <w:hyperlink r:id="rId185">
        <w:r>
          <w:rPr>
            <w:i/>
          </w:rPr>
          <w:t>International Review of Financial Analysis</w:t>
        </w:r>
      </w:hyperlink>
      <w:hyperlink r:id="rId186">
        <w:r>
          <w:t>, vol. 90, p.102834</w:t>
        </w:r>
      </w:hyperlink>
    </w:p>
    <w:p w14:paraId="5D32CDA4" w14:textId="77777777" w:rsidR="00480E11" w:rsidRDefault="00000000">
      <w:pPr>
        <w:widowControl w:val="0"/>
        <w:pBdr>
          <w:top w:val="nil"/>
          <w:left w:val="nil"/>
          <w:bottom w:val="nil"/>
          <w:right w:val="nil"/>
          <w:between w:val="nil"/>
        </w:pBdr>
        <w:spacing w:after="0"/>
        <w:ind w:left="720" w:hanging="720"/>
      </w:pPr>
      <w:hyperlink r:id="rId187">
        <w:r>
          <w:t xml:space="preserve">Mohamad, A. &amp; Fromentin, V. (2023). Herd and Causality Dynamics between Energy Commodities and Ethical Investment: Evidence from the Different Phases of the COVID-19 Pandemic, </w:t>
        </w:r>
      </w:hyperlink>
      <w:hyperlink r:id="rId188">
        <w:r>
          <w:rPr>
            <w:i/>
          </w:rPr>
          <w:t>Energy Economics</w:t>
        </w:r>
      </w:hyperlink>
      <w:hyperlink r:id="rId189">
        <w:r>
          <w:t>, vol. 126, p.107001</w:t>
        </w:r>
      </w:hyperlink>
    </w:p>
    <w:p w14:paraId="0107F88E" w14:textId="77777777" w:rsidR="00480E11" w:rsidRDefault="00000000">
      <w:pPr>
        <w:widowControl w:val="0"/>
        <w:pBdr>
          <w:top w:val="nil"/>
          <w:left w:val="nil"/>
          <w:bottom w:val="nil"/>
          <w:right w:val="nil"/>
          <w:between w:val="nil"/>
        </w:pBdr>
        <w:spacing w:after="0"/>
        <w:ind w:left="720" w:hanging="720"/>
      </w:pPr>
      <w:hyperlink r:id="rId190">
        <w:r w:rsidRPr="00DF0B95">
          <w:rPr>
            <w:lang w:val="sv-SE"/>
          </w:rPr>
          <w:t xml:space="preserve">Naeem, M. A., Hasan, M., Arif, M., Suleman, M. T. &amp; Kang, S. H. (2022). </w:t>
        </w:r>
        <w:r>
          <w:t xml:space="preserve">Oil and Gold as a Hedge and Safe-Haven for Metals and Agricultural Commodities with Portfolio Implications, </w:t>
        </w:r>
      </w:hyperlink>
      <w:hyperlink r:id="rId191">
        <w:r>
          <w:rPr>
            <w:i/>
          </w:rPr>
          <w:t>Energy Economics</w:t>
        </w:r>
      </w:hyperlink>
      <w:hyperlink r:id="rId192">
        <w:r>
          <w:t>, vol. 105, p.105758</w:t>
        </w:r>
      </w:hyperlink>
    </w:p>
    <w:p w14:paraId="29D7093F" w14:textId="77777777" w:rsidR="00480E11" w:rsidRDefault="00000000">
      <w:pPr>
        <w:widowControl w:val="0"/>
        <w:pBdr>
          <w:top w:val="nil"/>
          <w:left w:val="nil"/>
          <w:bottom w:val="nil"/>
          <w:right w:val="nil"/>
          <w:between w:val="nil"/>
        </w:pBdr>
        <w:spacing w:after="0"/>
        <w:ind w:left="720" w:hanging="720"/>
      </w:pPr>
      <w:hyperlink r:id="rId193">
        <w:r>
          <w:t xml:space="preserve">Rad, H., Low, R. K. Y., Miffre, J. &amp; Faff, R. (2022). The Strategic Allocation to Style-Integrated Portfolios of Commodity Futures, </w:t>
        </w:r>
      </w:hyperlink>
      <w:hyperlink r:id="rId194">
        <w:r>
          <w:rPr>
            <w:i/>
          </w:rPr>
          <w:t>Journal of Commodity Markets</w:t>
        </w:r>
      </w:hyperlink>
      <w:hyperlink r:id="rId195">
        <w:r>
          <w:t>, vol. 28, p.100259</w:t>
        </w:r>
      </w:hyperlink>
    </w:p>
    <w:p w14:paraId="398A8F6E" w14:textId="77777777" w:rsidR="00480E11" w:rsidRDefault="00000000">
      <w:pPr>
        <w:widowControl w:val="0"/>
        <w:pBdr>
          <w:top w:val="nil"/>
          <w:left w:val="nil"/>
          <w:bottom w:val="nil"/>
          <w:right w:val="nil"/>
          <w:between w:val="nil"/>
        </w:pBdr>
        <w:spacing w:after="0"/>
        <w:ind w:left="720" w:hanging="720"/>
      </w:pPr>
      <w:hyperlink r:id="rId196">
        <w:r>
          <w:t xml:space="preserve">Raza, N., Ali, S., Shahzad, S. J. H. &amp; Raza, S. A. (2018). Do Commodities Effectively Hedge Real Estate Risk? A Multi-Scale Asymmetric DCC Approach, </w:t>
        </w:r>
      </w:hyperlink>
      <w:hyperlink r:id="rId197">
        <w:r>
          <w:rPr>
            <w:i/>
          </w:rPr>
          <w:t>Resources Policy</w:t>
        </w:r>
      </w:hyperlink>
      <w:hyperlink r:id="rId198">
        <w:r>
          <w:t>, vol. 57, pp.10–29</w:t>
        </w:r>
      </w:hyperlink>
    </w:p>
    <w:p w14:paraId="13AD3044" w14:textId="77777777" w:rsidR="00480E11" w:rsidRDefault="00000000">
      <w:pPr>
        <w:widowControl w:val="0"/>
        <w:pBdr>
          <w:top w:val="nil"/>
          <w:left w:val="nil"/>
          <w:bottom w:val="nil"/>
          <w:right w:val="nil"/>
          <w:between w:val="nil"/>
        </w:pBdr>
        <w:spacing w:after="0"/>
        <w:ind w:left="720" w:hanging="720"/>
      </w:pPr>
      <w:hyperlink r:id="rId199">
        <w:r>
          <w:t xml:space="preserve">Reboredo, J. C. (2013). Is Gold a Hedge or Safe Haven against Oil Price Movements?, </w:t>
        </w:r>
      </w:hyperlink>
      <w:hyperlink r:id="rId200">
        <w:r>
          <w:rPr>
            <w:i/>
          </w:rPr>
          <w:t>Resources Policy</w:t>
        </w:r>
      </w:hyperlink>
      <w:hyperlink r:id="rId201">
        <w:r>
          <w:t>, vol. 38, no. 2, pp.130–137</w:t>
        </w:r>
      </w:hyperlink>
    </w:p>
    <w:p w14:paraId="76214C75" w14:textId="77777777" w:rsidR="00480E11" w:rsidRDefault="00000000">
      <w:pPr>
        <w:widowControl w:val="0"/>
        <w:pBdr>
          <w:top w:val="nil"/>
          <w:left w:val="nil"/>
          <w:bottom w:val="nil"/>
          <w:right w:val="nil"/>
          <w:between w:val="nil"/>
        </w:pBdr>
        <w:spacing w:after="0"/>
        <w:ind w:left="720" w:hanging="720"/>
      </w:pPr>
      <w:hyperlink r:id="rId202">
        <w:r>
          <w:t xml:space="preserve">Rehman, M. U. &amp; Vo, X. V. (2021). Energy Commodities, Precious Metals and Industrial Metal Markets: A Nexus across Different Investment Horizons and Market Conditions, </w:t>
        </w:r>
      </w:hyperlink>
      <w:hyperlink r:id="rId203">
        <w:r>
          <w:rPr>
            <w:i/>
          </w:rPr>
          <w:t>Resources Policy</w:t>
        </w:r>
      </w:hyperlink>
      <w:hyperlink r:id="rId204">
        <w:r>
          <w:t>, vol. 70, p.101843</w:t>
        </w:r>
      </w:hyperlink>
    </w:p>
    <w:p w14:paraId="767F27B3" w14:textId="77777777" w:rsidR="00480E11" w:rsidRDefault="00000000">
      <w:pPr>
        <w:widowControl w:val="0"/>
        <w:pBdr>
          <w:top w:val="nil"/>
          <w:left w:val="nil"/>
          <w:bottom w:val="nil"/>
          <w:right w:val="nil"/>
          <w:between w:val="nil"/>
        </w:pBdr>
        <w:spacing w:after="0"/>
        <w:ind w:left="720" w:hanging="720"/>
      </w:pPr>
      <w:hyperlink r:id="rId205">
        <w:r>
          <w:t xml:space="preserve">Ruano, F. &amp; Barros, V. (2022). Commodities and Portfolio Diversification: Myth or Fact?, </w:t>
        </w:r>
      </w:hyperlink>
      <w:hyperlink r:id="rId206">
        <w:r>
          <w:rPr>
            <w:i/>
          </w:rPr>
          <w:t>The Quarterly Review of Economics and Finance</w:t>
        </w:r>
      </w:hyperlink>
      <w:hyperlink r:id="rId207">
        <w:r>
          <w:t>, vol. 86, pp.281–295</w:t>
        </w:r>
      </w:hyperlink>
    </w:p>
    <w:p w14:paraId="07230055" w14:textId="77777777" w:rsidR="00480E11" w:rsidRDefault="00000000">
      <w:pPr>
        <w:widowControl w:val="0"/>
        <w:pBdr>
          <w:top w:val="nil"/>
          <w:left w:val="nil"/>
          <w:bottom w:val="nil"/>
          <w:right w:val="nil"/>
          <w:between w:val="nil"/>
        </w:pBdr>
        <w:spacing w:after="0"/>
        <w:ind w:left="720" w:hanging="720"/>
      </w:pPr>
      <w:hyperlink r:id="rId208">
        <w:r w:rsidRPr="00DF0B95">
          <w:rPr>
            <w:lang w:val="sv-SE"/>
          </w:rPr>
          <w:t xml:space="preserve">Sari, R., Hammoudeh, S. &amp; Soytas, U. (2010). </w:t>
        </w:r>
        <w:r>
          <w:t xml:space="preserve">Dynamics of Oil Price, Precious Metal Prices, and Exchange Rate, </w:t>
        </w:r>
      </w:hyperlink>
      <w:hyperlink r:id="rId209">
        <w:r>
          <w:rPr>
            <w:i/>
          </w:rPr>
          <w:t>Energy Economics</w:t>
        </w:r>
      </w:hyperlink>
      <w:hyperlink r:id="rId210">
        <w:r>
          <w:t>, vol. 32, no. 2, pp.351–362</w:t>
        </w:r>
      </w:hyperlink>
    </w:p>
    <w:p w14:paraId="64D06B8F" w14:textId="77777777" w:rsidR="00480E11" w:rsidRDefault="00000000">
      <w:pPr>
        <w:widowControl w:val="0"/>
        <w:pBdr>
          <w:top w:val="nil"/>
          <w:left w:val="nil"/>
          <w:bottom w:val="nil"/>
          <w:right w:val="nil"/>
          <w:between w:val="nil"/>
        </w:pBdr>
        <w:spacing w:after="0"/>
        <w:ind w:left="720" w:hanging="720"/>
      </w:pPr>
      <w:hyperlink r:id="rId211">
        <w:r>
          <w:t xml:space="preserve">Shafiullah, M., Chaudhry, S. M., Shahbaz, M. &amp; Reboredo, J. C. (2021). Quantile Causality and Dependence between Crude Oil and Precious Metal Prices, </w:t>
        </w:r>
      </w:hyperlink>
      <w:hyperlink r:id="rId212">
        <w:r>
          <w:rPr>
            <w:i/>
          </w:rPr>
          <w:t>International Journal of Finance &amp; Economics</w:t>
        </w:r>
      </w:hyperlink>
      <w:hyperlink r:id="rId213">
        <w:r>
          <w:t>, vol. 26, no. 4, pp.6264–6280</w:t>
        </w:r>
      </w:hyperlink>
    </w:p>
    <w:p w14:paraId="2ABB2D02" w14:textId="77777777" w:rsidR="00480E11" w:rsidRDefault="00000000">
      <w:pPr>
        <w:widowControl w:val="0"/>
        <w:pBdr>
          <w:top w:val="nil"/>
          <w:left w:val="nil"/>
          <w:bottom w:val="nil"/>
          <w:right w:val="nil"/>
          <w:between w:val="nil"/>
        </w:pBdr>
        <w:spacing w:after="0"/>
        <w:ind w:left="720" w:hanging="720"/>
      </w:pPr>
      <w:hyperlink r:id="rId214">
        <w:r>
          <w:t xml:space="preserve">Shahzad, F., Bouri, E., Mokni, K. &amp; Ajmi, A. N. (2021). Energy, Agriculture, and Precious Metals: Evidence from Time-Varying Granger Causal Relationships for Both Return and Volatility, </w:t>
        </w:r>
      </w:hyperlink>
      <w:hyperlink r:id="rId215">
        <w:r>
          <w:rPr>
            <w:i/>
          </w:rPr>
          <w:t>Resources Policy</w:t>
        </w:r>
      </w:hyperlink>
      <w:hyperlink r:id="rId216">
        <w:r>
          <w:t>, vol. 74, p.102298</w:t>
        </w:r>
      </w:hyperlink>
    </w:p>
    <w:p w14:paraId="69BA7A52" w14:textId="77777777" w:rsidR="00480E11" w:rsidRDefault="00000000">
      <w:pPr>
        <w:widowControl w:val="0"/>
        <w:pBdr>
          <w:top w:val="nil"/>
          <w:left w:val="nil"/>
          <w:bottom w:val="nil"/>
          <w:right w:val="nil"/>
          <w:between w:val="nil"/>
        </w:pBdr>
        <w:spacing w:after="0"/>
        <w:ind w:left="720" w:hanging="720"/>
      </w:pPr>
      <w:hyperlink r:id="rId217">
        <w:r>
          <w:t xml:space="preserve">Shiferaw, Y. A. (2019). Time-Varying Correlation between Agricultural Commodity and Energy Price Dynamics with Bayesian Multivariate DCC-GARCH Models, </w:t>
        </w:r>
      </w:hyperlink>
      <w:hyperlink r:id="rId218">
        <w:r>
          <w:rPr>
            <w:i/>
          </w:rPr>
          <w:t>Physica A: Statistical Mechanics and its Applications</w:t>
        </w:r>
      </w:hyperlink>
      <w:hyperlink r:id="rId219">
        <w:r>
          <w:t>, vol. 526, p.120807</w:t>
        </w:r>
      </w:hyperlink>
    </w:p>
    <w:p w14:paraId="31F37867" w14:textId="77777777" w:rsidR="00480E11" w:rsidRDefault="00000000">
      <w:pPr>
        <w:widowControl w:val="0"/>
        <w:pBdr>
          <w:top w:val="nil"/>
          <w:left w:val="nil"/>
          <w:bottom w:val="nil"/>
          <w:right w:val="nil"/>
          <w:between w:val="nil"/>
        </w:pBdr>
        <w:spacing w:after="0"/>
        <w:ind w:left="720" w:hanging="720"/>
      </w:pPr>
      <w:hyperlink r:id="rId220">
        <w:r>
          <w:t xml:space="preserve">Sliver Price History from 2000 to 2010. (n.d.). </w:t>
        </w:r>
      </w:hyperlink>
      <w:hyperlink r:id="rId221">
        <w:r>
          <w:rPr>
            <w:i/>
          </w:rPr>
          <w:t>Sliver Price History from 2000 to 2010</w:t>
        </w:r>
      </w:hyperlink>
      <w:hyperlink r:id="rId222">
        <w:r>
          <w:t>, Available Online: https://www.silverinstitute.org/silverprice/2000-2010/ [Accessed 13 April 2024]</w:t>
        </w:r>
      </w:hyperlink>
    </w:p>
    <w:p w14:paraId="645ECE60" w14:textId="77777777" w:rsidR="00480E11" w:rsidRDefault="00000000">
      <w:pPr>
        <w:widowControl w:val="0"/>
        <w:pBdr>
          <w:top w:val="nil"/>
          <w:left w:val="nil"/>
          <w:bottom w:val="nil"/>
          <w:right w:val="nil"/>
          <w:between w:val="nil"/>
        </w:pBdr>
        <w:spacing w:after="0"/>
        <w:ind w:left="720" w:hanging="720"/>
      </w:pPr>
      <w:hyperlink r:id="rId223">
        <w:r w:rsidRPr="00DF0B95">
          <w:rPr>
            <w:lang w:val="sv-SE"/>
          </w:rPr>
          <w:t xml:space="preserve">Trabelsi, N., Tiwari, A. K. &amp; Hammoudeh, S. (2022). </w:t>
        </w:r>
        <w:r>
          <w:t xml:space="preserve">Spillovers and Directional Predictability between International Energy Commodities and Their Implications for Optimal Portfolio and Hedging, </w:t>
        </w:r>
      </w:hyperlink>
      <w:hyperlink r:id="rId224">
        <w:r>
          <w:rPr>
            <w:i/>
          </w:rPr>
          <w:t>The North American Journal of Economics and Finance</w:t>
        </w:r>
      </w:hyperlink>
      <w:hyperlink r:id="rId225">
        <w:r>
          <w:t>, vol. 62, p.101715</w:t>
        </w:r>
      </w:hyperlink>
    </w:p>
    <w:p w14:paraId="2420133E" w14:textId="77777777" w:rsidR="00480E11" w:rsidRDefault="00000000">
      <w:pPr>
        <w:widowControl w:val="0"/>
        <w:pBdr>
          <w:top w:val="nil"/>
          <w:left w:val="nil"/>
          <w:bottom w:val="nil"/>
          <w:right w:val="nil"/>
          <w:between w:val="nil"/>
        </w:pBdr>
        <w:spacing w:after="0"/>
        <w:ind w:left="720" w:hanging="720"/>
      </w:pPr>
      <w:hyperlink r:id="rId226">
        <w:r>
          <w:t xml:space="preserve">Troster, V. (2018). Testing for Granger-Causality in Quantiles, </w:t>
        </w:r>
      </w:hyperlink>
      <w:hyperlink r:id="rId227">
        <w:r>
          <w:rPr>
            <w:i/>
          </w:rPr>
          <w:t>Econometric Reviews</w:t>
        </w:r>
      </w:hyperlink>
      <w:hyperlink r:id="rId228">
        <w:r>
          <w:t>, vol. 37, no. 8, pp.850–866</w:t>
        </w:r>
      </w:hyperlink>
    </w:p>
    <w:p w14:paraId="7D8EE73E" w14:textId="77777777" w:rsidR="00480E11" w:rsidRDefault="00000000">
      <w:pPr>
        <w:widowControl w:val="0"/>
        <w:pBdr>
          <w:top w:val="nil"/>
          <w:left w:val="nil"/>
          <w:bottom w:val="nil"/>
          <w:right w:val="nil"/>
          <w:between w:val="nil"/>
        </w:pBdr>
        <w:spacing w:after="0"/>
        <w:ind w:left="720" w:hanging="720"/>
      </w:pPr>
      <w:hyperlink r:id="rId229">
        <w:r w:rsidRPr="00DF0B95">
          <w:rPr>
            <w:lang w:val="sv-SE"/>
          </w:rPr>
          <w:t xml:space="preserve">Wimmer, T., Geyer-Klingeberg, J., Hütter, M., Schmid, F. &amp; Rathgeber, A. (2021). </w:t>
        </w:r>
        <w:r>
          <w:t xml:space="preserve">The Impact of Speculation on Commodity Prices: A Meta-Granger Analysis, </w:t>
        </w:r>
      </w:hyperlink>
      <w:hyperlink r:id="rId230">
        <w:r>
          <w:rPr>
            <w:i/>
          </w:rPr>
          <w:t>Journal of Commodity Markets</w:t>
        </w:r>
      </w:hyperlink>
      <w:hyperlink r:id="rId231">
        <w:r>
          <w:t>, vol. 22, p.100148</w:t>
        </w:r>
      </w:hyperlink>
    </w:p>
    <w:p w14:paraId="3157C298" w14:textId="3C637A14" w:rsidR="00480E11" w:rsidRDefault="00000000" w:rsidP="00731D07">
      <w:pPr>
        <w:widowControl w:val="0"/>
        <w:pBdr>
          <w:top w:val="nil"/>
          <w:left w:val="nil"/>
          <w:bottom w:val="nil"/>
          <w:right w:val="nil"/>
          <w:between w:val="nil"/>
        </w:pBdr>
        <w:spacing w:after="0"/>
        <w:ind w:left="720" w:hanging="720"/>
      </w:pPr>
      <w:hyperlink r:id="rId232">
        <w:r>
          <w:t xml:space="preserve">Yaya, O. S., Ogbonna, A. E., Adesina, O. A., Alobaloke, K. A. &amp; Vo, X. V. (2022). Time-Variation between Metal Commodities and Oil, and the Impact of Oil Shocks: GARCH-MIDAS and DCC-MIDAS Analyses, </w:t>
        </w:r>
      </w:hyperlink>
      <w:hyperlink r:id="rId233">
        <w:r>
          <w:rPr>
            <w:i/>
          </w:rPr>
          <w:t>Resources Policy</w:t>
        </w:r>
      </w:hyperlink>
      <w:hyperlink r:id="rId234">
        <w:r>
          <w:t>, vol. 79, p.103036</w:t>
        </w:r>
      </w:hyperlink>
    </w:p>
    <w:sectPr w:rsidR="00480E11" w:rsidSect="005864B6">
      <w:footerReference w:type="default" r:id="rId235"/>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1D79C" w14:textId="77777777" w:rsidR="00D91A25" w:rsidRDefault="00D91A25">
      <w:pPr>
        <w:spacing w:after="0"/>
      </w:pPr>
      <w:r>
        <w:separator/>
      </w:r>
    </w:p>
  </w:endnote>
  <w:endnote w:type="continuationSeparator" w:id="0">
    <w:p w14:paraId="5C5C5261" w14:textId="77777777" w:rsidR="00D91A25" w:rsidRDefault="00D91A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7EF79" w14:textId="3B54DBDE" w:rsidR="00DF6DC1" w:rsidRDefault="00DF6DC1">
    <w:pPr>
      <w:pStyle w:val="Footer"/>
      <w:jc w:val="center"/>
    </w:pPr>
  </w:p>
  <w:p w14:paraId="2BDEA32C" w14:textId="77777777" w:rsidR="004B199E" w:rsidRDefault="004B19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8509799"/>
      <w:docPartObj>
        <w:docPartGallery w:val="Page Numbers (Bottom of Page)"/>
        <w:docPartUnique/>
      </w:docPartObj>
    </w:sdtPr>
    <w:sdtEndPr>
      <w:rPr>
        <w:noProof/>
      </w:rPr>
    </w:sdtEndPr>
    <w:sdtContent>
      <w:p w14:paraId="28B001CB" w14:textId="77777777" w:rsidR="00451C30" w:rsidRDefault="00451C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41A211" w14:textId="77777777" w:rsidR="00451C30" w:rsidRDefault="00451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B36CA7" w14:textId="77777777" w:rsidR="00D91A25" w:rsidRDefault="00D91A25">
      <w:pPr>
        <w:spacing w:after="0"/>
      </w:pPr>
      <w:r>
        <w:separator/>
      </w:r>
    </w:p>
  </w:footnote>
  <w:footnote w:type="continuationSeparator" w:id="0">
    <w:p w14:paraId="112C8D8A" w14:textId="77777777" w:rsidR="00D91A25" w:rsidRDefault="00D91A2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E11"/>
    <w:rsid w:val="0000276F"/>
    <w:rsid w:val="00010EA4"/>
    <w:rsid w:val="00023958"/>
    <w:rsid w:val="000337BA"/>
    <w:rsid w:val="000652D5"/>
    <w:rsid w:val="00067155"/>
    <w:rsid w:val="00072E52"/>
    <w:rsid w:val="00085060"/>
    <w:rsid w:val="000912D9"/>
    <w:rsid w:val="00093436"/>
    <w:rsid w:val="000A5E87"/>
    <w:rsid w:val="000D40E9"/>
    <w:rsid w:val="000E17CC"/>
    <w:rsid w:val="000F5AED"/>
    <w:rsid w:val="00104586"/>
    <w:rsid w:val="00135097"/>
    <w:rsid w:val="001812B7"/>
    <w:rsid w:val="00183288"/>
    <w:rsid w:val="00185785"/>
    <w:rsid w:val="00186DE8"/>
    <w:rsid w:val="001A015A"/>
    <w:rsid w:val="001A0756"/>
    <w:rsid w:val="001C0C3E"/>
    <w:rsid w:val="001C28F7"/>
    <w:rsid w:val="001C7D2F"/>
    <w:rsid w:val="001E0A2F"/>
    <w:rsid w:val="001F0506"/>
    <w:rsid w:val="001F1EBF"/>
    <w:rsid w:val="001F2DB5"/>
    <w:rsid w:val="00200C74"/>
    <w:rsid w:val="002031E1"/>
    <w:rsid w:val="00222134"/>
    <w:rsid w:val="002223B6"/>
    <w:rsid w:val="00224F2B"/>
    <w:rsid w:val="00225A1B"/>
    <w:rsid w:val="00237793"/>
    <w:rsid w:val="002411E4"/>
    <w:rsid w:val="00243BC9"/>
    <w:rsid w:val="00247D09"/>
    <w:rsid w:val="00290C3A"/>
    <w:rsid w:val="002A6D83"/>
    <w:rsid w:val="002B1D79"/>
    <w:rsid w:val="002C02E3"/>
    <w:rsid w:val="002D3FF0"/>
    <w:rsid w:val="002E3430"/>
    <w:rsid w:val="002E4745"/>
    <w:rsid w:val="002F3DDD"/>
    <w:rsid w:val="00303BE3"/>
    <w:rsid w:val="00313F62"/>
    <w:rsid w:val="00315850"/>
    <w:rsid w:val="00337BCE"/>
    <w:rsid w:val="00341444"/>
    <w:rsid w:val="00353CDC"/>
    <w:rsid w:val="00362A3F"/>
    <w:rsid w:val="0036481F"/>
    <w:rsid w:val="00372BB1"/>
    <w:rsid w:val="003814B0"/>
    <w:rsid w:val="0038738F"/>
    <w:rsid w:val="003900F6"/>
    <w:rsid w:val="003B3E83"/>
    <w:rsid w:val="003C15B9"/>
    <w:rsid w:val="003C4879"/>
    <w:rsid w:val="003D5F2E"/>
    <w:rsid w:val="003E6FD2"/>
    <w:rsid w:val="003F176E"/>
    <w:rsid w:val="00402468"/>
    <w:rsid w:val="004144E1"/>
    <w:rsid w:val="00420A62"/>
    <w:rsid w:val="00422419"/>
    <w:rsid w:val="00437481"/>
    <w:rsid w:val="00445F27"/>
    <w:rsid w:val="00451C30"/>
    <w:rsid w:val="00454B4B"/>
    <w:rsid w:val="0045686A"/>
    <w:rsid w:val="004735EF"/>
    <w:rsid w:val="00480270"/>
    <w:rsid w:val="00480E11"/>
    <w:rsid w:val="00484DF1"/>
    <w:rsid w:val="0049370C"/>
    <w:rsid w:val="004A1A34"/>
    <w:rsid w:val="004B199E"/>
    <w:rsid w:val="004C4A39"/>
    <w:rsid w:val="004D76DD"/>
    <w:rsid w:val="004E07A8"/>
    <w:rsid w:val="004F1F57"/>
    <w:rsid w:val="004F4B61"/>
    <w:rsid w:val="004F545E"/>
    <w:rsid w:val="0050614A"/>
    <w:rsid w:val="00511FC3"/>
    <w:rsid w:val="00513875"/>
    <w:rsid w:val="00532235"/>
    <w:rsid w:val="00540B6A"/>
    <w:rsid w:val="00542803"/>
    <w:rsid w:val="005458A5"/>
    <w:rsid w:val="00561E2A"/>
    <w:rsid w:val="005864B6"/>
    <w:rsid w:val="0059440E"/>
    <w:rsid w:val="005946B6"/>
    <w:rsid w:val="00597709"/>
    <w:rsid w:val="005B32A1"/>
    <w:rsid w:val="005B4D76"/>
    <w:rsid w:val="005C1AF0"/>
    <w:rsid w:val="005D1FE4"/>
    <w:rsid w:val="005E7A42"/>
    <w:rsid w:val="005F79E2"/>
    <w:rsid w:val="006021AE"/>
    <w:rsid w:val="0060664D"/>
    <w:rsid w:val="00624E52"/>
    <w:rsid w:val="00630E42"/>
    <w:rsid w:val="00643FD3"/>
    <w:rsid w:val="00657A41"/>
    <w:rsid w:val="006639DA"/>
    <w:rsid w:val="0067005F"/>
    <w:rsid w:val="006703C5"/>
    <w:rsid w:val="006B175B"/>
    <w:rsid w:val="006B24AA"/>
    <w:rsid w:val="006C6E60"/>
    <w:rsid w:val="006E0867"/>
    <w:rsid w:val="006E35CC"/>
    <w:rsid w:val="006F68D3"/>
    <w:rsid w:val="007228CD"/>
    <w:rsid w:val="0072575B"/>
    <w:rsid w:val="00731D07"/>
    <w:rsid w:val="0073270A"/>
    <w:rsid w:val="0074411D"/>
    <w:rsid w:val="007545C7"/>
    <w:rsid w:val="007623F3"/>
    <w:rsid w:val="00775E55"/>
    <w:rsid w:val="0078130B"/>
    <w:rsid w:val="007907DF"/>
    <w:rsid w:val="007957EA"/>
    <w:rsid w:val="007A3826"/>
    <w:rsid w:val="007B3978"/>
    <w:rsid w:val="007C17CC"/>
    <w:rsid w:val="007C2857"/>
    <w:rsid w:val="007D6E09"/>
    <w:rsid w:val="007F5AC6"/>
    <w:rsid w:val="007F5E5D"/>
    <w:rsid w:val="008015ED"/>
    <w:rsid w:val="00830878"/>
    <w:rsid w:val="00840AB0"/>
    <w:rsid w:val="008424FB"/>
    <w:rsid w:val="00865D5C"/>
    <w:rsid w:val="00870EAB"/>
    <w:rsid w:val="00887157"/>
    <w:rsid w:val="00897027"/>
    <w:rsid w:val="008B0076"/>
    <w:rsid w:val="008B4E24"/>
    <w:rsid w:val="008D49AC"/>
    <w:rsid w:val="008E14B0"/>
    <w:rsid w:val="0090050E"/>
    <w:rsid w:val="00902698"/>
    <w:rsid w:val="009033CE"/>
    <w:rsid w:val="00905673"/>
    <w:rsid w:val="00917227"/>
    <w:rsid w:val="00924FC6"/>
    <w:rsid w:val="00926A8F"/>
    <w:rsid w:val="00933E17"/>
    <w:rsid w:val="00946421"/>
    <w:rsid w:val="00954B81"/>
    <w:rsid w:val="009601F7"/>
    <w:rsid w:val="00962C4A"/>
    <w:rsid w:val="00964C9C"/>
    <w:rsid w:val="009657F6"/>
    <w:rsid w:val="00994F68"/>
    <w:rsid w:val="009B5314"/>
    <w:rsid w:val="009C0229"/>
    <w:rsid w:val="009C04FF"/>
    <w:rsid w:val="009C5A36"/>
    <w:rsid w:val="009C64B6"/>
    <w:rsid w:val="009D101E"/>
    <w:rsid w:val="009E0CFE"/>
    <w:rsid w:val="009E1AAB"/>
    <w:rsid w:val="00A205CA"/>
    <w:rsid w:val="00A215D7"/>
    <w:rsid w:val="00A2212A"/>
    <w:rsid w:val="00A33B6A"/>
    <w:rsid w:val="00A43F58"/>
    <w:rsid w:val="00A473B9"/>
    <w:rsid w:val="00A47808"/>
    <w:rsid w:val="00A52354"/>
    <w:rsid w:val="00A55E01"/>
    <w:rsid w:val="00A8052E"/>
    <w:rsid w:val="00A8745B"/>
    <w:rsid w:val="00A96269"/>
    <w:rsid w:val="00A962C3"/>
    <w:rsid w:val="00AB14DF"/>
    <w:rsid w:val="00AB31D4"/>
    <w:rsid w:val="00AB6D14"/>
    <w:rsid w:val="00AC1339"/>
    <w:rsid w:val="00AC41A8"/>
    <w:rsid w:val="00AC41DE"/>
    <w:rsid w:val="00B002F4"/>
    <w:rsid w:val="00B06F6F"/>
    <w:rsid w:val="00B1081F"/>
    <w:rsid w:val="00B13792"/>
    <w:rsid w:val="00B13E88"/>
    <w:rsid w:val="00B174F3"/>
    <w:rsid w:val="00B407BC"/>
    <w:rsid w:val="00B45BC3"/>
    <w:rsid w:val="00B47617"/>
    <w:rsid w:val="00B51E25"/>
    <w:rsid w:val="00B533BD"/>
    <w:rsid w:val="00B55C7F"/>
    <w:rsid w:val="00B56259"/>
    <w:rsid w:val="00B6042F"/>
    <w:rsid w:val="00B806FA"/>
    <w:rsid w:val="00BA099E"/>
    <w:rsid w:val="00BB118F"/>
    <w:rsid w:val="00BB6F17"/>
    <w:rsid w:val="00BC5080"/>
    <w:rsid w:val="00BD3BDB"/>
    <w:rsid w:val="00BD5D38"/>
    <w:rsid w:val="00BE67EE"/>
    <w:rsid w:val="00C07C01"/>
    <w:rsid w:val="00C07E4D"/>
    <w:rsid w:val="00C25EA9"/>
    <w:rsid w:val="00C43584"/>
    <w:rsid w:val="00C44702"/>
    <w:rsid w:val="00C4679C"/>
    <w:rsid w:val="00C607A0"/>
    <w:rsid w:val="00C612B5"/>
    <w:rsid w:val="00C6727E"/>
    <w:rsid w:val="00C827AF"/>
    <w:rsid w:val="00C8706F"/>
    <w:rsid w:val="00C9179D"/>
    <w:rsid w:val="00CA493E"/>
    <w:rsid w:val="00CB25A6"/>
    <w:rsid w:val="00CC12A6"/>
    <w:rsid w:val="00CC5229"/>
    <w:rsid w:val="00CE18B9"/>
    <w:rsid w:val="00CE21A4"/>
    <w:rsid w:val="00CF4124"/>
    <w:rsid w:val="00CF6F96"/>
    <w:rsid w:val="00D033B3"/>
    <w:rsid w:val="00D12A77"/>
    <w:rsid w:val="00D1746D"/>
    <w:rsid w:val="00D27B62"/>
    <w:rsid w:val="00D300D8"/>
    <w:rsid w:val="00D32532"/>
    <w:rsid w:val="00D341D1"/>
    <w:rsid w:val="00D376E3"/>
    <w:rsid w:val="00D401C9"/>
    <w:rsid w:val="00D44BF9"/>
    <w:rsid w:val="00D638E2"/>
    <w:rsid w:val="00D64046"/>
    <w:rsid w:val="00D67280"/>
    <w:rsid w:val="00D8664C"/>
    <w:rsid w:val="00D8724C"/>
    <w:rsid w:val="00D91A25"/>
    <w:rsid w:val="00D92BF1"/>
    <w:rsid w:val="00DA0FFC"/>
    <w:rsid w:val="00DA3965"/>
    <w:rsid w:val="00DA769F"/>
    <w:rsid w:val="00DB455D"/>
    <w:rsid w:val="00DC3CE0"/>
    <w:rsid w:val="00DC5CA8"/>
    <w:rsid w:val="00DC65E3"/>
    <w:rsid w:val="00DF0B95"/>
    <w:rsid w:val="00DF4D4F"/>
    <w:rsid w:val="00DF5B87"/>
    <w:rsid w:val="00DF6DC1"/>
    <w:rsid w:val="00DF7188"/>
    <w:rsid w:val="00E17EB5"/>
    <w:rsid w:val="00E314D5"/>
    <w:rsid w:val="00E44F81"/>
    <w:rsid w:val="00E51FB4"/>
    <w:rsid w:val="00E626C9"/>
    <w:rsid w:val="00E67727"/>
    <w:rsid w:val="00E72094"/>
    <w:rsid w:val="00E75118"/>
    <w:rsid w:val="00E826EB"/>
    <w:rsid w:val="00E94D48"/>
    <w:rsid w:val="00EC4E1D"/>
    <w:rsid w:val="00ED1164"/>
    <w:rsid w:val="00ED457D"/>
    <w:rsid w:val="00EE0C51"/>
    <w:rsid w:val="00EE1569"/>
    <w:rsid w:val="00EE2515"/>
    <w:rsid w:val="00EF72A3"/>
    <w:rsid w:val="00EF7A42"/>
    <w:rsid w:val="00F17EB6"/>
    <w:rsid w:val="00F5467B"/>
    <w:rsid w:val="00F574B4"/>
    <w:rsid w:val="00F65113"/>
    <w:rsid w:val="00F66009"/>
    <w:rsid w:val="00F703CA"/>
    <w:rsid w:val="00F83CB0"/>
    <w:rsid w:val="00F87119"/>
    <w:rsid w:val="00F90763"/>
    <w:rsid w:val="00F9256A"/>
    <w:rsid w:val="00F94614"/>
    <w:rsid w:val="00F97CD7"/>
    <w:rsid w:val="00FD248D"/>
    <w:rsid w:val="00FD6725"/>
    <w:rsid w:val="00FE5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90D2F7"/>
  <w15:docId w15:val="{70F79A89-4059-489C-8F40-18B99648C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zh-CN"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1165"/>
        <w:tab w:val="left" w:pos="1167"/>
      </w:tabs>
      <w:spacing w:before="55"/>
      <w:outlineLvl w:val="0"/>
    </w:pPr>
    <w:rPr>
      <w:sz w:val="48"/>
      <w:szCs w:val="48"/>
    </w:rPr>
  </w:style>
  <w:style w:type="paragraph" w:styleId="Heading2">
    <w:name w:val="heading 2"/>
    <w:basedOn w:val="Normal"/>
    <w:next w:val="Normal"/>
    <w:uiPriority w:val="9"/>
    <w:unhideWhenUsed/>
    <w:qFormat/>
    <w:pPr>
      <w:keepNext/>
      <w:keepLines/>
      <w:outlineLvl w:val="1"/>
    </w:pPr>
    <w:rPr>
      <w:sz w:val="36"/>
      <w:szCs w:val="36"/>
    </w:rPr>
  </w:style>
  <w:style w:type="paragraph" w:styleId="Heading3">
    <w:name w:val="heading 3"/>
    <w:basedOn w:val="Normal"/>
    <w:next w:val="Normal"/>
    <w:uiPriority w:val="9"/>
    <w:unhideWhenUsed/>
    <w:qFormat/>
    <w:pPr>
      <w:keepNext/>
      <w:keepLines/>
      <w:outlineLvl w:val="2"/>
    </w:pPr>
    <w:rPr>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94D48"/>
    <w:pPr>
      <w:spacing w:after="100"/>
    </w:pPr>
  </w:style>
  <w:style w:type="paragraph" w:styleId="TOC2">
    <w:name w:val="toc 2"/>
    <w:basedOn w:val="Normal"/>
    <w:next w:val="Normal"/>
    <w:autoRedefine/>
    <w:uiPriority w:val="39"/>
    <w:unhideWhenUsed/>
    <w:rsid w:val="00E94D48"/>
    <w:pPr>
      <w:spacing w:after="100"/>
      <w:ind w:left="240"/>
    </w:pPr>
  </w:style>
  <w:style w:type="paragraph" w:styleId="TOC3">
    <w:name w:val="toc 3"/>
    <w:basedOn w:val="Normal"/>
    <w:next w:val="Normal"/>
    <w:autoRedefine/>
    <w:uiPriority w:val="39"/>
    <w:unhideWhenUsed/>
    <w:rsid w:val="00E94D48"/>
    <w:pPr>
      <w:spacing w:after="100"/>
      <w:ind w:left="480"/>
    </w:pPr>
  </w:style>
  <w:style w:type="character" w:styleId="Hyperlink">
    <w:name w:val="Hyperlink"/>
    <w:basedOn w:val="DefaultParagraphFont"/>
    <w:uiPriority w:val="99"/>
    <w:unhideWhenUsed/>
    <w:rsid w:val="00E94D48"/>
    <w:rPr>
      <w:color w:val="0000FF" w:themeColor="hyperlink"/>
      <w:u w:val="single"/>
    </w:rPr>
  </w:style>
  <w:style w:type="paragraph" w:styleId="Header">
    <w:name w:val="header"/>
    <w:basedOn w:val="Normal"/>
    <w:link w:val="HeaderChar"/>
    <w:uiPriority w:val="99"/>
    <w:unhideWhenUsed/>
    <w:rsid w:val="005864B6"/>
    <w:pPr>
      <w:tabs>
        <w:tab w:val="center" w:pos="4320"/>
        <w:tab w:val="right" w:pos="8640"/>
      </w:tabs>
      <w:spacing w:after="0"/>
    </w:pPr>
  </w:style>
  <w:style w:type="character" w:customStyle="1" w:styleId="HeaderChar">
    <w:name w:val="Header Char"/>
    <w:basedOn w:val="DefaultParagraphFont"/>
    <w:link w:val="Header"/>
    <w:uiPriority w:val="99"/>
    <w:rsid w:val="005864B6"/>
  </w:style>
  <w:style w:type="paragraph" w:styleId="Footer">
    <w:name w:val="footer"/>
    <w:basedOn w:val="Normal"/>
    <w:link w:val="FooterChar"/>
    <w:uiPriority w:val="99"/>
    <w:unhideWhenUsed/>
    <w:rsid w:val="005864B6"/>
    <w:pPr>
      <w:tabs>
        <w:tab w:val="center" w:pos="4320"/>
        <w:tab w:val="right" w:pos="8640"/>
      </w:tabs>
      <w:spacing w:after="0"/>
    </w:pPr>
  </w:style>
  <w:style w:type="character" w:customStyle="1" w:styleId="FooterChar">
    <w:name w:val="Footer Char"/>
    <w:basedOn w:val="DefaultParagraphFont"/>
    <w:link w:val="Footer"/>
    <w:uiPriority w:val="99"/>
    <w:rsid w:val="005864B6"/>
  </w:style>
  <w:style w:type="character" w:styleId="PlaceholderText">
    <w:name w:val="Placeholder Text"/>
    <w:basedOn w:val="DefaultParagraphFont"/>
    <w:uiPriority w:val="99"/>
    <w:semiHidden/>
    <w:rsid w:val="009E1AA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17" Type="http://schemas.openxmlformats.org/officeDocument/2006/relationships/hyperlink" Target="https://www.zotero.org/google-docs/?b4nSVr" TargetMode="External"/><Relationship Id="rId21" Type="http://schemas.openxmlformats.org/officeDocument/2006/relationships/hyperlink" Target="https://www.zotero.org/google-docs/?STGU95" TargetMode="External"/><Relationship Id="rId42" Type="http://schemas.openxmlformats.org/officeDocument/2006/relationships/hyperlink" Target="https://www.zotero.org/google-docs/?3M1NGk" TargetMode="External"/><Relationship Id="rId63" Type="http://schemas.openxmlformats.org/officeDocument/2006/relationships/hyperlink" Target="https://www.zotero.org/google-docs/?Rxj59F" TargetMode="External"/><Relationship Id="rId84" Type="http://schemas.openxmlformats.org/officeDocument/2006/relationships/hyperlink" Target="https://www.zotero.org/google-docs/?7EycBH" TargetMode="External"/><Relationship Id="rId138" Type="http://schemas.openxmlformats.org/officeDocument/2006/relationships/hyperlink" Target="https://www.zotero.org/google-docs/?b4nSVr" TargetMode="External"/><Relationship Id="rId159" Type="http://schemas.openxmlformats.org/officeDocument/2006/relationships/hyperlink" Target="https://www.zotero.org/google-docs/?b4nSVr" TargetMode="External"/><Relationship Id="rId170" Type="http://schemas.openxmlformats.org/officeDocument/2006/relationships/hyperlink" Target="https://www.zotero.org/google-docs/?b4nSVr" TargetMode="External"/><Relationship Id="rId191" Type="http://schemas.openxmlformats.org/officeDocument/2006/relationships/hyperlink" Target="https://www.zotero.org/google-docs/?b4nSVr" TargetMode="External"/><Relationship Id="rId205" Type="http://schemas.openxmlformats.org/officeDocument/2006/relationships/hyperlink" Target="https://www.zotero.org/google-docs/?b4nSVr" TargetMode="External"/><Relationship Id="rId226" Type="http://schemas.openxmlformats.org/officeDocument/2006/relationships/hyperlink" Target="https://www.zotero.org/google-docs/?b4nSVr" TargetMode="External"/><Relationship Id="rId107" Type="http://schemas.openxmlformats.org/officeDocument/2006/relationships/hyperlink" Target="https://www.zotero.org/google-docs/?b4nSVr" TargetMode="External"/><Relationship Id="rId11" Type="http://schemas.openxmlformats.org/officeDocument/2006/relationships/hyperlink" Target="https://www.zotero.org/google-docs/?HUke7b" TargetMode="External"/><Relationship Id="rId32" Type="http://schemas.openxmlformats.org/officeDocument/2006/relationships/hyperlink" Target="https://www.zotero.org/google-docs/?gRtfcN" TargetMode="External"/><Relationship Id="rId53" Type="http://schemas.openxmlformats.org/officeDocument/2006/relationships/hyperlink" Target="https://www.zotero.org/google-docs/?Xgn7Pa" TargetMode="External"/><Relationship Id="rId74" Type="http://schemas.openxmlformats.org/officeDocument/2006/relationships/hyperlink" Target="https://www.zotero.org/google-docs/?FPth5i" TargetMode="External"/><Relationship Id="rId128" Type="http://schemas.openxmlformats.org/officeDocument/2006/relationships/hyperlink" Target="https://www.zotero.org/google-docs/?b4nSVr" TargetMode="External"/><Relationship Id="rId149" Type="http://schemas.openxmlformats.org/officeDocument/2006/relationships/hyperlink" Target="https://www.zotero.org/google-docs/?b4nSVr" TargetMode="External"/><Relationship Id="rId5" Type="http://schemas.openxmlformats.org/officeDocument/2006/relationships/footnotes" Target="footnotes.xml"/><Relationship Id="rId95" Type="http://schemas.openxmlformats.org/officeDocument/2006/relationships/hyperlink" Target="https://www.zotero.org/google-docs/?b4nSVr" TargetMode="External"/><Relationship Id="rId160" Type="http://schemas.openxmlformats.org/officeDocument/2006/relationships/hyperlink" Target="https://www.zotero.org/google-docs/?b4nSVr" TargetMode="External"/><Relationship Id="rId181" Type="http://schemas.openxmlformats.org/officeDocument/2006/relationships/hyperlink" Target="https://www.zotero.org/google-docs/?b4nSVr" TargetMode="External"/><Relationship Id="rId216" Type="http://schemas.openxmlformats.org/officeDocument/2006/relationships/hyperlink" Target="https://www.zotero.org/google-docs/?b4nSVr" TargetMode="External"/><Relationship Id="rId237" Type="http://schemas.openxmlformats.org/officeDocument/2006/relationships/theme" Target="theme/theme1.xml"/><Relationship Id="rId22" Type="http://schemas.openxmlformats.org/officeDocument/2006/relationships/hyperlink" Target="https://www.zotero.org/google-docs/?Y4Wahw" TargetMode="External"/><Relationship Id="rId43" Type="http://schemas.openxmlformats.org/officeDocument/2006/relationships/hyperlink" Target="https://www.zotero.org/google-docs/?FdACDL" TargetMode="External"/><Relationship Id="rId64" Type="http://schemas.openxmlformats.org/officeDocument/2006/relationships/hyperlink" Target="https://www.zotero.org/google-docs/?Rxj59F" TargetMode="External"/><Relationship Id="rId118" Type="http://schemas.openxmlformats.org/officeDocument/2006/relationships/hyperlink" Target="https://www.zotero.org/google-docs/?b4nSVr" TargetMode="External"/><Relationship Id="rId139" Type="http://schemas.openxmlformats.org/officeDocument/2006/relationships/hyperlink" Target="https://www.zotero.org/google-docs/?b4nSVr" TargetMode="External"/><Relationship Id="rId80" Type="http://schemas.openxmlformats.org/officeDocument/2006/relationships/hyperlink" Target="https://www.zotero.org/google-docs/?74eYqE" TargetMode="External"/><Relationship Id="rId85" Type="http://schemas.openxmlformats.org/officeDocument/2006/relationships/hyperlink" Target="https://www.zotero.org/google-docs/?qO8TU1" TargetMode="External"/><Relationship Id="rId150" Type="http://schemas.openxmlformats.org/officeDocument/2006/relationships/hyperlink" Target="https://www.zotero.org/google-docs/?b4nSVr" TargetMode="External"/><Relationship Id="rId155" Type="http://schemas.openxmlformats.org/officeDocument/2006/relationships/hyperlink" Target="https://www.zotero.org/google-docs/?b4nSVr" TargetMode="External"/><Relationship Id="rId171" Type="http://schemas.openxmlformats.org/officeDocument/2006/relationships/hyperlink" Target="https://www.zotero.org/google-docs/?b4nSVr" TargetMode="External"/><Relationship Id="rId176" Type="http://schemas.openxmlformats.org/officeDocument/2006/relationships/hyperlink" Target="https://www.zotero.org/google-docs/?b4nSVr" TargetMode="External"/><Relationship Id="rId192" Type="http://schemas.openxmlformats.org/officeDocument/2006/relationships/hyperlink" Target="https://www.zotero.org/google-docs/?b4nSVr" TargetMode="External"/><Relationship Id="rId197" Type="http://schemas.openxmlformats.org/officeDocument/2006/relationships/hyperlink" Target="https://www.zotero.org/google-docs/?b4nSVr" TargetMode="External"/><Relationship Id="rId206" Type="http://schemas.openxmlformats.org/officeDocument/2006/relationships/hyperlink" Target="https://www.zotero.org/google-docs/?b4nSVr" TargetMode="External"/><Relationship Id="rId227" Type="http://schemas.openxmlformats.org/officeDocument/2006/relationships/hyperlink" Target="https://www.zotero.org/google-docs/?b4nSVr" TargetMode="External"/><Relationship Id="rId201" Type="http://schemas.openxmlformats.org/officeDocument/2006/relationships/hyperlink" Target="https://www.zotero.org/google-docs/?b4nSVr" TargetMode="External"/><Relationship Id="rId222" Type="http://schemas.openxmlformats.org/officeDocument/2006/relationships/hyperlink" Target="https://www.zotero.org/google-docs/?b4nSVr" TargetMode="External"/><Relationship Id="rId12" Type="http://schemas.openxmlformats.org/officeDocument/2006/relationships/hyperlink" Target="https://www.zotero.org/google-docs/?htKJeA" TargetMode="External"/><Relationship Id="rId17" Type="http://schemas.openxmlformats.org/officeDocument/2006/relationships/hyperlink" Target="https://www.zotero.org/google-docs/?TpK2ZO" TargetMode="External"/><Relationship Id="rId33" Type="http://schemas.openxmlformats.org/officeDocument/2006/relationships/hyperlink" Target="https://www.zotero.org/google-docs/?gRtfcN" TargetMode="External"/><Relationship Id="rId38" Type="http://schemas.openxmlformats.org/officeDocument/2006/relationships/hyperlink" Target="https://www.zotero.org/google-docs/?09w3Ek" TargetMode="External"/><Relationship Id="rId59" Type="http://schemas.openxmlformats.org/officeDocument/2006/relationships/hyperlink" Target="https://www.zotero.org/google-docs/?Qi21A5" TargetMode="External"/><Relationship Id="rId103" Type="http://schemas.openxmlformats.org/officeDocument/2006/relationships/hyperlink" Target="https://www.zotero.org/google-docs/?b4nSVr" TargetMode="External"/><Relationship Id="rId108" Type="http://schemas.openxmlformats.org/officeDocument/2006/relationships/hyperlink" Target="https://www.zotero.org/google-docs/?b4nSVr" TargetMode="External"/><Relationship Id="rId124" Type="http://schemas.openxmlformats.org/officeDocument/2006/relationships/hyperlink" Target="https://www.zotero.org/google-docs/?b4nSVr" TargetMode="External"/><Relationship Id="rId129" Type="http://schemas.openxmlformats.org/officeDocument/2006/relationships/hyperlink" Target="https://www.zotero.org/google-docs/?b4nSVr" TargetMode="External"/><Relationship Id="rId54" Type="http://schemas.openxmlformats.org/officeDocument/2006/relationships/hyperlink" Target="https://www.zotero.org/google-docs/?qfvumU" TargetMode="External"/><Relationship Id="rId70" Type="http://schemas.openxmlformats.org/officeDocument/2006/relationships/hyperlink" Target="https://www.zotero.org/google-docs/?nkkXuB" TargetMode="External"/><Relationship Id="rId75" Type="http://schemas.openxmlformats.org/officeDocument/2006/relationships/hyperlink" Target="https://www.zotero.org/google-docs/?UrWfeu" TargetMode="External"/><Relationship Id="rId91" Type="http://schemas.openxmlformats.org/officeDocument/2006/relationships/hyperlink" Target="https://www.zotero.org/google-docs/?b4nSVr" TargetMode="External"/><Relationship Id="rId96" Type="http://schemas.openxmlformats.org/officeDocument/2006/relationships/hyperlink" Target="https://www.zotero.org/google-docs/?b4nSVr" TargetMode="External"/><Relationship Id="rId140" Type="http://schemas.openxmlformats.org/officeDocument/2006/relationships/hyperlink" Target="https://www.zotero.org/google-docs/?b4nSVr" TargetMode="External"/><Relationship Id="rId145" Type="http://schemas.openxmlformats.org/officeDocument/2006/relationships/hyperlink" Target="https://www.zotero.org/google-docs/?b4nSVr" TargetMode="External"/><Relationship Id="rId161" Type="http://schemas.openxmlformats.org/officeDocument/2006/relationships/hyperlink" Target="https://www.zotero.org/google-docs/?b4nSVr" TargetMode="External"/><Relationship Id="rId166" Type="http://schemas.openxmlformats.org/officeDocument/2006/relationships/hyperlink" Target="https://www.zotero.org/google-docs/?b4nSVr" TargetMode="External"/><Relationship Id="rId182" Type="http://schemas.openxmlformats.org/officeDocument/2006/relationships/hyperlink" Target="https://www.zotero.org/google-docs/?b4nSVr" TargetMode="External"/><Relationship Id="rId187" Type="http://schemas.openxmlformats.org/officeDocument/2006/relationships/hyperlink" Target="https://www.zotero.org/google-docs/?b4nSVr" TargetMode="External"/><Relationship Id="rId217" Type="http://schemas.openxmlformats.org/officeDocument/2006/relationships/hyperlink" Target="https://www.zotero.org/google-docs/?b4nSVr" TargetMode="External"/><Relationship Id="rId1" Type="http://schemas.openxmlformats.org/officeDocument/2006/relationships/customXml" Target="../customXml/item1.xml"/><Relationship Id="rId6" Type="http://schemas.openxmlformats.org/officeDocument/2006/relationships/endnotes" Target="endnotes.xml"/><Relationship Id="rId212" Type="http://schemas.openxmlformats.org/officeDocument/2006/relationships/hyperlink" Target="https://www.zotero.org/google-docs/?b4nSVr" TargetMode="External"/><Relationship Id="rId233" Type="http://schemas.openxmlformats.org/officeDocument/2006/relationships/hyperlink" Target="https://www.zotero.org/google-docs/?b4nSVr" TargetMode="External"/><Relationship Id="rId23" Type="http://schemas.openxmlformats.org/officeDocument/2006/relationships/hyperlink" Target="https://www.zotero.org/google-docs/?AcLVtS" TargetMode="External"/><Relationship Id="rId28" Type="http://schemas.openxmlformats.org/officeDocument/2006/relationships/hyperlink" Target="https://www.zotero.org/google-docs/?PzvEcF" TargetMode="External"/><Relationship Id="rId49" Type="http://schemas.openxmlformats.org/officeDocument/2006/relationships/hyperlink" Target="https://www.zotero.org/google-docs/?QWjTAS" TargetMode="External"/><Relationship Id="rId114" Type="http://schemas.openxmlformats.org/officeDocument/2006/relationships/hyperlink" Target="https://www.zotero.org/google-docs/?b4nSVr" TargetMode="External"/><Relationship Id="rId119" Type="http://schemas.openxmlformats.org/officeDocument/2006/relationships/hyperlink" Target="https://www.zotero.org/google-docs/?b4nSVr" TargetMode="External"/><Relationship Id="rId44" Type="http://schemas.openxmlformats.org/officeDocument/2006/relationships/hyperlink" Target="https://www.zotero.org/google-docs/?nguT1r" TargetMode="External"/><Relationship Id="rId60" Type="http://schemas.openxmlformats.org/officeDocument/2006/relationships/hyperlink" Target="https://www.zotero.org/google-docs/?FrM9M0" TargetMode="External"/><Relationship Id="rId65" Type="http://schemas.openxmlformats.org/officeDocument/2006/relationships/hyperlink" Target="https://www.zotero.org/google-docs/?Rxj59F" TargetMode="External"/><Relationship Id="rId81" Type="http://schemas.openxmlformats.org/officeDocument/2006/relationships/hyperlink" Target="https://www.zotero.org/google-docs/?3uqkVs" TargetMode="External"/><Relationship Id="rId86" Type="http://schemas.openxmlformats.org/officeDocument/2006/relationships/hyperlink" Target="https://www.zotero.org/google-docs/?4BNRmv" TargetMode="External"/><Relationship Id="rId130" Type="http://schemas.openxmlformats.org/officeDocument/2006/relationships/hyperlink" Target="https://www.zotero.org/google-docs/?b4nSVr" TargetMode="External"/><Relationship Id="rId135" Type="http://schemas.openxmlformats.org/officeDocument/2006/relationships/hyperlink" Target="https://www.zotero.org/google-docs/?b4nSVr" TargetMode="External"/><Relationship Id="rId151" Type="http://schemas.openxmlformats.org/officeDocument/2006/relationships/hyperlink" Target="https://www.zotero.org/google-docs/?b4nSVr" TargetMode="External"/><Relationship Id="rId156" Type="http://schemas.openxmlformats.org/officeDocument/2006/relationships/hyperlink" Target="https://www.zotero.org/google-docs/?b4nSVr" TargetMode="External"/><Relationship Id="rId177" Type="http://schemas.openxmlformats.org/officeDocument/2006/relationships/hyperlink" Target="https://www.zotero.org/google-docs/?b4nSVr" TargetMode="External"/><Relationship Id="rId198" Type="http://schemas.openxmlformats.org/officeDocument/2006/relationships/hyperlink" Target="https://www.zotero.org/google-docs/?b4nSVr" TargetMode="External"/><Relationship Id="rId172" Type="http://schemas.openxmlformats.org/officeDocument/2006/relationships/hyperlink" Target="https://www.zotero.org/google-docs/?b4nSVr" TargetMode="External"/><Relationship Id="rId193" Type="http://schemas.openxmlformats.org/officeDocument/2006/relationships/hyperlink" Target="https://www.zotero.org/google-docs/?b4nSVr" TargetMode="External"/><Relationship Id="rId202" Type="http://schemas.openxmlformats.org/officeDocument/2006/relationships/hyperlink" Target="https://www.zotero.org/google-docs/?b4nSVr" TargetMode="External"/><Relationship Id="rId207" Type="http://schemas.openxmlformats.org/officeDocument/2006/relationships/hyperlink" Target="https://www.zotero.org/google-docs/?b4nSVr" TargetMode="External"/><Relationship Id="rId223" Type="http://schemas.openxmlformats.org/officeDocument/2006/relationships/hyperlink" Target="https://www.zotero.org/google-docs/?b4nSVr" TargetMode="External"/><Relationship Id="rId228" Type="http://schemas.openxmlformats.org/officeDocument/2006/relationships/hyperlink" Target="https://www.zotero.org/google-docs/?b4nSVr" TargetMode="External"/><Relationship Id="rId13" Type="http://schemas.openxmlformats.org/officeDocument/2006/relationships/hyperlink" Target="https://www.zotero.org/google-docs/?4AAvql" TargetMode="External"/><Relationship Id="rId18" Type="http://schemas.openxmlformats.org/officeDocument/2006/relationships/hyperlink" Target="https://www.zotero.org/google-docs/?rUYrKv" TargetMode="External"/><Relationship Id="rId39" Type="http://schemas.openxmlformats.org/officeDocument/2006/relationships/hyperlink" Target="https://www.zotero.org/google-docs/?xMPSzt" TargetMode="External"/><Relationship Id="rId109" Type="http://schemas.openxmlformats.org/officeDocument/2006/relationships/hyperlink" Target="https://www.zotero.org/google-docs/?b4nSVr" TargetMode="External"/><Relationship Id="rId34" Type="http://schemas.openxmlformats.org/officeDocument/2006/relationships/hyperlink" Target="https://www.zotero.org/google-docs/?gRtfcN" TargetMode="External"/><Relationship Id="rId50" Type="http://schemas.openxmlformats.org/officeDocument/2006/relationships/hyperlink" Target="https://www.zotero.org/google-docs/?fcknlV" TargetMode="External"/><Relationship Id="rId55" Type="http://schemas.openxmlformats.org/officeDocument/2006/relationships/hyperlink" Target="https://www.zotero.org/google-docs/?zql7KK" TargetMode="External"/><Relationship Id="rId76" Type="http://schemas.openxmlformats.org/officeDocument/2006/relationships/hyperlink" Target="https://www.zotero.org/google-docs/?9DSQMK" TargetMode="External"/><Relationship Id="rId97" Type="http://schemas.openxmlformats.org/officeDocument/2006/relationships/hyperlink" Target="https://www.zotero.org/google-docs/?b4nSVr" TargetMode="External"/><Relationship Id="rId104" Type="http://schemas.openxmlformats.org/officeDocument/2006/relationships/hyperlink" Target="https://www.zotero.org/google-docs/?b4nSVr" TargetMode="External"/><Relationship Id="rId120" Type="http://schemas.openxmlformats.org/officeDocument/2006/relationships/hyperlink" Target="https://www.zotero.org/google-docs/?b4nSVr" TargetMode="External"/><Relationship Id="rId125" Type="http://schemas.openxmlformats.org/officeDocument/2006/relationships/hyperlink" Target="https://www.zotero.org/google-docs/?b4nSVr" TargetMode="External"/><Relationship Id="rId141" Type="http://schemas.openxmlformats.org/officeDocument/2006/relationships/hyperlink" Target="https://www.zotero.org/google-docs/?b4nSVr" TargetMode="External"/><Relationship Id="rId146" Type="http://schemas.openxmlformats.org/officeDocument/2006/relationships/hyperlink" Target="https://www.zotero.org/google-docs/?b4nSVr" TargetMode="External"/><Relationship Id="rId167" Type="http://schemas.openxmlformats.org/officeDocument/2006/relationships/hyperlink" Target="https://www.zotero.org/google-docs/?b4nSVr" TargetMode="External"/><Relationship Id="rId188" Type="http://schemas.openxmlformats.org/officeDocument/2006/relationships/hyperlink" Target="https://www.zotero.org/google-docs/?b4nSVr" TargetMode="External"/><Relationship Id="rId7" Type="http://schemas.openxmlformats.org/officeDocument/2006/relationships/image" Target="media/image1.png"/><Relationship Id="rId71" Type="http://schemas.openxmlformats.org/officeDocument/2006/relationships/hyperlink" Target="https://www.zotero.org/google-docs/?CfDcd4" TargetMode="External"/><Relationship Id="rId92" Type="http://schemas.openxmlformats.org/officeDocument/2006/relationships/hyperlink" Target="https://www.zotero.org/google-docs/?b4nSVr" TargetMode="External"/><Relationship Id="rId162" Type="http://schemas.openxmlformats.org/officeDocument/2006/relationships/hyperlink" Target="https://www.zotero.org/google-docs/?b4nSVr" TargetMode="External"/><Relationship Id="rId183" Type="http://schemas.openxmlformats.org/officeDocument/2006/relationships/hyperlink" Target="https://www.zotero.org/google-docs/?b4nSVr" TargetMode="External"/><Relationship Id="rId213" Type="http://schemas.openxmlformats.org/officeDocument/2006/relationships/hyperlink" Target="https://www.zotero.org/google-docs/?b4nSVr" TargetMode="External"/><Relationship Id="rId218" Type="http://schemas.openxmlformats.org/officeDocument/2006/relationships/hyperlink" Target="https://www.zotero.org/google-docs/?b4nSVr" TargetMode="External"/><Relationship Id="rId234" Type="http://schemas.openxmlformats.org/officeDocument/2006/relationships/hyperlink" Target="https://www.zotero.org/google-docs/?b4nSVr" TargetMode="External"/><Relationship Id="rId2" Type="http://schemas.openxmlformats.org/officeDocument/2006/relationships/styles" Target="styles.xml"/><Relationship Id="rId29" Type="http://schemas.openxmlformats.org/officeDocument/2006/relationships/hyperlink" Target="https://www.zotero.org/google-docs/?aiUeuE" TargetMode="External"/><Relationship Id="rId24" Type="http://schemas.openxmlformats.org/officeDocument/2006/relationships/hyperlink" Target="https://www.zotero.org/google-docs/?C2A9d1" TargetMode="External"/><Relationship Id="rId40" Type="http://schemas.openxmlformats.org/officeDocument/2006/relationships/hyperlink" Target="https://www.zotero.org/google-docs/?3M1NGk" TargetMode="External"/><Relationship Id="rId45" Type="http://schemas.openxmlformats.org/officeDocument/2006/relationships/hyperlink" Target="https://www.zotero.org/google-docs/?YEegQo" TargetMode="External"/><Relationship Id="rId66" Type="http://schemas.openxmlformats.org/officeDocument/2006/relationships/hyperlink" Target="https://www.zotero.org/google-docs/?aexS9b" TargetMode="External"/><Relationship Id="rId87" Type="http://schemas.openxmlformats.org/officeDocument/2006/relationships/hyperlink" Target="https://www.zotero.org/google-docs/?KM4puL" TargetMode="External"/><Relationship Id="rId110" Type="http://schemas.openxmlformats.org/officeDocument/2006/relationships/hyperlink" Target="https://www.zotero.org/google-docs/?b4nSVr" TargetMode="External"/><Relationship Id="rId115" Type="http://schemas.openxmlformats.org/officeDocument/2006/relationships/hyperlink" Target="https://www.zotero.org/google-docs/?b4nSVr" TargetMode="External"/><Relationship Id="rId131" Type="http://schemas.openxmlformats.org/officeDocument/2006/relationships/hyperlink" Target="https://www.zotero.org/google-docs/?b4nSVr" TargetMode="External"/><Relationship Id="rId136" Type="http://schemas.openxmlformats.org/officeDocument/2006/relationships/hyperlink" Target="https://www.zotero.org/google-docs/?b4nSVr" TargetMode="External"/><Relationship Id="rId157" Type="http://schemas.openxmlformats.org/officeDocument/2006/relationships/hyperlink" Target="https://www.zotero.org/google-docs/?b4nSVr" TargetMode="External"/><Relationship Id="rId178" Type="http://schemas.openxmlformats.org/officeDocument/2006/relationships/hyperlink" Target="https://www.zotero.org/google-docs/?b4nSVr" TargetMode="External"/><Relationship Id="rId61" Type="http://schemas.openxmlformats.org/officeDocument/2006/relationships/hyperlink" Target="https://www.zotero.org/google-docs/?FClOeV" TargetMode="External"/><Relationship Id="rId82" Type="http://schemas.openxmlformats.org/officeDocument/2006/relationships/hyperlink" Target="https://www.zotero.org/google-docs/?32LEjy" TargetMode="External"/><Relationship Id="rId152" Type="http://schemas.openxmlformats.org/officeDocument/2006/relationships/hyperlink" Target="https://www.zotero.org/google-docs/?b4nSVr" TargetMode="External"/><Relationship Id="rId173" Type="http://schemas.openxmlformats.org/officeDocument/2006/relationships/hyperlink" Target="https://www.zotero.org/google-docs/?b4nSVr" TargetMode="External"/><Relationship Id="rId194" Type="http://schemas.openxmlformats.org/officeDocument/2006/relationships/hyperlink" Target="https://www.zotero.org/google-docs/?b4nSVr" TargetMode="External"/><Relationship Id="rId199" Type="http://schemas.openxmlformats.org/officeDocument/2006/relationships/hyperlink" Target="https://www.zotero.org/google-docs/?b4nSVr" TargetMode="External"/><Relationship Id="rId203" Type="http://schemas.openxmlformats.org/officeDocument/2006/relationships/hyperlink" Target="https://www.zotero.org/google-docs/?b4nSVr" TargetMode="External"/><Relationship Id="rId208" Type="http://schemas.openxmlformats.org/officeDocument/2006/relationships/hyperlink" Target="https://www.zotero.org/google-docs/?b4nSVr" TargetMode="External"/><Relationship Id="rId229" Type="http://schemas.openxmlformats.org/officeDocument/2006/relationships/hyperlink" Target="https://www.zotero.org/google-docs/?b4nSVr" TargetMode="External"/><Relationship Id="rId19" Type="http://schemas.openxmlformats.org/officeDocument/2006/relationships/hyperlink" Target="https://www.zotero.org/google-docs/?FjXQ7A" TargetMode="External"/><Relationship Id="rId224" Type="http://schemas.openxmlformats.org/officeDocument/2006/relationships/hyperlink" Target="https://www.zotero.org/google-docs/?b4nSVr" TargetMode="External"/><Relationship Id="rId14" Type="http://schemas.openxmlformats.org/officeDocument/2006/relationships/hyperlink" Target="https://www.zotero.org/google-docs/?atJm9v" TargetMode="External"/><Relationship Id="rId30" Type="http://schemas.openxmlformats.org/officeDocument/2006/relationships/hyperlink" Target="https://www.zotero.org/google-docs/?TkY8EX" TargetMode="External"/><Relationship Id="rId35" Type="http://schemas.openxmlformats.org/officeDocument/2006/relationships/hyperlink" Target="https://www.zotero.org/google-docs/?EFKMWr" TargetMode="External"/><Relationship Id="rId56" Type="http://schemas.openxmlformats.org/officeDocument/2006/relationships/hyperlink" Target="https://www.zotero.org/google-docs/?eD0Ard" TargetMode="External"/><Relationship Id="rId77" Type="http://schemas.openxmlformats.org/officeDocument/2006/relationships/image" Target="media/image2.png"/><Relationship Id="rId100" Type="http://schemas.openxmlformats.org/officeDocument/2006/relationships/hyperlink" Target="https://www.zotero.org/google-docs/?b4nSVr" TargetMode="External"/><Relationship Id="rId105" Type="http://schemas.openxmlformats.org/officeDocument/2006/relationships/hyperlink" Target="https://www.zotero.org/google-docs/?b4nSVr" TargetMode="External"/><Relationship Id="rId126" Type="http://schemas.openxmlformats.org/officeDocument/2006/relationships/hyperlink" Target="https://www.zotero.org/google-docs/?b4nSVr" TargetMode="External"/><Relationship Id="rId147" Type="http://schemas.openxmlformats.org/officeDocument/2006/relationships/hyperlink" Target="https://www.zotero.org/google-docs/?b4nSVr" TargetMode="External"/><Relationship Id="rId168" Type="http://schemas.openxmlformats.org/officeDocument/2006/relationships/hyperlink" Target="https://www.zotero.org/google-docs/?b4nSVr" TargetMode="External"/><Relationship Id="rId8" Type="http://schemas.openxmlformats.org/officeDocument/2006/relationships/footer" Target="footer1.xml"/><Relationship Id="rId51" Type="http://schemas.openxmlformats.org/officeDocument/2006/relationships/hyperlink" Target="https://www.zotero.org/google-docs/?ZjLzBI" TargetMode="External"/><Relationship Id="rId72" Type="http://schemas.openxmlformats.org/officeDocument/2006/relationships/hyperlink" Target="https://www.zotero.org/google-docs/?TeoXF8" TargetMode="External"/><Relationship Id="rId93" Type="http://schemas.openxmlformats.org/officeDocument/2006/relationships/hyperlink" Target="https://www.zotero.org/google-docs/?b4nSVr" TargetMode="External"/><Relationship Id="rId98" Type="http://schemas.openxmlformats.org/officeDocument/2006/relationships/hyperlink" Target="https://www.zotero.org/google-docs/?b4nSVr" TargetMode="External"/><Relationship Id="rId121" Type="http://schemas.openxmlformats.org/officeDocument/2006/relationships/hyperlink" Target="https://www.zotero.org/google-docs/?b4nSVr" TargetMode="External"/><Relationship Id="rId142" Type="http://schemas.openxmlformats.org/officeDocument/2006/relationships/hyperlink" Target="https://www.zotero.org/google-docs/?b4nSVr" TargetMode="External"/><Relationship Id="rId163" Type="http://schemas.openxmlformats.org/officeDocument/2006/relationships/hyperlink" Target="https://www.zotero.org/google-docs/?b4nSVr" TargetMode="External"/><Relationship Id="rId184" Type="http://schemas.openxmlformats.org/officeDocument/2006/relationships/hyperlink" Target="https://www.zotero.org/google-docs/?b4nSVr" TargetMode="External"/><Relationship Id="rId189" Type="http://schemas.openxmlformats.org/officeDocument/2006/relationships/hyperlink" Target="https://www.zotero.org/google-docs/?b4nSVr" TargetMode="External"/><Relationship Id="rId219" Type="http://schemas.openxmlformats.org/officeDocument/2006/relationships/hyperlink" Target="https://www.zotero.org/google-docs/?b4nSVr" TargetMode="External"/><Relationship Id="rId3" Type="http://schemas.openxmlformats.org/officeDocument/2006/relationships/settings" Target="settings.xml"/><Relationship Id="rId214" Type="http://schemas.openxmlformats.org/officeDocument/2006/relationships/hyperlink" Target="https://www.zotero.org/google-docs/?b4nSVr" TargetMode="External"/><Relationship Id="rId230" Type="http://schemas.openxmlformats.org/officeDocument/2006/relationships/hyperlink" Target="https://www.zotero.org/google-docs/?b4nSVr" TargetMode="External"/><Relationship Id="rId235" Type="http://schemas.openxmlformats.org/officeDocument/2006/relationships/footer" Target="footer2.xml"/><Relationship Id="rId25" Type="http://schemas.openxmlformats.org/officeDocument/2006/relationships/hyperlink" Target="https://www.zotero.org/google-docs/?NL9Ht9" TargetMode="External"/><Relationship Id="rId46" Type="http://schemas.openxmlformats.org/officeDocument/2006/relationships/hyperlink" Target="https://www.zotero.org/google-docs/?YEegQo" TargetMode="External"/><Relationship Id="rId67" Type="http://schemas.openxmlformats.org/officeDocument/2006/relationships/hyperlink" Target="https://www.zotero.org/google-docs/?9s81l7" TargetMode="External"/><Relationship Id="rId116" Type="http://schemas.openxmlformats.org/officeDocument/2006/relationships/hyperlink" Target="https://www.zotero.org/google-docs/?b4nSVr" TargetMode="External"/><Relationship Id="rId137" Type="http://schemas.openxmlformats.org/officeDocument/2006/relationships/hyperlink" Target="https://www.zotero.org/google-docs/?b4nSVr" TargetMode="External"/><Relationship Id="rId158" Type="http://schemas.openxmlformats.org/officeDocument/2006/relationships/hyperlink" Target="https://www.zotero.org/google-docs/?b4nSVr" TargetMode="External"/><Relationship Id="rId20" Type="http://schemas.openxmlformats.org/officeDocument/2006/relationships/hyperlink" Target="https://www.zotero.org/google-docs/?nvuQVS" TargetMode="External"/><Relationship Id="rId41" Type="http://schemas.openxmlformats.org/officeDocument/2006/relationships/hyperlink" Target="https://www.zotero.org/google-docs/?3M1NGk" TargetMode="External"/><Relationship Id="rId62" Type="http://schemas.openxmlformats.org/officeDocument/2006/relationships/hyperlink" Target="https://www.zotero.org/google-docs/?N6Ar1J" TargetMode="External"/><Relationship Id="rId83" Type="http://schemas.openxmlformats.org/officeDocument/2006/relationships/hyperlink" Target="https://www.zotero.org/google-docs/?M7DTcu" TargetMode="External"/><Relationship Id="rId88" Type="http://schemas.openxmlformats.org/officeDocument/2006/relationships/hyperlink" Target="https://www.zotero.org/google-docs/?Faurrm" TargetMode="External"/><Relationship Id="rId111" Type="http://schemas.openxmlformats.org/officeDocument/2006/relationships/hyperlink" Target="https://www.zotero.org/google-docs/?b4nSVr" TargetMode="External"/><Relationship Id="rId132" Type="http://schemas.openxmlformats.org/officeDocument/2006/relationships/hyperlink" Target="https://www.zotero.org/google-docs/?b4nSVr" TargetMode="External"/><Relationship Id="rId153" Type="http://schemas.openxmlformats.org/officeDocument/2006/relationships/hyperlink" Target="https://www.zotero.org/google-docs/?b4nSVr" TargetMode="External"/><Relationship Id="rId174" Type="http://schemas.openxmlformats.org/officeDocument/2006/relationships/hyperlink" Target="https://www.zotero.org/google-docs/?b4nSVr" TargetMode="External"/><Relationship Id="rId179" Type="http://schemas.openxmlformats.org/officeDocument/2006/relationships/hyperlink" Target="https://www.zotero.org/google-docs/?b4nSVr" TargetMode="External"/><Relationship Id="rId195" Type="http://schemas.openxmlformats.org/officeDocument/2006/relationships/hyperlink" Target="https://www.zotero.org/google-docs/?b4nSVr" TargetMode="External"/><Relationship Id="rId209" Type="http://schemas.openxmlformats.org/officeDocument/2006/relationships/hyperlink" Target="https://www.zotero.org/google-docs/?b4nSVr" TargetMode="External"/><Relationship Id="rId190" Type="http://schemas.openxmlformats.org/officeDocument/2006/relationships/hyperlink" Target="https://www.zotero.org/google-docs/?b4nSVr" TargetMode="External"/><Relationship Id="rId204" Type="http://schemas.openxmlformats.org/officeDocument/2006/relationships/hyperlink" Target="https://www.zotero.org/google-docs/?b4nSVr" TargetMode="External"/><Relationship Id="rId220" Type="http://schemas.openxmlformats.org/officeDocument/2006/relationships/hyperlink" Target="https://www.zotero.org/google-docs/?b4nSVr" TargetMode="External"/><Relationship Id="rId225" Type="http://schemas.openxmlformats.org/officeDocument/2006/relationships/hyperlink" Target="https://www.zotero.org/google-docs/?b4nSVr" TargetMode="External"/><Relationship Id="rId15" Type="http://schemas.openxmlformats.org/officeDocument/2006/relationships/hyperlink" Target="https://www.zotero.org/google-docs/?pdn84z" TargetMode="External"/><Relationship Id="rId36" Type="http://schemas.openxmlformats.org/officeDocument/2006/relationships/hyperlink" Target="https://www.zotero.org/google-docs/?OHThTA" TargetMode="External"/><Relationship Id="rId57" Type="http://schemas.openxmlformats.org/officeDocument/2006/relationships/hyperlink" Target="https://www.zotero.org/google-docs/?0xV9ZX" TargetMode="External"/><Relationship Id="rId106" Type="http://schemas.openxmlformats.org/officeDocument/2006/relationships/hyperlink" Target="https://www.zotero.org/google-docs/?b4nSVr" TargetMode="External"/><Relationship Id="rId127" Type="http://schemas.openxmlformats.org/officeDocument/2006/relationships/hyperlink" Target="https://www.zotero.org/google-docs/?b4nSVr" TargetMode="External"/><Relationship Id="rId10" Type="http://schemas.openxmlformats.org/officeDocument/2006/relationships/hyperlink" Target="https://www.zotero.org/google-docs/?xtmpIj" TargetMode="External"/><Relationship Id="rId31" Type="http://schemas.openxmlformats.org/officeDocument/2006/relationships/hyperlink" Target="https://www.zotero.org/google-docs/?rstqs8" TargetMode="External"/><Relationship Id="rId52" Type="http://schemas.openxmlformats.org/officeDocument/2006/relationships/hyperlink" Target="https://www.zotero.org/google-docs/?aKOvou" TargetMode="External"/><Relationship Id="rId73" Type="http://schemas.openxmlformats.org/officeDocument/2006/relationships/hyperlink" Target="https://www.zotero.org/google-docs/?9wE9xv" TargetMode="External"/><Relationship Id="rId78" Type="http://schemas.openxmlformats.org/officeDocument/2006/relationships/hyperlink" Target="https://www.zotero.org/google-docs/?HgOUbX" TargetMode="External"/><Relationship Id="rId94" Type="http://schemas.openxmlformats.org/officeDocument/2006/relationships/hyperlink" Target="https://www.zotero.org/google-docs/?b4nSVr" TargetMode="External"/><Relationship Id="rId99" Type="http://schemas.openxmlformats.org/officeDocument/2006/relationships/hyperlink" Target="https://www.zotero.org/google-docs/?b4nSVr" TargetMode="External"/><Relationship Id="rId101" Type="http://schemas.openxmlformats.org/officeDocument/2006/relationships/hyperlink" Target="https://www.zotero.org/google-docs/?b4nSVr" TargetMode="External"/><Relationship Id="rId122" Type="http://schemas.openxmlformats.org/officeDocument/2006/relationships/hyperlink" Target="https://www.zotero.org/google-docs/?b4nSVr" TargetMode="External"/><Relationship Id="rId143" Type="http://schemas.openxmlformats.org/officeDocument/2006/relationships/hyperlink" Target="https://www.zotero.org/google-docs/?b4nSVr" TargetMode="External"/><Relationship Id="rId148" Type="http://schemas.openxmlformats.org/officeDocument/2006/relationships/hyperlink" Target="https://www.zotero.org/google-docs/?b4nSVr" TargetMode="External"/><Relationship Id="rId164" Type="http://schemas.openxmlformats.org/officeDocument/2006/relationships/hyperlink" Target="https://www.zotero.org/google-docs/?b4nSVr" TargetMode="External"/><Relationship Id="rId169" Type="http://schemas.openxmlformats.org/officeDocument/2006/relationships/hyperlink" Target="https://www.zotero.org/google-docs/?b4nSVr" TargetMode="External"/><Relationship Id="rId185" Type="http://schemas.openxmlformats.org/officeDocument/2006/relationships/hyperlink" Target="https://www.zotero.org/google-docs/?b4nSVr" TargetMode="External"/><Relationship Id="rId4" Type="http://schemas.openxmlformats.org/officeDocument/2006/relationships/webSettings" Target="webSettings.xml"/><Relationship Id="rId9" Type="http://schemas.openxmlformats.org/officeDocument/2006/relationships/hyperlink" Target="https://www.zotero.org/google-docs/?C791q0" TargetMode="External"/><Relationship Id="rId180" Type="http://schemas.openxmlformats.org/officeDocument/2006/relationships/hyperlink" Target="https://www.zotero.org/google-docs/?b4nSVr" TargetMode="External"/><Relationship Id="rId210" Type="http://schemas.openxmlformats.org/officeDocument/2006/relationships/hyperlink" Target="https://www.zotero.org/google-docs/?b4nSVr" TargetMode="External"/><Relationship Id="rId215" Type="http://schemas.openxmlformats.org/officeDocument/2006/relationships/hyperlink" Target="https://www.zotero.org/google-docs/?b4nSVr" TargetMode="External"/><Relationship Id="rId236" Type="http://schemas.openxmlformats.org/officeDocument/2006/relationships/fontTable" Target="fontTable.xml"/><Relationship Id="rId26" Type="http://schemas.openxmlformats.org/officeDocument/2006/relationships/hyperlink" Target="https://www.zotero.org/google-docs/?PzvEcF" TargetMode="External"/><Relationship Id="rId231" Type="http://schemas.openxmlformats.org/officeDocument/2006/relationships/hyperlink" Target="https://www.zotero.org/google-docs/?b4nSVr" TargetMode="External"/><Relationship Id="rId47" Type="http://schemas.openxmlformats.org/officeDocument/2006/relationships/hyperlink" Target="https://www.zotero.org/google-docs/?YEegQo" TargetMode="External"/><Relationship Id="rId68" Type="http://schemas.openxmlformats.org/officeDocument/2006/relationships/hyperlink" Target="https://www.zotero.org/google-docs/?8U7ta2" TargetMode="External"/><Relationship Id="rId89" Type="http://schemas.openxmlformats.org/officeDocument/2006/relationships/image" Target="media/image3.png"/><Relationship Id="rId112" Type="http://schemas.openxmlformats.org/officeDocument/2006/relationships/hyperlink" Target="https://www.zotero.org/google-docs/?b4nSVr" TargetMode="External"/><Relationship Id="rId133" Type="http://schemas.openxmlformats.org/officeDocument/2006/relationships/hyperlink" Target="https://www.zotero.org/google-docs/?b4nSVr" TargetMode="External"/><Relationship Id="rId154" Type="http://schemas.openxmlformats.org/officeDocument/2006/relationships/hyperlink" Target="https://www.zotero.org/google-docs/?b4nSVr" TargetMode="External"/><Relationship Id="rId175" Type="http://schemas.openxmlformats.org/officeDocument/2006/relationships/hyperlink" Target="https://www.zotero.org/google-docs/?b4nSVr" TargetMode="External"/><Relationship Id="rId196" Type="http://schemas.openxmlformats.org/officeDocument/2006/relationships/hyperlink" Target="https://www.zotero.org/google-docs/?b4nSVr" TargetMode="External"/><Relationship Id="rId200" Type="http://schemas.openxmlformats.org/officeDocument/2006/relationships/hyperlink" Target="https://www.zotero.org/google-docs/?b4nSVr" TargetMode="External"/><Relationship Id="rId16" Type="http://schemas.openxmlformats.org/officeDocument/2006/relationships/hyperlink" Target="https://www.zotero.org/google-docs/?geTFE0" TargetMode="External"/><Relationship Id="rId221" Type="http://schemas.openxmlformats.org/officeDocument/2006/relationships/hyperlink" Target="https://www.zotero.org/google-docs/?b4nSVr" TargetMode="External"/><Relationship Id="rId37" Type="http://schemas.openxmlformats.org/officeDocument/2006/relationships/hyperlink" Target="https://www.zotero.org/google-docs/?Eo4W6Y" TargetMode="External"/><Relationship Id="rId58" Type="http://schemas.openxmlformats.org/officeDocument/2006/relationships/hyperlink" Target="https://www.zotero.org/google-docs/?QcZjjh" TargetMode="External"/><Relationship Id="rId79" Type="http://schemas.openxmlformats.org/officeDocument/2006/relationships/hyperlink" Target="https://www.zotero.org/google-docs/?AVDVG9" TargetMode="External"/><Relationship Id="rId102" Type="http://schemas.openxmlformats.org/officeDocument/2006/relationships/hyperlink" Target="https://www.zotero.org/google-docs/?b4nSVr" TargetMode="External"/><Relationship Id="rId123" Type="http://schemas.openxmlformats.org/officeDocument/2006/relationships/hyperlink" Target="https://www.zotero.org/google-docs/?b4nSVr" TargetMode="External"/><Relationship Id="rId144" Type="http://schemas.openxmlformats.org/officeDocument/2006/relationships/hyperlink" Target="https://www.zotero.org/google-docs/?b4nSVr" TargetMode="External"/><Relationship Id="rId90" Type="http://schemas.openxmlformats.org/officeDocument/2006/relationships/image" Target="media/image4.png"/><Relationship Id="rId165" Type="http://schemas.openxmlformats.org/officeDocument/2006/relationships/hyperlink" Target="https://www.zotero.org/google-docs/?b4nSVr" TargetMode="External"/><Relationship Id="rId186" Type="http://schemas.openxmlformats.org/officeDocument/2006/relationships/hyperlink" Target="https://www.zotero.org/google-docs/?b4nSVr" TargetMode="External"/><Relationship Id="rId211" Type="http://schemas.openxmlformats.org/officeDocument/2006/relationships/hyperlink" Target="https://www.zotero.org/google-docs/?b4nSVr" TargetMode="External"/><Relationship Id="rId232" Type="http://schemas.openxmlformats.org/officeDocument/2006/relationships/hyperlink" Target="https://www.zotero.org/google-docs/?b4nSVr" TargetMode="External"/><Relationship Id="rId27" Type="http://schemas.openxmlformats.org/officeDocument/2006/relationships/hyperlink" Target="https://www.zotero.org/google-docs/?PzvEcF" TargetMode="External"/><Relationship Id="rId48" Type="http://schemas.openxmlformats.org/officeDocument/2006/relationships/hyperlink" Target="https://www.zotero.org/google-docs/?n0skoZ" TargetMode="External"/><Relationship Id="rId69" Type="http://schemas.openxmlformats.org/officeDocument/2006/relationships/hyperlink" Target="https://www.zotero.org/google-docs/?CmUPD0" TargetMode="External"/><Relationship Id="rId113" Type="http://schemas.openxmlformats.org/officeDocument/2006/relationships/hyperlink" Target="https://www.zotero.org/google-docs/?b4nSVr" TargetMode="External"/><Relationship Id="rId134" Type="http://schemas.openxmlformats.org/officeDocument/2006/relationships/hyperlink" Target="https://www.zotero.org/google-docs/?b4nSV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D0FB5-39A5-4278-A5E3-3F543970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31</Pages>
  <Words>9979</Words>
  <Characters>57548</Characters>
  <Application>Microsoft Office Word</Application>
  <DocSecurity>0</DocSecurity>
  <Lines>1647</Lines>
  <Paragraphs>965</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
      <vt:lpstr>1. Introduction</vt:lpstr>
      <vt:lpstr>2. Literature Review</vt:lpstr>
      <vt:lpstr>    2.1 Interconnectedness among Commodities</vt:lpstr>
      <vt:lpstr>        2.1.1 Metal and Energy Commodities</vt:lpstr>
      <vt:lpstr>        2.1.2 Metal and Agricultural Commodities</vt:lpstr>
      <vt:lpstr>        2.1.3 Energy and Agricultural Commodities</vt:lpstr>
      <vt:lpstr>    2.2 Models for Studying the Commodities’ Interconnectedness </vt:lpstr>
      <vt:lpstr>        2.2.1 GARCH Models</vt:lpstr>
      <vt:lpstr>        2.2.2 Copula Models</vt:lpstr>
      <vt:lpstr>        2.2.3 Granger Causality Test</vt:lpstr>
      <vt:lpstr>        2.2.4 Quantile Methods</vt:lpstr>
      <vt:lpstr>3. Methodology</vt:lpstr>
      <vt:lpstr>    3.1 Data</vt:lpstr>
      <vt:lpstr>    3.2 Descriptive Statistic</vt:lpstr>
      <vt:lpstr>    3.3 Multivaraite GARCH Model</vt:lpstr>
      <vt:lpstr>        3.3.1 Diagonal VECH</vt:lpstr>
      <vt:lpstr>        3.3.2 Diagonal BEKK</vt:lpstr>
      <vt:lpstr>        3.3.3 CCC</vt:lpstr>
      <vt:lpstr>    3.4 Time-varying Portfolio Optimization</vt:lpstr>
      <vt:lpstr>        3.4.1 Equal Weight Portfolio </vt:lpstr>
      <vt:lpstr>        3.4.2 Mean-Variance Portfolio </vt:lpstr>
      <vt:lpstr>        3.4.3 Minimum Variance Portfolio </vt:lpstr>
      <vt:lpstr>        3.4.4 Minimum Correlation Portfolio</vt:lpstr>
      <vt:lpstr>        3.4.5 Maximum Sharpe Ratio Portfolio</vt:lpstr>
      <vt:lpstr>        3.4.6 Maximum Sortino Ratio Portfolio</vt:lpstr>
      <vt:lpstr>        3.4.7 Mean-CVaR Portfolio</vt:lpstr>
      <vt:lpstr>    3.5 Hedge Ratios</vt:lpstr>
      <vt:lpstr/>
      <vt:lpstr>4. Results</vt:lpstr>
      <vt:lpstr>    4.1 GARCH Model</vt:lpstr>
      <vt:lpstr>        4.1.1 GARCH Model Results</vt:lpstr>
      <vt:lpstr>        4.1.2 Diagnostic Tests</vt:lpstr>
      <vt:lpstr>    4.2 Optimal Portfolio Weights</vt:lpstr>
      <vt:lpstr>    4.3 Portfolio Performance</vt:lpstr>
      <vt:lpstr>    4.3 Hedge against Risk</vt:lpstr>
      <vt:lpstr/>
      <vt:lpstr>5. Conclusion</vt:lpstr>
      <vt:lpstr>Appendix</vt:lpstr>
      <vt:lpstr/>
      <vt:lpstr>References</vt:lpstr>
    </vt:vector>
  </TitlesOfParts>
  <Company/>
  <LinksUpToDate>false</LinksUpToDate>
  <CharactersWithSpaces>66646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Qianqian Yang</cp:lastModifiedBy>
  <cp:revision>309</cp:revision>
  <cp:lastPrinted>2024-05-15T22:25:00Z</cp:lastPrinted>
  <dcterms:created xsi:type="dcterms:W3CDTF">2024-05-15T19:44:00Z</dcterms:created>
  <dcterms:modified xsi:type="dcterms:W3CDTF">2024-05-15T22:48:00Z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dd193dbc233893dbbd1380f4be6059157f6f925f466831e5c2ad0083e6233e25</vt:lpwstr>
  </property>
</Properties>
</file>