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B3929" w14:textId="77777777" w:rsidR="00D640F1" w:rsidRDefault="00000000">
      <w:pPr>
        <w:ind w:left="360"/>
        <w:jc w:val="both"/>
        <w:rPr>
          <w:sz w:val="48"/>
          <w:szCs w:val="48"/>
        </w:rPr>
      </w:pPr>
      <w:r>
        <w:rPr>
          <w:noProof/>
          <w:sz w:val="48"/>
          <w:szCs w:val="48"/>
        </w:rPr>
        <w:drawing>
          <wp:inline distT="114300" distB="114300" distL="114300" distR="114300" wp14:anchorId="28D0B903" wp14:editId="35EDB78F">
            <wp:extent cx="3277355" cy="133991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79175" cy="1340656"/>
                    </a:xfrm>
                    <a:prstGeom prst="rect">
                      <a:avLst/>
                    </a:prstGeom>
                    <a:ln/>
                  </pic:spPr>
                </pic:pic>
              </a:graphicData>
            </a:graphic>
          </wp:inline>
        </w:drawing>
      </w:r>
    </w:p>
    <w:p w14:paraId="603CBDD9" w14:textId="77777777" w:rsidR="00D640F1" w:rsidRPr="00C612AD" w:rsidRDefault="00D640F1">
      <w:pPr>
        <w:ind w:left="360"/>
        <w:jc w:val="both"/>
        <w:rPr>
          <w:sz w:val="48"/>
          <w:szCs w:val="48"/>
        </w:rPr>
      </w:pPr>
    </w:p>
    <w:p w14:paraId="154C1383" w14:textId="77777777" w:rsidR="00D640F1" w:rsidRPr="00C612AD" w:rsidRDefault="00D640F1">
      <w:pPr>
        <w:ind w:left="360"/>
        <w:jc w:val="both"/>
        <w:rPr>
          <w:sz w:val="48"/>
          <w:szCs w:val="48"/>
        </w:rPr>
      </w:pPr>
    </w:p>
    <w:p w14:paraId="22954EBA" w14:textId="77777777" w:rsidR="00D640F1" w:rsidRDefault="00D640F1">
      <w:pPr>
        <w:ind w:left="360"/>
        <w:jc w:val="both"/>
        <w:rPr>
          <w:sz w:val="48"/>
          <w:szCs w:val="48"/>
        </w:rPr>
      </w:pPr>
    </w:p>
    <w:p w14:paraId="2BC40D97" w14:textId="77777777" w:rsidR="009767AA" w:rsidRDefault="009767AA">
      <w:pPr>
        <w:ind w:left="360"/>
        <w:jc w:val="both"/>
        <w:rPr>
          <w:sz w:val="48"/>
          <w:szCs w:val="48"/>
        </w:rPr>
      </w:pPr>
    </w:p>
    <w:p w14:paraId="7E6D6266" w14:textId="77777777" w:rsidR="009C491F" w:rsidRPr="00C612AD" w:rsidRDefault="009C491F">
      <w:pPr>
        <w:ind w:left="360"/>
        <w:jc w:val="both"/>
        <w:rPr>
          <w:sz w:val="48"/>
          <w:szCs w:val="48"/>
        </w:rPr>
      </w:pPr>
    </w:p>
    <w:p w14:paraId="54F9E9A5" w14:textId="77777777" w:rsidR="00D640F1" w:rsidRDefault="00000000" w:rsidP="00BB30BF">
      <w:pPr>
        <w:jc w:val="center"/>
        <w:rPr>
          <w:sz w:val="48"/>
          <w:szCs w:val="48"/>
        </w:rPr>
      </w:pPr>
      <w:r>
        <w:rPr>
          <w:sz w:val="48"/>
          <w:szCs w:val="48"/>
        </w:rPr>
        <w:t>Time-varying Commodity Portfolio Optimization</w:t>
      </w:r>
    </w:p>
    <w:p w14:paraId="12854200" w14:textId="77777777" w:rsidR="00D640F1" w:rsidRPr="00C612AD" w:rsidRDefault="00D640F1">
      <w:pPr>
        <w:ind w:left="360"/>
        <w:jc w:val="both"/>
        <w:rPr>
          <w:b/>
          <w:sz w:val="48"/>
          <w:szCs w:val="48"/>
        </w:rPr>
      </w:pPr>
    </w:p>
    <w:p w14:paraId="1D41B26C" w14:textId="77777777" w:rsidR="00D640F1" w:rsidRDefault="00D640F1">
      <w:pPr>
        <w:ind w:left="360"/>
        <w:jc w:val="both"/>
        <w:rPr>
          <w:b/>
          <w:sz w:val="48"/>
          <w:szCs w:val="48"/>
        </w:rPr>
      </w:pPr>
    </w:p>
    <w:p w14:paraId="4DC6CAD2" w14:textId="77777777" w:rsidR="00C612AD" w:rsidRDefault="00C612AD">
      <w:pPr>
        <w:ind w:left="360"/>
        <w:jc w:val="both"/>
        <w:rPr>
          <w:b/>
          <w:sz w:val="48"/>
          <w:szCs w:val="48"/>
        </w:rPr>
      </w:pPr>
    </w:p>
    <w:p w14:paraId="1AF54BFD" w14:textId="77777777" w:rsidR="00C612AD" w:rsidRPr="00C612AD" w:rsidRDefault="00C612AD">
      <w:pPr>
        <w:ind w:left="360"/>
        <w:jc w:val="both"/>
        <w:rPr>
          <w:b/>
          <w:sz w:val="48"/>
          <w:szCs w:val="48"/>
        </w:rPr>
      </w:pPr>
    </w:p>
    <w:p w14:paraId="7C66AA74" w14:textId="77777777" w:rsidR="00D640F1" w:rsidRPr="00C612AD" w:rsidRDefault="00D640F1">
      <w:pPr>
        <w:ind w:left="360"/>
        <w:jc w:val="both"/>
        <w:rPr>
          <w:b/>
          <w:sz w:val="48"/>
          <w:szCs w:val="48"/>
        </w:rPr>
      </w:pPr>
    </w:p>
    <w:p w14:paraId="09A62073" w14:textId="77777777" w:rsidR="00D640F1" w:rsidRDefault="00000000">
      <w:pPr>
        <w:ind w:left="360"/>
        <w:jc w:val="center"/>
        <w:rPr>
          <w:sz w:val="32"/>
          <w:szCs w:val="32"/>
        </w:rPr>
      </w:pPr>
      <w:r>
        <w:rPr>
          <w:sz w:val="32"/>
          <w:szCs w:val="32"/>
        </w:rPr>
        <w:t>by</w:t>
      </w:r>
    </w:p>
    <w:p w14:paraId="45379C71" w14:textId="77777777" w:rsidR="00D640F1" w:rsidRDefault="00000000">
      <w:pPr>
        <w:ind w:left="360"/>
        <w:jc w:val="center"/>
        <w:rPr>
          <w:sz w:val="32"/>
          <w:szCs w:val="32"/>
        </w:rPr>
      </w:pPr>
      <w:r>
        <w:rPr>
          <w:sz w:val="32"/>
          <w:szCs w:val="32"/>
        </w:rPr>
        <w:t>Qianqian Yang</w:t>
      </w:r>
    </w:p>
    <w:p w14:paraId="01796B87" w14:textId="77777777" w:rsidR="00D640F1" w:rsidRDefault="00D640F1">
      <w:pPr>
        <w:ind w:left="360"/>
        <w:jc w:val="center"/>
        <w:rPr>
          <w:sz w:val="32"/>
          <w:szCs w:val="32"/>
        </w:rPr>
      </w:pPr>
    </w:p>
    <w:p w14:paraId="2A1ED0AB" w14:textId="77777777" w:rsidR="00D640F1" w:rsidRDefault="00D640F1">
      <w:pPr>
        <w:ind w:left="360"/>
        <w:jc w:val="center"/>
        <w:rPr>
          <w:sz w:val="32"/>
          <w:szCs w:val="32"/>
        </w:rPr>
      </w:pPr>
    </w:p>
    <w:p w14:paraId="7B37F38E" w14:textId="77777777" w:rsidR="00D640F1" w:rsidRDefault="00000000">
      <w:pPr>
        <w:ind w:left="360"/>
        <w:jc w:val="center"/>
        <w:rPr>
          <w:sz w:val="32"/>
          <w:szCs w:val="32"/>
        </w:rPr>
      </w:pPr>
      <w:r>
        <w:rPr>
          <w:sz w:val="32"/>
          <w:szCs w:val="32"/>
        </w:rPr>
        <w:t>May 2023</w:t>
      </w:r>
    </w:p>
    <w:p w14:paraId="2C878636" w14:textId="77777777" w:rsidR="00D640F1" w:rsidRDefault="00D640F1">
      <w:pPr>
        <w:ind w:left="360"/>
        <w:jc w:val="center"/>
        <w:rPr>
          <w:sz w:val="32"/>
          <w:szCs w:val="32"/>
        </w:rPr>
      </w:pPr>
    </w:p>
    <w:p w14:paraId="66348BF9" w14:textId="77777777" w:rsidR="00D640F1" w:rsidRDefault="00000000">
      <w:pPr>
        <w:ind w:left="360" w:right="120"/>
        <w:jc w:val="center"/>
        <w:rPr>
          <w:sz w:val="32"/>
          <w:szCs w:val="32"/>
        </w:rPr>
      </w:pPr>
      <w:r>
        <w:rPr>
          <w:sz w:val="32"/>
          <w:szCs w:val="32"/>
        </w:rPr>
        <w:t>Master’s Programme in Finance</w:t>
      </w:r>
    </w:p>
    <w:p w14:paraId="08EABECE" w14:textId="77777777" w:rsidR="00D640F1" w:rsidRDefault="00D640F1">
      <w:pPr>
        <w:ind w:left="360"/>
        <w:jc w:val="both"/>
        <w:rPr>
          <w:b/>
          <w:sz w:val="32"/>
          <w:szCs w:val="32"/>
        </w:rPr>
      </w:pPr>
    </w:p>
    <w:p w14:paraId="01B54C2C" w14:textId="77777777" w:rsidR="00D640F1" w:rsidRDefault="00D640F1">
      <w:pPr>
        <w:ind w:left="360"/>
        <w:jc w:val="both"/>
        <w:rPr>
          <w:b/>
          <w:sz w:val="32"/>
          <w:szCs w:val="32"/>
        </w:rPr>
      </w:pPr>
    </w:p>
    <w:p w14:paraId="52F40DD4" w14:textId="77777777" w:rsidR="00053244" w:rsidRDefault="00053244">
      <w:pPr>
        <w:ind w:left="360"/>
        <w:jc w:val="both"/>
        <w:rPr>
          <w:b/>
          <w:sz w:val="32"/>
          <w:szCs w:val="32"/>
        </w:rPr>
      </w:pPr>
    </w:p>
    <w:p w14:paraId="576D1868" w14:textId="77777777" w:rsidR="00053244" w:rsidRDefault="00053244">
      <w:pPr>
        <w:ind w:left="360"/>
        <w:jc w:val="both"/>
        <w:rPr>
          <w:b/>
          <w:sz w:val="32"/>
          <w:szCs w:val="32"/>
        </w:rPr>
      </w:pPr>
    </w:p>
    <w:p w14:paraId="7B6BA08F" w14:textId="77777777" w:rsidR="00855A93" w:rsidRDefault="00855A93">
      <w:pPr>
        <w:ind w:left="360"/>
        <w:jc w:val="both"/>
        <w:rPr>
          <w:b/>
          <w:sz w:val="32"/>
          <w:szCs w:val="32"/>
        </w:rPr>
      </w:pPr>
    </w:p>
    <w:p w14:paraId="4EDCC7AC" w14:textId="77777777" w:rsidR="00855A93" w:rsidRDefault="00855A93">
      <w:pPr>
        <w:ind w:left="360"/>
        <w:jc w:val="both"/>
        <w:rPr>
          <w:b/>
          <w:sz w:val="32"/>
          <w:szCs w:val="32"/>
        </w:rPr>
      </w:pPr>
    </w:p>
    <w:p w14:paraId="455584CB" w14:textId="77777777" w:rsidR="00053244" w:rsidRDefault="00053244">
      <w:pPr>
        <w:ind w:left="360"/>
        <w:jc w:val="both"/>
        <w:rPr>
          <w:b/>
          <w:sz w:val="32"/>
          <w:szCs w:val="32"/>
        </w:rPr>
      </w:pPr>
    </w:p>
    <w:p w14:paraId="2337D448" w14:textId="74601667" w:rsidR="00694BA4" w:rsidRDefault="00000000">
      <w:pPr>
        <w:widowControl w:val="0"/>
        <w:spacing w:before="90"/>
        <w:ind w:right="118"/>
        <w:jc w:val="right"/>
      </w:pPr>
      <w:r>
        <w:t xml:space="preserve">           Supervisor: Thomas Fischer</w:t>
      </w:r>
    </w:p>
    <w:p w14:paraId="25485A11" w14:textId="77777777" w:rsidR="00694BA4" w:rsidRDefault="00694BA4">
      <w:r>
        <w:br w:type="page"/>
      </w:r>
    </w:p>
    <w:p w14:paraId="357C15E1" w14:textId="77777777" w:rsidR="00D640F1" w:rsidRDefault="00D640F1">
      <w:pPr>
        <w:widowControl w:val="0"/>
        <w:spacing w:before="90"/>
        <w:ind w:right="118"/>
        <w:jc w:val="right"/>
        <w:rPr>
          <w:b/>
          <w:sz w:val="32"/>
          <w:szCs w:val="32"/>
        </w:rPr>
        <w:sectPr w:rsidR="00D640F1">
          <w:footerReference w:type="default" r:id="rId8"/>
          <w:footerReference w:type="first" r:id="rId9"/>
          <w:pgSz w:w="12240" w:h="15840"/>
          <w:pgMar w:top="566" w:right="566" w:bottom="566" w:left="566" w:header="720" w:footer="720" w:gutter="0"/>
          <w:pgNumType w:start="0"/>
          <w:cols w:space="720"/>
        </w:sectPr>
      </w:pPr>
    </w:p>
    <w:p w14:paraId="2FD78CA6" w14:textId="77777777" w:rsidR="00D640F1" w:rsidRDefault="00000000" w:rsidP="00355017">
      <w:pPr>
        <w:widowControl w:val="0"/>
        <w:spacing w:before="55"/>
        <w:jc w:val="both"/>
        <w:rPr>
          <w:sz w:val="48"/>
          <w:szCs w:val="48"/>
        </w:rPr>
      </w:pPr>
      <w:r>
        <w:rPr>
          <w:sz w:val="48"/>
          <w:szCs w:val="48"/>
        </w:rPr>
        <w:lastRenderedPageBreak/>
        <w:t>Abstract</w:t>
      </w:r>
    </w:p>
    <w:p w14:paraId="7B3B9983" w14:textId="77777777" w:rsidR="00D640F1" w:rsidRDefault="00D640F1">
      <w:pPr>
        <w:widowControl w:val="0"/>
        <w:spacing w:before="320" w:line="261" w:lineRule="auto"/>
        <w:ind w:right="118"/>
        <w:jc w:val="both"/>
      </w:pPr>
    </w:p>
    <w:p w14:paraId="7001ABD2" w14:textId="0ECA85FC" w:rsidR="00355017" w:rsidRDefault="00682CA3" w:rsidP="00355017">
      <w:pPr>
        <w:widowControl w:val="0"/>
        <w:spacing w:before="320" w:line="261" w:lineRule="auto"/>
        <w:ind w:right="118"/>
        <w:jc w:val="both"/>
      </w:pPr>
      <w:r>
        <w:t>The commodity</w:t>
      </w:r>
      <w:r w:rsidR="00355017">
        <w:t xml:space="preserve"> </w:t>
      </w:r>
      <w:r w:rsidR="008F7838">
        <w:t>market</w:t>
      </w:r>
      <w:r w:rsidR="00355017">
        <w:t xml:space="preserve"> is basically </w:t>
      </w:r>
      <w:r w:rsidR="00DA5CA8">
        <w:t>used for</w:t>
      </w:r>
      <w:r w:rsidR="00355017">
        <w:t xml:space="preserve"> hedging against physical products. However, commodity portfolios alone can be an investment choice based on their return and risk characteristics. In order to analyze the interconnectedness among commodities, this </w:t>
      </w:r>
      <w:r w:rsidR="00007922">
        <w:t>study</w:t>
      </w:r>
      <w:r w:rsidR="00355017">
        <w:t xml:space="preserve"> applies multivariate GARCH models of diagonal VECH, diagonal BEKK, and CCC to model the volatility among the selected commodity groups of metal, energy, and agriculture from 1991 to 2023. The empirical results show that the diagonal VECH model </w:t>
      </w:r>
      <w:r w:rsidR="00D94BCA">
        <w:t xml:space="preserve">with student t distribution </w:t>
      </w:r>
      <w:r w:rsidR="00355017">
        <w:t>is the fittest model. By doing portfolio optimization based on the time-varying conditional statistics of the empirical results, the optimal commodity weights are obtained and then</w:t>
      </w:r>
      <w:r w:rsidR="00355017" w:rsidRPr="003A43B9">
        <w:t xml:space="preserve"> </w:t>
      </w:r>
      <w:r w:rsidR="00355017">
        <w:t xml:space="preserve">the </w:t>
      </w:r>
      <w:r w:rsidR="00355017" w:rsidRPr="003A43B9">
        <w:t xml:space="preserve">performance </w:t>
      </w:r>
      <w:r w:rsidR="00355017">
        <w:t>is</w:t>
      </w:r>
      <w:r w:rsidR="00355017" w:rsidRPr="003A43B9">
        <w:t xml:space="preserve"> </w:t>
      </w:r>
      <w:r w:rsidR="00355017" w:rsidRPr="00566E41">
        <w:t xml:space="preserve">evaluated </w:t>
      </w:r>
      <w:r w:rsidR="00355017" w:rsidRPr="003A43B9">
        <w:t>over time</w:t>
      </w:r>
      <w:r w:rsidR="00355017">
        <w:t xml:space="preserve">. </w:t>
      </w:r>
      <w:r w:rsidR="00355017" w:rsidRPr="00050BF8">
        <w:t>Diversified portfolios of metal, energy, and agricultural commodities generally outperform portfolios focusing on mitigating extreme risk which allocates the majority of the proportion to energy commodities.</w:t>
      </w:r>
      <w:r w:rsidR="00CE7D85">
        <w:t xml:space="preserve"> </w:t>
      </w:r>
      <w:r w:rsidR="00CE7D85" w:rsidRPr="00CE7D85">
        <w:t>This study emphasizes the importance of diversification in the commodity market to balance return and risk,  and the need to adjust risk based on hedge ratios.</w:t>
      </w:r>
      <w:r w:rsidR="009E63D5">
        <w:t xml:space="preserve"> </w:t>
      </w:r>
    </w:p>
    <w:p w14:paraId="36725E15" w14:textId="77777777" w:rsidR="00D640F1" w:rsidRDefault="00000000" w:rsidP="00355017">
      <w:pPr>
        <w:widowControl w:val="0"/>
        <w:spacing w:before="320" w:line="261" w:lineRule="auto"/>
        <w:ind w:right="118"/>
        <w:jc w:val="both"/>
      </w:pPr>
      <w:r>
        <w:t>Keywords: commodity, portfolio optimization, time-varying volatility</w:t>
      </w:r>
      <w:r>
        <w:br w:type="page"/>
      </w:r>
    </w:p>
    <w:p w14:paraId="5C900B51" w14:textId="77777777" w:rsidR="00D640F1" w:rsidRDefault="00000000" w:rsidP="005E6A2B">
      <w:pPr>
        <w:widowControl w:val="0"/>
        <w:spacing w:before="55"/>
        <w:jc w:val="both"/>
        <w:rPr>
          <w:sz w:val="48"/>
          <w:szCs w:val="48"/>
        </w:rPr>
      </w:pPr>
      <w:r>
        <w:rPr>
          <w:sz w:val="48"/>
          <w:szCs w:val="48"/>
        </w:rPr>
        <w:t>Table of Contents</w:t>
      </w:r>
    </w:p>
    <w:p w14:paraId="1D0F0B67" w14:textId="77777777" w:rsidR="00D640F1" w:rsidRDefault="00D640F1" w:rsidP="00570236">
      <w:pPr>
        <w:widowControl w:val="0"/>
        <w:spacing w:before="320" w:line="261" w:lineRule="auto"/>
        <w:ind w:right="118"/>
        <w:jc w:val="both"/>
      </w:pPr>
    </w:p>
    <w:sdt>
      <w:sdtPr>
        <w:id w:val="-1307234310"/>
        <w:docPartObj>
          <w:docPartGallery w:val="Table of Contents"/>
          <w:docPartUnique/>
        </w:docPartObj>
      </w:sdtPr>
      <w:sdtContent>
        <w:p w14:paraId="20D4E7E3" w14:textId="22C0A59F" w:rsidR="00075542" w:rsidRDefault="00775969">
          <w:pPr>
            <w:pStyle w:val="TOC1"/>
            <w:tabs>
              <w:tab w:val="right" w:leader="dot" w:pos="9350"/>
            </w:tabs>
            <w:rPr>
              <w:rFonts w:asciiTheme="minorHAnsi" w:hAnsiTheme="minorHAnsi" w:cstheme="minorBidi"/>
              <w:noProof/>
              <w:kern w:val="2"/>
              <w:lang w:val="en-US"/>
              <w14:ligatures w14:val="standardContextual"/>
            </w:rPr>
          </w:pPr>
          <w:r>
            <w:fldChar w:fldCharType="begin"/>
          </w:r>
          <w:r>
            <w:instrText xml:space="preserve"> TOC \o "1-2" \h \z \u </w:instrText>
          </w:r>
          <w:r>
            <w:fldChar w:fldCharType="separate"/>
          </w:r>
          <w:hyperlink w:anchor="_Toc167478281" w:history="1">
            <w:r w:rsidR="00075542" w:rsidRPr="00033410">
              <w:rPr>
                <w:rStyle w:val="Hyperlink"/>
                <w:noProof/>
              </w:rPr>
              <w:t>1. Introduction</w:t>
            </w:r>
            <w:r w:rsidR="00075542">
              <w:rPr>
                <w:noProof/>
                <w:webHidden/>
              </w:rPr>
              <w:tab/>
            </w:r>
            <w:r w:rsidR="00075542">
              <w:rPr>
                <w:noProof/>
                <w:webHidden/>
              </w:rPr>
              <w:fldChar w:fldCharType="begin"/>
            </w:r>
            <w:r w:rsidR="00075542">
              <w:rPr>
                <w:noProof/>
                <w:webHidden/>
              </w:rPr>
              <w:instrText xml:space="preserve"> PAGEREF _Toc167478281 \h </w:instrText>
            </w:r>
            <w:r w:rsidR="00075542">
              <w:rPr>
                <w:noProof/>
                <w:webHidden/>
              </w:rPr>
            </w:r>
            <w:r w:rsidR="00075542">
              <w:rPr>
                <w:noProof/>
                <w:webHidden/>
              </w:rPr>
              <w:fldChar w:fldCharType="separate"/>
            </w:r>
            <w:r w:rsidR="002E6614">
              <w:rPr>
                <w:noProof/>
                <w:webHidden/>
              </w:rPr>
              <w:t>1</w:t>
            </w:r>
            <w:r w:rsidR="00075542">
              <w:rPr>
                <w:noProof/>
                <w:webHidden/>
              </w:rPr>
              <w:fldChar w:fldCharType="end"/>
            </w:r>
          </w:hyperlink>
        </w:p>
        <w:p w14:paraId="22D0BD51" w14:textId="267D2D5D" w:rsidR="00075542" w:rsidRDefault="00000000">
          <w:pPr>
            <w:pStyle w:val="TOC1"/>
            <w:tabs>
              <w:tab w:val="right" w:leader="dot" w:pos="9350"/>
            </w:tabs>
            <w:rPr>
              <w:rFonts w:asciiTheme="minorHAnsi" w:hAnsiTheme="minorHAnsi" w:cstheme="minorBidi"/>
              <w:noProof/>
              <w:kern w:val="2"/>
              <w:lang w:val="en-US"/>
              <w14:ligatures w14:val="standardContextual"/>
            </w:rPr>
          </w:pPr>
          <w:hyperlink w:anchor="_Toc167478282" w:history="1">
            <w:r w:rsidR="00075542" w:rsidRPr="00033410">
              <w:rPr>
                <w:rStyle w:val="Hyperlink"/>
                <w:noProof/>
              </w:rPr>
              <w:t>2. Literature Review</w:t>
            </w:r>
            <w:r w:rsidR="00075542">
              <w:rPr>
                <w:noProof/>
                <w:webHidden/>
              </w:rPr>
              <w:tab/>
            </w:r>
            <w:r w:rsidR="00075542">
              <w:rPr>
                <w:noProof/>
                <w:webHidden/>
              </w:rPr>
              <w:fldChar w:fldCharType="begin"/>
            </w:r>
            <w:r w:rsidR="00075542">
              <w:rPr>
                <w:noProof/>
                <w:webHidden/>
              </w:rPr>
              <w:instrText xml:space="preserve"> PAGEREF _Toc167478282 \h </w:instrText>
            </w:r>
            <w:r w:rsidR="00075542">
              <w:rPr>
                <w:noProof/>
                <w:webHidden/>
              </w:rPr>
            </w:r>
            <w:r w:rsidR="00075542">
              <w:rPr>
                <w:noProof/>
                <w:webHidden/>
              </w:rPr>
              <w:fldChar w:fldCharType="separate"/>
            </w:r>
            <w:r w:rsidR="002E6614">
              <w:rPr>
                <w:noProof/>
                <w:webHidden/>
              </w:rPr>
              <w:t>3</w:t>
            </w:r>
            <w:r w:rsidR="00075542">
              <w:rPr>
                <w:noProof/>
                <w:webHidden/>
              </w:rPr>
              <w:fldChar w:fldCharType="end"/>
            </w:r>
          </w:hyperlink>
        </w:p>
        <w:p w14:paraId="3CFB9BB3" w14:textId="232306B4" w:rsidR="00075542" w:rsidRDefault="00000000">
          <w:pPr>
            <w:pStyle w:val="TOC2"/>
            <w:tabs>
              <w:tab w:val="right" w:leader="dot" w:pos="9350"/>
            </w:tabs>
            <w:rPr>
              <w:rFonts w:asciiTheme="minorHAnsi" w:hAnsiTheme="minorHAnsi" w:cstheme="minorBidi"/>
              <w:noProof/>
              <w:kern w:val="2"/>
              <w:lang w:val="en-US"/>
              <w14:ligatures w14:val="standardContextual"/>
            </w:rPr>
          </w:pPr>
          <w:hyperlink w:anchor="_Toc167478283" w:history="1">
            <w:r w:rsidR="00075542" w:rsidRPr="00033410">
              <w:rPr>
                <w:rStyle w:val="Hyperlink"/>
                <w:noProof/>
              </w:rPr>
              <w:t>2.1 Interconnectedness among Commodities</w:t>
            </w:r>
            <w:r w:rsidR="00075542">
              <w:rPr>
                <w:noProof/>
                <w:webHidden/>
              </w:rPr>
              <w:tab/>
            </w:r>
            <w:r w:rsidR="00075542">
              <w:rPr>
                <w:noProof/>
                <w:webHidden/>
              </w:rPr>
              <w:fldChar w:fldCharType="begin"/>
            </w:r>
            <w:r w:rsidR="00075542">
              <w:rPr>
                <w:noProof/>
                <w:webHidden/>
              </w:rPr>
              <w:instrText xml:space="preserve"> PAGEREF _Toc167478283 \h </w:instrText>
            </w:r>
            <w:r w:rsidR="00075542">
              <w:rPr>
                <w:noProof/>
                <w:webHidden/>
              </w:rPr>
            </w:r>
            <w:r w:rsidR="00075542">
              <w:rPr>
                <w:noProof/>
                <w:webHidden/>
              </w:rPr>
              <w:fldChar w:fldCharType="separate"/>
            </w:r>
            <w:r w:rsidR="002E6614">
              <w:rPr>
                <w:noProof/>
                <w:webHidden/>
              </w:rPr>
              <w:t>3</w:t>
            </w:r>
            <w:r w:rsidR="00075542">
              <w:rPr>
                <w:noProof/>
                <w:webHidden/>
              </w:rPr>
              <w:fldChar w:fldCharType="end"/>
            </w:r>
          </w:hyperlink>
        </w:p>
        <w:p w14:paraId="1B91029D" w14:textId="4C4EB74E" w:rsidR="00075542" w:rsidRDefault="00000000">
          <w:pPr>
            <w:pStyle w:val="TOC2"/>
            <w:tabs>
              <w:tab w:val="right" w:leader="dot" w:pos="9350"/>
            </w:tabs>
            <w:rPr>
              <w:rFonts w:asciiTheme="minorHAnsi" w:hAnsiTheme="minorHAnsi" w:cstheme="minorBidi"/>
              <w:noProof/>
              <w:kern w:val="2"/>
              <w:lang w:val="en-US"/>
              <w14:ligatures w14:val="standardContextual"/>
            </w:rPr>
          </w:pPr>
          <w:hyperlink w:anchor="_Toc167478284" w:history="1">
            <w:r w:rsidR="00075542" w:rsidRPr="00033410">
              <w:rPr>
                <w:rStyle w:val="Hyperlink"/>
                <w:noProof/>
              </w:rPr>
              <w:t>2.2 Models for Interconnectedness</w:t>
            </w:r>
            <w:r w:rsidR="00075542">
              <w:rPr>
                <w:noProof/>
                <w:webHidden/>
              </w:rPr>
              <w:tab/>
            </w:r>
            <w:r w:rsidR="00075542">
              <w:rPr>
                <w:noProof/>
                <w:webHidden/>
              </w:rPr>
              <w:fldChar w:fldCharType="begin"/>
            </w:r>
            <w:r w:rsidR="00075542">
              <w:rPr>
                <w:noProof/>
                <w:webHidden/>
              </w:rPr>
              <w:instrText xml:space="preserve"> PAGEREF _Toc167478284 \h </w:instrText>
            </w:r>
            <w:r w:rsidR="00075542">
              <w:rPr>
                <w:noProof/>
                <w:webHidden/>
              </w:rPr>
            </w:r>
            <w:r w:rsidR="00075542">
              <w:rPr>
                <w:noProof/>
                <w:webHidden/>
              </w:rPr>
              <w:fldChar w:fldCharType="separate"/>
            </w:r>
            <w:r w:rsidR="002E6614">
              <w:rPr>
                <w:noProof/>
                <w:webHidden/>
              </w:rPr>
              <w:t>4</w:t>
            </w:r>
            <w:r w:rsidR="00075542">
              <w:rPr>
                <w:noProof/>
                <w:webHidden/>
              </w:rPr>
              <w:fldChar w:fldCharType="end"/>
            </w:r>
          </w:hyperlink>
        </w:p>
        <w:p w14:paraId="251DF9AF" w14:textId="28F7AEC9" w:rsidR="00075542" w:rsidRDefault="00000000">
          <w:pPr>
            <w:pStyle w:val="TOC2"/>
            <w:tabs>
              <w:tab w:val="right" w:leader="dot" w:pos="9350"/>
            </w:tabs>
            <w:rPr>
              <w:rFonts w:asciiTheme="minorHAnsi" w:hAnsiTheme="minorHAnsi" w:cstheme="minorBidi"/>
              <w:noProof/>
              <w:kern w:val="2"/>
              <w:lang w:val="en-US"/>
              <w14:ligatures w14:val="standardContextual"/>
            </w:rPr>
          </w:pPr>
          <w:hyperlink w:anchor="_Toc167478285" w:history="1">
            <w:r w:rsidR="00075542" w:rsidRPr="00033410">
              <w:rPr>
                <w:rStyle w:val="Hyperlink"/>
                <w:noProof/>
              </w:rPr>
              <w:t>2.3 Time-varying Portfolio Optimization</w:t>
            </w:r>
            <w:r w:rsidR="00075542">
              <w:rPr>
                <w:noProof/>
                <w:webHidden/>
              </w:rPr>
              <w:tab/>
            </w:r>
            <w:r w:rsidR="00075542">
              <w:rPr>
                <w:noProof/>
                <w:webHidden/>
              </w:rPr>
              <w:fldChar w:fldCharType="begin"/>
            </w:r>
            <w:r w:rsidR="00075542">
              <w:rPr>
                <w:noProof/>
                <w:webHidden/>
              </w:rPr>
              <w:instrText xml:space="preserve"> PAGEREF _Toc167478285 \h </w:instrText>
            </w:r>
            <w:r w:rsidR="00075542">
              <w:rPr>
                <w:noProof/>
                <w:webHidden/>
              </w:rPr>
            </w:r>
            <w:r w:rsidR="00075542">
              <w:rPr>
                <w:noProof/>
                <w:webHidden/>
              </w:rPr>
              <w:fldChar w:fldCharType="separate"/>
            </w:r>
            <w:r w:rsidR="002E6614">
              <w:rPr>
                <w:noProof/>
                <w:webHidden/>
              </w:rPr>
              <w:t>7</w:t>
            </w:r>
            <w:r w:rsidR="00075542">
              <w:rPr>
                <w:noProof/>
                <w:webHidden/>
              </w:rPr>
              <w:fldChar w:fldCharType="end"/>
            </w:r>
          </w:hyperlink>
        </w:p>
        <w:p w14:paraId="0A006E58" w14:textId="319EC113" w:rsidR="00075542" w:rsidRDefault="00000000">
          <w:pPr>
            <w:pStyle w:val="TOC1"/>
            <w:tabs>
              <w:tab w:val="right" w:leader="dot" w:pos="9350"/>
            </w:tabs>
            <w:rPr>
              <w:rFonts w:asciiTheme="minorHAnsi" w:hAnsiTheme="minorHAnsi" w:cstheme="minorBidi"/>
              <w:noProof/>
              <w:kern w:val="2"/>
              <w:lang w:val="en-US"/>
              <w14:ligatures w14:val="standardContextual"/>
            </w:rPr>
          </w:pPr>
          <w:hyperlink w:anchor="_Toc167478286" w:history="1">
            <w:r w:rsidR="00075542" w:rsidRPr="00033410">
              <w:rPr>
                <w:rStyle w:val="Hyperlink"/>
                <w:noProof/>
              </w:rPr>
              <w:t>3. Methodology</w:t>
            </w:r>
            <w:r w:rsidR="00075542">
              <w:rPr>
                <w:noProof/>
                <w:webHidden/>
              </w:rPr>
              <w:tab/>
            </w:r>
            <w:r w:rsidR="00075542">
              <w:rPr>
                <w:noProof/>
                <w:webHidden/>
              </w:rPr>
              <w:fldChar w:fldCharType="begin"/>
            </w:r>
            <w:r w:rsidR="00075542">
              <w:rPr>
                <w:noProof/>
                <w:webHidden/>
              </w:rPr>
              <w:instrText xml:space="preserve"> PAGEREF _Toc167478286 \h </w:instrText>
            </w:r>
            <w:r w:rsidR="00075542">
              <w:rPr>
                <w:noProof/>
                <w:webHidden/>
              </w:rPr>
            </w:r>
            <w:r w:rsidR="00075542">
              <w:rPr>
                <w:noProof/>
                <w:webHidden/>
              </w:rPr>
              <w:fldChar w:fldCharType="separate"/>
            </w:r>
            <w:r w:rsidR="002E6614">
              <w:rPr>
                <w:noProof/>
                <w:webHidden/>
              </w:rPr>
              <w:t>8</w:t>
            </w:r>
            <w:r w:rsidR="00075542">
              <w:rPr>
                <w:noProof/>
                <w:webHidden/>
              </w:rPr>
              <w:fldChar w:fldCharType="end"/>
            </w:r>
          </w:hyperlink>
        </w:p>
        <w:p w14:paraId="4D95C92F" w14:textId="6A46A1E7" w:rsidR="00075542" w:rsidRDefault="00000000">
          <w:pPr>
            <w:pStyle w:val="TOC2"/>
            <w:tabs>
              <w:tab w:val="right" w:leader="dot" w:pos="9350"/>
            </w:tabs>
            <w:rPr>
              <w:rFonts w:asciiTheme="minorHAnsi" w:hAnsiTheme="minorHAnsi" w:cstheme="minorBidi"/>
              <w:noProof/>
              <w:kern w:val="2"/>
              <w:lang w:val="en-US"/>
              <w14:ligatures w14:val="standardContextual"/>
            </w:rPr>
          </w:pPr>
          <w:hyperlink w:anchor="_Toc167478287" w:history="1">
            <w:r w:rsidR="00075542" w:rsidRPr="00033410">
              <w:rPr>
                <w:rStyle w:val="Hyperlink"/>
                <w:noProof/>
              </w:rPr>
              <w:t>3.1 Data</w:t>
            </w:r>
            <w:r w:rsidR="00075542">
              <w:rPr>
                <w:noProof/>
                <w:webHidden/>
              </w:rPr>
              <w:tab/>
            </w:r>
            <w:r w:rsidR="00075542">
              <w:rPr>
                <w:noProof/>
                <w:webHidden/>
              </w:rPr>
              <w:fldChar w:fldCharType="begin"/>
            </w:r>
            <w:r w:rsidR="00075542">
              <w:rPr>
                <w:noProof/>
                <w:webHidden/>
              </w:rPr>
              <w:instrText xml:space="preserve"> PAGEREF _Toc167478287 \h </w:instrText>
            </w:r>
            <w:r w:rsidR="00075542">
              <w:rPr>
                <w:noProof/>
                <w:webHidden/>
              </w:rPr>
            </w:r>
            <w:r w:rsidR="00075542">
              <w:rPr>
                <w:noProof/>
                <w:webHidden/>
              </w:rPr>
              <w:fldChar w:fldCharType="separate"/>
            </w:r>
            <w:r w:rsidR="002E6614">
              <w:rPr>
                <w:noProof/>
                <w:webHidden/>
              </w:rPr>
              <w:t>8</w:t>
            </w:r>
            <w:r w:rsidR="00075542">
              <w:rPr>
                <w:noProof/>
                <w:webHidden/>
              </w:rPr>
              <w:fldChar w:fldCharType="end"/>
            </w:r>
          </w:hyperlink>
        </w:p>
        <w:p w14:paraId="0653F827" w14:textId="42850189" w:rsidR="00075542" w:rsidRDefault="00000000">
          <w:pPr>
            <w:pStyle w:val="TOC2"/>
            <w:tabs>
              <w:tab w:val="right" w:leader="dot" w:pos="9350"/>
            </w:tabs>
            <w:rPr>
              <w:rFonts w:asciiTheme="minorHAnsi" w:hAnsiTheme="minorHAnsi" w:cstheme="minorBidi"/>
              <w:noProof/>
              <w:kern w:val="2"/>
              <w:lang w:val="en-US"/>
              <w14:ligatures w14:val="standardContextual"/>
            </w:rPr>
          </w:pPr>
          <w:hyperlink w:anchor="_Toc167478288" w:history="1">
            <w:r w:rsidR="00075542" w:rsidRPr="00033410">
              <w:rPr>
                <w:rStyle w:val="Hyperlink"/>
                <w:noProof/>
              </w:rPr>
              <w:t>3.2 Descriptive Statistic</w:t>
            </w:r>
            <w:r w:rsidR="00075542">
              <w:rPr>
                <w:noProof/>
                <w:webHidden/>
              </w:rPr>
              <w:tab/>
            </w:r>
            <w:r w:rsidR="00075542">
              <w:rPr>
                <w:noProof/>
                <w:webHidden/>
              </w:rPr>
              <w:fldChar w:fldCharType="begin"/>
            </w:r>
            <w:r w:rsidR="00075542">
              <w:rPr>
                <w:noProof/>
                <w:webHidden/>
              </w:rPr>
              <w:instrText xml:space="preserve"> PAGEREF _Toc167478288 \h </w:instrText>
            </w:r>
            <w:r w:rsidR="00075542">
              <w:rPr>
                <w:noProof/>
                <w:webHidden/>
              </w:rPr>
            </w:r>
            <w:r w:rsidR="00075542">
              <w:rPr>
                <w:noProof/>
                <w:webHidden/>
              </w:rPr>
              <w:fldChar w:fldCharType="separate"/>
            </w:r>
            <w:r w:rsidR="002E6614">
              <w:rPr>
                <w:noProof/>
                <w:webHidden/>
              </w:rPr>
              <w:t>9</w:t>
            </w:r>
            <w:r w:rsidR="00075542">
              <w:rPr>
                <w:noProof/>
                <w:webHidden/>
              </w:rPr>
              <w:fldChar w:fldCharType="end"/>
            </w:r>
          </w:hyperlink>
        </w:p>
        <w:p w14:paraId="5E63AF1B" w14:textId="17C3A21A" w:rsidR="00075542" w:rsidRDefault="00000000">
          <w:pPr>
            <w:pStyle w:val="TOC2"/>
            <w:tabs>
              <w:tab w:val="right" w:leader="dot" w:pos="9350"/>
            </w:tabs>
            <w:rPr>
              <w:rFonts w:asciiTheme="minorHAnsi" w:hAnsiTheme="minorHAnsi" w:cstheme="minorBidi"/>
              <w:noProof/>
              <w:kern w:val="2"/>
              <w:lang w:val="en-US"/>
              <w14:ligatures w14:val="standardContextual"/>
            </w:rPr>
          </w:pPr>
          <w:hyperlink w:anchor="_Toc167478289" w:history="1">
            <w:r w:rsidR="00075542" w:rsidRPr="00033410">
              <w:rPr>
                <w:rStyle w:val="Hyperlink"/>
                <w:noProof/>
              </w:rPr>
              <w:t>3.3 Multivariate GARCH Models</w:t>
            </w:r>
            <w:r w:rsidR="00075542">
              <w:rPr>
                <w:noProof/>
                <w:webHidden/>
              </w:rPr>
              <w:tab/>
            </w:r>
            <w:r w:rsidR="00075542">
              <w:rPr>
                <w:noProof/>
                <w:webHidden/>
              </w:rPr>
              <w:fldChar w:fldCharType="begin"/>
            </w:r>
            <w:r w:rsidR="00075542">
              <w:rPr>
                <w:noProof/>
                <w:webHidden/>
              </w:rPr>
              <w:instrText xml:space="preserve"> PAGEREF _Toc167478289 \h </w:instrText>
            </w:r>
            <w:r w:rsidR="00075542">
              <w:rPr>
                <w:noProof/>
                <w:webHidden/>
              </w:rPr>
            </w:r>
            <w:r w:rsidR="00075542">
              <w:rPr>
                <w:noProof/>
                <w:webHidden/>
              </w:rPr>
              <w:fldChar w:fldCharType="separate"/>
            </w:r>
            <w:r w:rsidR="002E6614">
              <w:rPr>
                <w:noProof/>
                <w:webHidden/>
              </w:rPr>
              <w:t>11</w:t>
            </w:r>
            <w:r w:rsidR="00075542">
              <w:rPr>
                <w:noProof/>
                <w:webHidden/>
              </w:rPr>
              <w:fldChar w:fldCharType="end"/>
            </w:r>
          </w:hyperlink>
        </w:p>
        <w:p w14:paraId="31418ED4" w14:textId="5EECB785" w:rsidR="00075542" w:rsidRDefault="00000000">
          <w:pPr>
            <w:pStyle w:val="TOC2"/>
            <w:tabs>
              <w:tab w:val="right" w:leader="dot" w:pos="9350"/>
            </w:tabs>
            <w:rPr>
              <w:rFonts w:asciiTheme="minorHAnsi" w:hAnsiTheme="minorHAnsi" w:cstheme="minorBidi"/>
              <w:noProof/>
              <w:kern w:val="2"/>
              <w:lang w:val="en-US"/>
              <w14:ligatures w14:val="standardContextual"/>
            </w:rPr>
          </w:pPr>
          <w:hyperlink w:anchor="_Toc167478290" w:history="1">
            <w:r w:rsidR="00075542" w:rsidRPr="00033410">
              <w:rPr>
                <w:rStyle w:val="Hyperlink"/>
                <w:noProof/>
              </w:rPr>
              <w:t>3.4 Time-varying Portfolio Optimization</w:t>
            </w:r>
            <w:r w:rsidR="00075542">
              <w:rPr>
                <w:noProof/>
                <w:webHidden/>
              </w:rPr>
              <w:tab/>
            </w:r>
            <w:r w:rsidR="00075542">
              <w:rPr>
                <w:noProof/>
                <w:webHidden/>
              </w:rPr>
              <w:fldChar w:fldCharType="begin"/>
            </w:r>
            <w:r w:rsidR="00075542">
              <w:rPr>
                <w:noProof/>
                <w:webHidden/>
              </w:rPr>
              <w:instrText xml:space="preserve"> PAGEREF _Toc167478290 \h </w:instrText>
            </w:r>
            <w:r w:rsidR="00075542">
              <w:rPr>
                <w:noProof/>
                <w:webHidden/>
              </w:rPr>
            </w:r>
            <w:r w:rsidR="00075542">
              <w:rPr>
                <w:noProof/>
                <w:webHidden/>
              </w:rPr>
              <w:fldChar w:fldCharType="separate"/>
            </w:r>
            <w:r w:rsidR="002E6614">
              <w:rPr>
                <w:noProof/>
                <w:webHidden/>
              </w:rPr>
              <w:t>14</w:t>
            </w:r>
            <w:r w:rsidR="00075542">
              <w:rPr>
                <w:noProof/>
                <w:webHidden/>
              </w:rPr>
              <w:fldChar w:fldCharType="end"/>
            </w:r>
          </w:hyperlink>
        </w:p>
        <w:p w14:paraId="3B1123B2" w14:textId="2C7BEF56" w:rsidR="00075542" w:rsidRDefault="00000000">
          <w:pPr>
            <w:pStyle w:val="TOC2"/>
            <w:tabs>
              <w:tab w:val="right" w:leader="dot" w:pos="9350"/>
            </w:tabs>
            <w:rPr>
              <w:rFonts w:asciiTheme="minorHAnsi" w:hAnsiTheme="minorHAnsi" w:cstheme="minorBidi"/>
              <w:noProof/>
              <w:kern w:val="2"/>
              <w:lang w:val="en-US"/>
              <w14:ligatures w14:val="standardContextual"/>
            </w:rPr>
          </w:pPr>
          <w:hyperlink w:anchor="_Toc167478291" w:history="1">
            <w:r w:rsidR="00075542" w:rsidRPr="00033410">
              <w:rPr>
                <w:rStyle w:val="Hyperlink"/>
                <w:noProof/>
              </w:rPr>
              <w:t>3.5 Hedge Ratios</w:t>
            </w:r>
            <w:r w:rsidR="00075542">
              <w:rPr>
                <w:noProof/>
                <w:webHidden/>
              </w:rPr>
              <w:tab/>
            </w:r>
            <w:r w:rsidR="00075542">
              <w:rPr>
                <w:noProof/>
                <w:webHidden/>
              </w:rPr>
              <w:fldChar w:fldCharType="begin"/>
            </w:r>
            <w:r w:rsidR="00075542">
              <w:rPr>
                <w:noProof/>
                <w:webHidden/>
              </w:rPr>
              <w:instrText xml:space="preserve"> PAGEREF _Toc167478291 \h </w:instrText>
            </w:r>
            <w:r w:rsidR="00075542">
              <w:rPr>
                <w:noProof/>
                <w:webHidden/>
              </w:rPr>
            </w:r>
            <w:r w:rsidR="00075542">
              <w:rPr>
                <w:noProof/>
                <w:webHidden/>
              </w:rPr>
              <w:fldChar w:fldCharType="separate"/>
            </w:r>
            <w:r w:rsidR="002E6614">
              <w:rPr>
                <w:noProof/>
                <w:webHidden/>
              </w:rPr>
              <w:t>16</w:t>
            </w:r>
            <w:r w:rsidR="00075542">
              <w:rPr>
                <w:noProof/>
                <w:webHidden/>
              </w:rPr>
              <w:fldChar w:fldCharType="end"/>
            </w:r>
          </w:hyperlink>
        </w:p>
        <w:p w14:paraId="1B9344D9" w14:textId="00D222FB" w:rsidR="00075542" w:rsidRDefault="00000000">
          <w:pPr>
            <w:pStyle w:val="TOC1"/>
            <w:tabs>
              <w:tab w:val="right" w:leader="dot" w:pos="9350"/>
            </w:tabs>
            <w:rPr>
              <w:rFonts w:asciiTheme="minorHAnsi" w:hAnsiTheme="minorHAnsi" w:cstheme="minorBidi"/>
              <w:noProof/>
              <w:kern w:val="2"/>
              <w:lang w:val="en-US"/>
              <w14:ligatures w14:val="standardContextual"/>
            </w:rPr>
          </w:pPr>
          <w:hyperlink w:anchor="_Toc167478292" w:history="1">
            <w:r w:rsidR="00075542" w:rsidRPr="00033410">
              <w:rPr>
                <w:rStyle w:val="Hyperlink"/>
                <w:noProof/>
              </w:rPr>
              <w:t>4. Results</w:t>
            </w:r>
            <w:r w:rsidR="00075542">
              <w:rPr>
                <w:noProof/>
                <w:webHidden/>
              </w:rPr>
              <w:tab/>
            </w:r>
            <w:r w:rsidR="00075542">
              <w:rPr>
                <w:noProof/>
                <w:webHidden/>
              </w:rPr>
              <w:fldChar w:fldCharType="begin"/>
            </w:r>
            <w:r w:rsidR="00075542">
              <w:rPr>
                <w:noProof/>
                <w:webHidden/>
              </w:rPr>
              <w:instrText xml:space="preserve"> PAGEREF _Toc167478292 \h </w:instrText>
            </w:r>
            <w:r w:rsidR="00075542">
              <w:rPr>
                <w:noProof/>
                <w:webHidden/>
              </w:rPr>
            </w:r>
            <w:r w:rsidR="00075542">
              <w:rPr>
                <w:noProof/>
                <w:webHidden/>
              </w:rPr>
              <w:fldChar w:fldCharType="separate"/>
            </w:r>
            <w:r w:rsidR="002E6614">
              <w:rPr>
                <w:noProof/>
                <w:webHidden/>
              </w:rPr>
              <w:t>18</w:t>
            </w:r>
            <w:r w:rsidR="00075542">
              <w:rPr>
                <w:noProof/>
                <w:webHidden/>
              </w:rPr>
              <w:fldChar w:fldCharType="end"/>
            </w:r>
          </w:hyperlink>
        </w:p>
        <w:p w14:paraId="7BC502DC" w14:textId="1A41689F" w:rsidR="00075542" w:rsidRDefault="00000000">
          <w:pPr>
            <w:pStyle w:val="TOC2"/>
            <w:tabs>
              <w:tab w:val="right" w:leader="dot" w:pos="9350"/>
            </w:tabs>
            <w:rPr>
              <w:rFonts w:asciiTheme="minorHAnsi" w:hAnsiTheme="minorHAnsi" w:cstheme="minorBidi"/>
              <w:noProof/>
              <w:kern w:val="2"/>
              <w:lang w:val="en-US"/>
              <w14:ligatures w14:val="standardContextual"/>
            </w:rPr>
          </w:pPr>
          <w:hyperlink w:anchor="_Toc167478293" w:history="1">
            <w:r w:rsidR="00075542" w:rsidRPr="00033410">
              <w:rPr>
                <w:rStyle w:val="Hyperlink"/>
                <w:noProof/>
              </w:rPr>
              <w:t>4.1 Multivariate GARCH Models</w:t>
            </w:r>
            <w:r w:rsidR="00075542">
              <w:rPr>
                <w:noProof/>
                <w:webHidden/>
              </w:rPr>
              <w:tab/>
            </w:r>
            <w:r w:rsidR="00075542">
              <w:rPr>
                <w:noProof/>
                <w:webHidden/>
              </w:rPr>
              <w:fldChar w:fldCharType="begin"/>
            </w:r>
            <w:r w:rsidR="00075542">
              <w:rPr>
                <w:noProof/>
                <w:webHidden/>
              </w:rPr>
              <w:instrText xml:space="preserve"> PAGEREF _Toc167478293 \h </w:instrText>
            </w:r>
            <w:r w:rsidR="00075542">
              <w:rPr>
                <w:noProof/>
                <w:webHidden/>
              </w:rPr>
            </w:r>
            <w:r w:rsidR="00075542">
              <w:rPr>
                <w:noProof/>
                <w:webHidden/>
              </w:rPr>
              <w:fldChar w:fldCharType="separate"/>
            </w:r>
            <w:r w:rsidR="002E6614">
              <w:rPr>
                <w:noProof/>
                <w:webHidden/>
              </w:rPr>
              <w:t>18</w:t>
            </w:r>
            <w:r w:rsidR="00075542">
              <w:rPr>
                <w:noProof/>
                <w:webHidden/>
              </w:rPr>
              <w:fldChar w:fldCharType="end"/>
            </w:r>
          </w:hyperlink>
        </w:p>
        <w:p w14:paraId="500B9D71" w14:textId="65D9129D" w:rsidR="00075542" w:rsidRDefault="00000000">
          <w:pPr>
            <w:pStyle w:val="TOC2"/>
            <w:tabs>
              <w:tab w:val="right" w:leader="dot" w:pos="9350"/>
            </w:tabs>
            <w:rPr>
              <w:rFonts w:asciiTheme="minorHAnsi" w:hAnsiTheme="minorHAnsi" w:cstheme="minorBidi"/>
              <w:noProof/>
              <w:kern w:val="2"/>
              <w:lang w:val="en-US"/>
              <w14:ligatures w14:val="standardContextual"/>
            </w:rPr>
          </w:pPr>
          <w:hyperlink w:anchor="_Toc167478294" w:history="1">
            <w:r w:rsidR="00075542" w:rsidRPr="00033410">
              <w:rPr>
                <w:rStyle w:val="Hyperlink"/>
                <w:noProof/>
              </w:rPr>
              <w:t>4.2 Optimal Portfolio Weights</w:t>
            </w:r>
            <w:r w:rsidR="00075542">
              <w:rPr>
                <w:noProof/>
                <w:webHidden/>
              </w:rPr>
              <w:tab/>
            </w:r>
            <w:r w:rsidR="00075542">
              <w:rPr>
                <w:noProof/>
                <w:webHidden/>
              </w:rPr>
              <w:fldChar w:fldCharType="begin"/>
            </w:r>
            <w:r w:rsidR="00075542">
              <w:rPr>
                <w:noProof/>
                <w:webHidden/>
              </w:rPr>
              <w:instrText xml:space="preserve"> PAGEREF _Toc167478294 \h </w:instrText>
            </w:r>
            <w:r w:rsidR="00075542">
              <w:rPr>
                <w:noProof/>
                <w:webHidden/>
              </w:rPr>
            </w:r>
            <w:r w:rsidR="00075542">
              <w:rPr>
                <w:noProof/>
                <w:webHidden/>
              </w:rPr>
              <w:fldChar w:fldCharType="separate"/>
            </w:r>
            <w:r w:rsidR="002E6614">
              <w:rPr>
                <w:noProof/>
                <w:webHidden/>
              </w:rPr>
              <w:t>20</w:t>
            </w:r>
            <w:r w:rsidR="00075542">
              <w:rPr>
                <w:noProof/>
                <w:webHidden/>
              </w:rPr>
              <w:fldChar w:fldCharType="end"/>
            </w:r>
          </w:hyperlink>
        </w:p>
        <w:p w14:paraId="68A3EB10" w14:textId="09A593C7" w:rsidR="00075542" w:rsidRDefault="00000000">
          <w:pPr>
            <w:pStyle w:val="TOC2"/>
            <w:tabs>
              <w:tab w:val="right" w:leader="dot" w:pos="9350"/>
            </w:tabs>
            <w:rPr>
              <w:rFonts w:asciiTheme="minorHAnsi" w:hAnsiTheme="minorHAnsi" w:cstheme="minorBidi"/>
              <w:noProof/>
              <w:kern w:val="2"/>
              <w:lang w:val="en-US"/>
              <w14:ligatures w14:val="standardContextual"/>
            </w:rPr>
          </w:pPr>
          <w:hyperlink w:anchor="_Toc167478295" w:history="1">
            <w:r w:rsidR="00075542" w:rsidRPr="00033410">
              <w:rPr>
                <w:rStyle w:val="Hyperlink"/>
                <w:noProof/>
              </w:rPr>
              <w:t>4.3 Portfolio Performance</w:t>
            </w:r>
            <w:r w:rsidR="00075542">
              <w:rPr>
                <w:noProof/>
                <w:webHidden/>
              </w:rPr>
              <w:tab/>
            </w:r>
            <w:r w:rsidR="00075542">
              <w:rPr>
                <w:noProof/>
                <w:webHidden/>
              </w:rPr>
              <w:fldChar w:fldCharType="begin"/>
            </w:r>
            <w:r w:rsidR="00075542">
              <w:rPr>
                <w:noProof/>
                <w:webHidden/>
              </w:rPr>
              <w:instrText xml:space="preserve"> PAGEREF _Toc167478295 \h </w:instrText>
            </w:r>
            <w:r w:rsidR="00075542">
              <w:rPr>
                <w:noProof/>
                <w:webHidden/>
              </w:rPr>
            </w:r>
            <w:r w:rsidR="00075542">
              <w:rPr>
                <w:noProof/>
                <w:webHidden/>
              </w:rPr>
              <w:fldChar w:fldCharType="separate"/>
            </w:r>
            <w:r w:rsidR="002E6614">
              <w:rPr>
                <w:noProof/>
                <w:webHidden/>
              </w:rPr>
              <w:t>22</w:t>
            </w:r>
            <w:r w:rsidR="00075542">
              <w:rPr>
                <w:noProof/>
                <w:webHidden/>
              </w:rPr>
              <w:fldChar w:fldCharType="end"/>
            </w:r>
          </w:hyperlink>
        </w:p>
        <w:p w14:paraId="737DBE0B" w14:textId="473B2F3B" w:rsidR="00075542" w:rsidRDefault="00000000">
          <w:pPr>
            <w:pStyle w:val="TOC2"/>
            <w:tabs>
              <w:tab w:val="right" w:leader="dot" w:pos="9350"/>
            </w:tabs>
            <w:rPr>
              <w:rFonts w:asciiTheme="minorHAnsi" w:hAnsiTheme="minorHAnsi" w:cstheme="minorBidi"/>
              <w:noProof/>
              <w:kern w:val="2"/>
              <w:lang w:val="en-US"/>
              <w14:ligatures w14:val="standardContextual"/>
            </w:rPr>
          </w:pPr>
          <w:hyperlink w:anchor="_Toc167478296" w:history="1">
            <w:r w:rsidR="00075542" w:rsidRPr="00033410">
              <w:rPr>
                <w:rStyle w:val="Hyperlink"/>
                <w:noProof/>
              </w:rPr>
              <w:t>4.4 Hedge against Risk</w:t>
            </w:r>
            <w:r w:rsidR="00075542">
              <w:rPr>
                <w:noProof/>
                <w:webHidden/>
              </w:rPr>
              <w:tab/>
            </w:r>
            <w:r w:rsidR="00075542">
              <w:rPr>
                <w:noProof/>
                <w:webHidden/>
              </w:rPr>
              <w:fldChar w:fldCharType="begin"/>
            </w:r>
            <w:r w:rsidR="00075542">
              <w:rPr>
                <w:noProof/>
                <w:webHidden/>
              </w:rPr>
              <w:instrText xml:space="preserve"> PAGEREF _Toc167478296 \h </w:instrText>
            </w:r>
            <w:r w:rsidR="00075542">
              <w:rPr>
                <w:noProof/>
                <w:webHidden/>
              </w:rPr>
            </w:r>
            <w:r w:rsidR="00075542">
              <w:rPr>
                <w:noProof/>
                <w:webHidden/>
              </w:rPr>
              <w:fldChar w:fldCharType="separate"/>
            </w:r>
            <w:r w:rsidR="002E6614">
              <w:rPr>
                <w:noProof/>
                <w:webHidden/>
              </w:rPr>
              <w:t>23</w:t>
            </w:r>
            <w:r w:rsidR="00075542">
              <w:rPr>
                <w:noProof/>
                <w:webHidden/>
              </w:rPr>
              <w:fldChar w:fldCharType="end"/>
            </w:r>
          </w:hyperlink>
        </w:p>
        <w:p w14:paraId="39F0A827" w14:textId="587279BB" w:rsidR="00075542" w:rsidRDefault="00000000">
          <w:pPr>
            <w:pStyle w:val="TOC2"/>
            <w:tabs>
              <w:tab w:val="right" w:leader="dot" w:pos="9350"/>
            </w:tabs>
            <w:rPr>
              <w:rFonts w:asciiTheme="minorHAnsi" w:hAnsiTheme="minorHAnsi" w:cstheme="minorBidi"/>
              <w:noProof/>
              <w:kern w:val="2"/>
              <w:lang w:val="en-US"/>
              <w14:ligatures w14:val="standardContextual"/>
            </w:rPr>
          </w:pPr>
          <w:hyperlink w:anchor="_Toc167478297" w:history="1">
            <w:r w:rsidR="00075542" w:rsidRPr="00033410">
              <w:rPr>
                <w:rStyle w:val="Hyperlink"/>
                <w:noProof/>
              </w:rPr>
              <w:t>4.5 Empirical Results Summary</w:t>
            </w:r>
            <w:r w:rsidR="00075542">
              <w:rPr>
                <w:noProof/>
                <w:webHidden/>
              </w:rPr>
              <w:tab/>
            </w:r>
            <w:r w:rsidR="00075542">
              <w:rPr>
                <w:noProof/>
                <w:webHidden/>
              </w:rPr>
              <w:fldChar w:fldCharType="begin"/>
            </w:r>
            <w:r w:rsidR="00075542">
              <w:rPr>
                <w:noProof/>
                <w:webHidden/>
              </w:rPr>
              <w:instrText xml:space="preserve"> PAGEREF _Toc167478297 \h </w:instrText>
            </w:r>
            <w:r w:rsidR="00075542">
              <w:rPr>
                <w:noProof/>
                <w:webHidden/>
              </w:rPr>
            </w:r>
            <w:r w:rsidR="00075542">
              <w:rPr>
                <w:noProof/>
                <w:webHidden/>
              </w:rPr>
              <w:fldChar w:fldCharType="separate"/>
            </w:r>
            <w:r w:rsidR="002E6614">
              <w:rPr>
                <w:noProof/>
                <w:webHidden/>
              </w:rPr>
              <w:t>24</w:t>
            </w:r>
            <w:r w:rsidR="00075542">
              <w:rPr>
                <w:noProof/>
                <w:webHidden/>
              </w:rPr>
              <w:fldChar w:fldCharType="end"/>
            </w:r>
          </w:hyperlink>
        </w:p>
        <w:p w14:paraId="606FB942" w14:textId="4AD9ED7C" w:rsidR="00075542" w:rsidRDefault="00000000">
          <w:pPr>
            <w:pStyle w:val="TOC1"/>
            <w:tabs>
              <w:tab w:val="right" w:leader="dot" w:pos="9350"/>
            </w:tabs>
            <w:rPr>
              <w:rFonts w:asciiTheme="minorHAnsi" w:hAnsiTheme="minorHAnsi" w:cstheme="minorBidi"/>
              <w:noProof/>
              <w:kern w:val="2"/>
              <w:lang w:val="en-US"/>
              <w14:ligatures w14:val="standardContextual"/>
            </w:rPr>
          </w:pPr>
          <w:hyperlink w:anchor="_Toc167478298" w:history="1">
            <w:r w:rsidR="00075542" w:rsidRPr="00033410">
              <w:rPr>
                <w:rStyle w:val="Hyperlink"/>
                <w:noProof/>
              </w:rPr>
              <w:t>5. Conclusion</w:t>
            </w:r>
            <w:r w:rsidR="00075542">
              <w:rPr>
                <w:noProof/>
                <w:webHidden/>
              </w:rPr>
              <w:tab/>
            </w:r>
            <w:r w:rsidR="00075542">
              <w:rPr>
                <w:noProof/>
                <w:webHidden/>
              </w:rPr>
              <w:fldChar w:fldCharType="begin"/>
            </w:r>
            <w:r w:rsidR="00075542">
              <w:rPr>
                <w:noProof/>
                <w:webHidden/>
              </w:rPr>
              <w:instrText xml:space="preserve"> PAGEREF _Toc167478298 \h </w:instrText>
            </w:r>
            <w:r w:rsidR="00075542">
              <w:rPr>
                <w:noProof/>
                <w:webHidden/>
              </w:rPr>
            </w:r>
            <w:r w:rsidR="00075542">
              <w:rPr>
                <w:noProof/>
                <w:webHidden/>
              </w:rPr>
              <w:fldChar w:fldCharType="separate"/>
            </w:r>
            <w:r w:rsidR="002E6614">
              <w:rPr>
                <w:noProof/>
                <w:webHidden/>
              </w:rPr>
              <w:t>26</w:t>
            </w:r>
            <w:r w:rsidR="00075542">
              <w:rPr>
                <w:noProof/>
                <w:webHidden/>
              </w:rPr>
              <w:fldChar w:fldCharType="end"/>
            </w:r>
          </w:hyperlink>
        </w:p>
        <w:p w14:paraId="3922F1B1" w14:textId="1A44552F" w:rsidR="00075542" w:rsidRDefault="00000000">
          <w:pPr>
            <w:pStyle w:val="TOC1"/>
            <w:tabs>
              <w:tab w:val="right" w:leader="dot" w:pos="9350"/>
            </w:tabs>
            <w:rPr>
              <w:rFonts w:asciiTheme="minorHAnsi" w:hAnsiTheme="minorHAnsi" w:cstheme="minorBidi"/>
              <w:noProof/>
              <w:kern w:val="2"/>
              <w:lang w:val="en-US"/>
              <w14:ligatures w14:val="standardContextual"/>
            </w:rPr>
          </w:pPr>
          <w:hyperlink w:anchor="_Toc167478299" w:history="1">
            <w:r w:rsidR="00075542" w:rsidRPr="00033410">
              <w:rPr>
                <w:rStyle w:val="Hyperlink"/>
                <w:noProof/>
              </w:rPr>
              <w:t>References</w:t>
            </w:r>
            <w:r w:rsidR="00075542">
              <w:rPr>
                <w:noProof/>
                <w:webHidden/>
              </w:rPr>
              <w:tab/>
            </w:r>
            <w:r w:rsidR="00075542">
              <w:rPr>
                <w:noProof/>
                <w:webHidden/>
              </w:rPr>
              <w:fldChar w:fldCharType="begin"/>
            </w:r>
            <w:r w:rsidR="00075542">
              <w:rPr>
                <w:noProof/>
                <w:webHidden/>
              </w:rPr>
              <w:instrText xml:space="preserve"> PAGEREF _Toc167478299 \h </w:instrText>
            </w:r>
            <w:r w:rsidR="00075542">
              <w:rPr>
                <w:noProof/>
                <w:webHidden/>
              </w:rPr>
            </w:r>
            <w:r w:rsidR="00075542">
              <w:rPr>
                <w:noProof/>
                <w:webHidden/>
              </w:rPr>
              <w:fldChar w:fldCharType="separate"/>
            </w:r>
            <w:r w:rsidR="002E6614">
              <w:rPr>
                <w:noProof/>
                <w:webHidden/>
              </w:rPr>
              <w:t>27</w:t>
            </w:r>
            <w:r w:rsidR="00075542">
              <w:rPr>
                <w:noProof/>
                <w:webHidden/>
              </w:rPr>
              <w:fldChar w:fldCharType="end"/>
            </w:r>
          </w:hyperlink>
        </w:p>
        <w:p w14:paraId="0C9EEF8A" w14:textId="6095AB9A" w:rsidR="00075542" w:rsidRDefault="00000000">
          <w:pPr>
            <w:pStyle w:val="TOC1"/>
            <w:tabs>
              <w:tab w:val="right" w:leader="dot" w:pos="9350"/>
            </w:tabs>
            <w:rPr>
              <w:rFonts w:asciiTheme="minorHAnsi" w:hAnsiTheme="minorHAnsi" w:cstheme="minorBidi"/>
              <w:noProof/>
              <w:kern w:val="2"/>
              <w:lang w:val="en-US"/>
              <w14:ligatures w14:val="standardContextual"/>
            </w:rPr>
          </w:pPr>
          <w:hyperlink w:anchor="_Toc167478300" w:history="1">
            <w:r w:rsidR="00075542" w:rsidRPr="00033410">
              <w:rPr>
                <w:rStyle w:val="Hyperlink"/>
                <w:noProof/>
              </w:rPr>
              <w:t>Appendixes</w:t>
            </w:r>
            <w:r w:rsidR="00075542">
              <w:rPr>
                <w:noProof/>
                <w:webHidden/>
              </w:rPr>
              <w:tab/>
            </w:r>
            <w:r w:rsidR="00075542">
              <w:rPr>
                <w:noProof/>
                <w:webHidden/>
              </w:rPr>
              <w:fldChar w:fldCharType="begin"/>
            </w:r>
            <w:r w:rsidR="00075542">
              <w:rPr>
                <w:noProof/>
                <w:webHidden/>
              </w:rPr>
              <w:instrText xml:space="preserve"> PAGEREF _Toc167478300 \h </w:instrText>
            </w:r>
            <w:r w:rsidR="00075542">
              <w:rPr>
                <w:noProof/>
                <w:webHidden/>
              </w:rPr>
            </w:r>
            <w:r w:rsidR="00075542">
              <w:rPr>
                <w:noProof/>
                <w:webHidden/>
              </w:rPr>
              <w:fldChar w:fldCharType="separate"/>
            </w:r>
            <w:r w:rsidR="002E6614">
              <w:rPr>
                <w:noProof/>
                <w:webHidden/>
              </w:rPr>
              <w:t>31</w:t>
            </w:r>
            <w:r w:rsidR="00075542">
              <w:rPr>
                <w:noProof/>
                <w:webHidden/>
              </w:rPr>
              <w:fldChar w:fldCharType="end"/>
            </w:r>
          </w:hyperlink>
        </w:p>
        <w:p w14:paraId="48584B9D" w14:textId="3B1BF3A9" w:rsidR="00075542" w:rsidRDefault="00000000">
          <w:pPr>
            <w:pStyle w:val="TOC1"/>
            <w:tabs>
              <w:tab w:val="right" w:leader="dot" w:pos="9350"/>
            </w:tabs>
            <w:rPr>
              <w:rFonts w:asciiTheme="minorHAnsi" w:hAnsiTheme="minorHAnsi" w:cstheme="minorBidi"/>
              <w:noProof/>
              <w:kern w:val="2"/>
              <w:lang w:val="en-US"/>
              <w14:ligatures w14:val="standardContextual"/>
            </w:rPr>
          </w:pPr>
          <w:hyperlink w:anchor="_Toc167478301" w:history="1">
            <w:r w:rsidR="00075542" w:rsidRPr="00033410">
              <w:rPr>
                <w:rStyle w:val="Hyperlink"/>
                <w:noProof/>
              </w:rPr>
              <w:t>Declaration of Generative AI</w:t>
            </w:r>
            <w:r w:rsidR="00075542">
              <w:rPr>
                <w:noProof/>
                <w:webHidden/>
              </w:rPr>
              <w:tab/>
            </w:r>
            <w:r w:rsidR="00075542">
              <w:rPr>
                <w:noProof/>
                <w:webHidden/>
              </w:rPr>
              <w:fldChar w:fldCharType="begin"/>
            </w:r>
            <w:r w:rsidR="00075542">
              <w:rPr>
                <w:noProof/>
                <w:webHidden/>
              </w:rPr>
              <w:instrText xml:space="preserve"> PAGEREF _Toc167478301 \h </w:instrText>
            </w:r>
            <w:r w:rsidR="00075542">
              <w:rPr>
                <w:noProof/>
                <w:webHidden/>
              </w:rPr>
            </w:r>
            <w:r w:rsidR="00075542">
              <w:rPr>
                <w:noProof/>
                <w:webHidden/>
              </w:rPr>
              <w:fldChar w:fldCharType="separate"/>
            </w:r>
            <w:r w:rsidR="002E6614">
              <w:rPr>
                <w:noProof/>
                <w:webHidden/>
              </w:rPr>
              <w:t>35</w:t>
            </w:r>
            <w:r w:rsidR="00075542">
              <w:rPr>
                <w:noProof/>
                <w:webHidden/>
              </w:rPr>
              <w:fldChar w:fldCharType="end"/>
            </w:r>
          </w:hyperlink>
        </w:p>
        <w:p w14:paraId="7CB913C3" w14:textId="7E598EA3" w:rsidR="00D640F1" w:rsidRDefault="00775969" w:rsidP="00775969">
          <w:pPr>
            <w:pStyle w:val="TOC1"/>
            <w:tabs>
              <w:tab w:val="right" w:leader="dot" w:pos="9350"/>
            </w:tabs>
            <w:rPr>
              <w:rFonts w:ascii="Arial" w:eastAsia="Arial" w:hAnsi="Arial" w:cs="Arial"/>
              <w:b/>
              <w:color w:val="000000"/>
              <w:sz w:val="22"/>
              <w:szCs w:val="22"/>
            </w:rPr>
          </w:pPr>
          <w:r>
            <w:fldChar w:fldCharType="end"/>
          </w:r>
        </w:p>
      </w:sdtContent>
    </w:sdt>
    <w:p w14:paraId="633814E0" w14:textId="77777777" w:rsidR="00D640F1" w:rsidRDefault="00D640F1" w:rsidP="00E701CC">
      <w:pPr>
        <w:widowControl w:val="0"/>
        <w:spacing w:before="320" w:line="261" w:lineRule="auto"/>
        <w:ind w:right="118"/>
        <w:jc w:val="both"/>
      </w:pPr>
    </w:p>
    <w:p w14:paraId="7985CB16" w14:textId="77777777" w:rsidR="00D640F1" w:rsidRDefault="00000000">
      <w:pPr>
        <w:pStyle w:val="Heading1"/>
        <w:keepNext w:val="0"/>
        <w:keepLines w:val="0"/>
        <w:jc w:val="both"/>
      </w:pPr>
      <w:bookmarkStart w:id="0" w:name="_1fhd9gaoblgg" w:colFirst="0" w:colLast="0"/>
      <w:bookmarkEnd w:id="0"/>
      <w:r>
        <w:br w:type="page"/>
      </w:r>
    </w:p>
    <w:p w14:paraId="3BBE188E" w14:textId="77777777" w:rsidR="0038173F" w:rsidRDefault="0038173F">
      <w:pPr>
        <w:pStyle w:val="Heading1"/>
        <w:keepNext w:val="0"/>
        <w:keepLines w:val="0"/>
        <w:jc w:val="both"/>
        <w:sectPr w:rsidR="0038173F">
          <w:footerReference w:type="default" r:id="rId10"/>
          <w:pgSz w:w="12240" w:h="15840"/>
          <w:pgMar w:top="1440" w:right="1440" w:bottom="1440" w:left="1440" w:header="720" w:footer="720" w:gutter="0"/>
          <w:pgNumType w:start="1"/>
          <w:cols w:space="720"/>
          <w:titlePg/>
        </w:sectPr>
      </w:pPr>
    </w:p>
    <w:p w14:paraId="1CCCF28C" w14:textId="77777777" w:rsidR="00D640F1" w:rsidRDefault="00000000" w:rsidP="005274E2">
      <w:pPr>
        <w:pStyle w:val="Heading1"/>
        <w:keepNext w:val="0"/>
        <w:keepLines w:val="0"/>
        <w:jc w:val="both"/>
      </w:pPr>
      <w:bookmarkStart w:id="1" w:name="_Toc167478281"/>
      <w:r>
        <w:t>1. Introduction</w:t>
      </w:r>
      <w:bookmarkEnd w:id="1"/>
    </w:p>
    <w:p w14:paraId="4798B7BF" w14:textId="696C431F" w:rsidR="00F7277F" w:rsidRDefault="00000000" w:rsidP="005274E2">
      <w:pPr>
        <w:tabs>
          <w:tab w:val="left" w:pos="1165"/>
          <w:tab w:val="left" w:pos="1167"/>
        </w:tabs>
        <w:spacing w:after="240"/>
        <w:jc w:val="both"/>
      </w:pPr>
      <w:r>
        <w:t xml:space="preserve">Commodities are raw materials that can be classified </w:t>
      </w:r>
      <w:r w:rsidR="003D4692">
        <w:t>into</w:t>
      </w:r>
      <w:r>
        <w:t xml:space="preserve"> </w:t>
      </w:r>
      <w:r w:rsidR="00B925A2">
        <w:t>metal</w:t>
      </w:r>
      <w:r>
        <w:t>, energy, and agricultural products</w:t>
      </w:r>
      <w:r w:rsidR="00B83ED5">
        <w:t>.</w:t>
      </w:r>
      <w:r w:rsidR="005C471A">
        <w:t xml:space="preserve"> </w:t>
      </w:r>
      <w:r w:rsidR="00F62E3E">
        <w:t xml:space="preserve">Metal commodities include </w:t>
      </w:r>
      <w:r w:rsidR="00247651">
        <w:t xml:space="preserve">precious metals and </w:t>
      </w:r>
      <w:r w:rsidR="00F62E3E">
        <w:t xml:space="preserve">industrial metals. Precious metals, such as gold and silver, </w:t>
      </w:r>
      <w:r w:rsidR="00E14863">
        <w:t>have their intrinsic value</w:t>
      </w:r>
      <w:r w:rsidR="00F62E3E">
        <w:t xml:space="preserve"> and</w:t>
      </w:r>
      <w:r w:rsidR="00E14863">
        <w:t xml:space="preserve"> are often</w:t>
      </w:r>
      <w:r w:rsidR="00F62E3E">
        <w:t xml:space="preserve"> use</w:t>
      </w:r>
      <w:r w:rsidR="00E14863">
        <w:t>d</w:t>
      </w:r>
      <w:r w:rsidR="00F62E3E">
        <w:t xml:space="preserve"> </w:t>
      </w:r>
      <w:r w:rsidR="00202C39">
        <w:t>for</w:t>
      </w:r>
      <w:r w:rsidR="00F62E3E">
        <w:t xml:space="preserve"> </w:t>
      </w:r>
      <w:r w:rsidR="00C50A7A" w:rsidRPr="00C50A7A">
        <w:t>maintaining value over time</w:t>
      </w:r>
      <w:r w:rsidR="00F05AA0">
        <w:t>, while i</w:t>
      </w:r>
      <w:r w:rsidR="00F62E3E">
        <w:t>ndustrial metals</w:t>
      </w:r>
      <w:r w:rsidR="002C2A77">
        <w:t>,</w:t>
      </w:r>
      <w:r w:rsidR="00F62E3E">
        <w:t xml:space="preserve"> </w:t>
      </w:r>
      <w:r w:rsidR="00274893">
        <w:t>such as copper and iron</w:t>
      </w:r>
      <w:r w:rsidR="000310C9">
        <w:t xml:space="preserve">, </w:t>
      </w:r>
      <w:r w:rsidR="00F62E3E">
        <w:t>are used for industrial purposes</w:t>
      </w:r>
      <w:r w:rsidR="00202C39">
        <w:t xml:space="preserve">. Energy commodities often </w:t>
      </w:r>
      <w:r w:rsidR="003C091F">
        <w:t>refer to</w:t>
      </w:r>
      <w:r w:rsidR="00202C39">
        <w:t xml:space="preserve"> crude oil and its refinements.</w:t>
      </w:r>
      <w:r w:rsidR="00F62E3E">
        <w:t xml:space="preserve"> </w:t>
      </w:r>
      <w:r w:rsidR="001B634D">
        <w:t>Also, agricultural commodities</w:t>
      </w:r>
      <w:r w:rsidR="001F3328">
        <w:t xml:space="preserve"> generally</w:t>
      </w:r>
      <w:r w:rsidR="001B634D">
        <w:t xml:space="preserve"> include</w:t>
      </w:r>
      <w:r w:rsidR="001F3328">
        <w:t xml:space="preserve"> two types</w:t>
      </w:r>
      <w:r w:rsidR="009C7177">
        <w:t>, which are</w:t>
      </w:r>
      <w:r w:rsidR="001B634D" w:rsidRPr="00202C39">
        <w:t xml:space="preserve"> crops</w:t>
      </w:r>
      <w:r w:rsidR="001B634D">
        <w:t xml:space="preserve"> and </w:t>
      </w:r>
      <w:r w:rsidR="001F3328">
        <w:t>livestock</w:t>
      </w:r>
      <w:r w:rsidR="009C7177">
        <w:t xml:space="preserve"> commodities</w:t>
      </w:r>
      <w:r w:rsidR="001B634D">
        <w:t xml:space="preserve"> </w:t>
      </w:r>
      <w:r w:rsidR="00050003">
        <w:fldChar w:fldCharType="begin"/>
      </w:r>
      <w:r w:rsidR="00050003">
        <w:instrText xml:space="preserve"> ADDIN ZOTERO_ITEM CSL_CITATION {"citationID":"hgjt8E0H","properties":{"formattedCitation":"(Ielpo, 2018)","plainCitation":"(Ielpo, 2018)","noteIndex":0},"citationItems":[{"id":174,"uris":["http://zotero.org/users/13925666/items/2LNLPBKV"],"itemData":{"id":174,"type":"book","abstract":"This chapter covers the economic fundamentals of commodity markets (i.e., what shapes the evolution of the price of raw materials) in three steps. First, it covers the theories explaining why the futures curve can be upward or downward sloping, an essential element for commodity producing companies. The evolution of inventories and hedging pressures are the two dominant sources of explanation. Second, the chapter reviews the fundamentals of commodity spot prices: technologies, supply, demand, and speculation. Production costs draw the long-term evolution of prices, but demand and supply shocks can trigger substantial variations in commodity prices. Third, the chapter presents how commodity prices interact with the business cycle. Commodities are influenced by the world activity but can also have a material impact on it.","collection-title":"Commodities : Markets, Performance, and Strategies","event-place":"New York","ISBN":"978-0-19-065604-1","note":"DOI: 10.1093/oso/9780190656010.003.0002","publisher":"Oxford University Press","publisher-place":"New York","source":"EBSCOhost","title":"The Economics of Commodities and Commodity Markets","author":[{"family":"Ielpo","given":"Florian"}],"issued":{"date-parts":[["2018",8,30]]}}}],"schema":"https://github.com/citation-style-language/schema/raw/master/csl-citation.json"} </w:instrText>
      </w:r>
      <w:r w:rsidR="00050003">
        <w:fldChar w:fldCharType="separate"/>
      </w:r>
      <w:r w:rsidR="00050003" w:rsidRPr="00050003">
        <w:t>(Ielpo, 2018)</w:t>
      </w:r>
      <w:r w:rsidR="00050003">
        <w:fldChar w:fldCharType="end"/>
      </w:r>
      <w:r>
        <w:t xml:space="preserve">. </w:t>
      </w:r>
      <w:r w:rsidR="00202C39">
        <w:t>These commodities’</w:t>
      </w:r>
      <w:r>
        <w:t xml:space="preserve"> prices are easily influenced by various factors. For example, energy commodities are influenced by heating while agricultural commodities are </w:t>
      </w:r>
      <w:r w:rsidR="00837D5C">
        <w:t>affected</w:t>
      </w:r>
      <w:r>
        <w:t xml:space="preserve"> by weather conditions and seasonal demand. In order to avoid the associated risk of these factors, the first commodity futures trading exchange was established in Japan for trading rice futures in 1730 </w:t>
      </w:r>
      <w:r w:rsidR="00B0055A">
        <w:fldChar w:fldCharType="begin"/>
      </w:r>
      <w:r w:rsidR="00B0055A">
        <w:instrText xml:space="preserve"> ADDIN ZOTERO_ITEM CSL_CITATION {"citationID":"KuEtcuNg","properties":{"formattedCitation":"(Dojima Rice Exchange, 2024)","plainCitation":"(Dojima Rice Exchange, 2024)","noteIndex":0},"citationItems":[{"id":124,"uris":["http://zotero.org/users/13925666/items/GS3SNCYC"],"itemData":{"id":124,"type":"webpage","abstract":"This marked the inception of an official market known as Dojima Rice Exchange, which was equipped with a membership system and clearing function similar to exchanges in the modern era and is widely known as the forerunner to organized futures exchanges in the world.","container-title":"Dojima Rice Exchange","language":"en","title":"Dojima Rice Exchange","URL":"https://www.jpx.co.jp/dojima/en/index.html","accessed":{"date-parts":[["2024",4,15]]}}}],"schema":"https://github.com/citation-style-language/schema/raw/master/csl-citation.json"} </w:instrText>
      </w:r>
      <w:r w:rsidR="00B0055A">
        <w:fldChar w:fldCharType="separate"/>
      </w:r>
      <w:r w:rsidR="00B0055A" w:rsidRPr="00B0055A">
        <w:t>(Dojima Rice Exchange, 2024)</w:t>
      </w:r>
      <w:r w:rsidR="00B0055A">
        <w:fldChar w:fldCharType="end"/>
      </w:r>
      <w:r>
        <w:t xml:space="preserve">. The original commodity trading of futures serves as a risk management tool for producers, allowing them to avoid the impact of price changes by transferring risk to speculators. </w:t>
      </w:r>
    </w:p>
    <w:p w14:paraId="1E480C98" w14:textId="69FDED9D" w:rsidR="00977ECC" w:rsidRDefault="00000000" w:rsidP="005274E2">
      <w:pPr>
        <w:tabs>
          <w:tab w:val="left" w:pos="1165"/>
          <w:tab w:val="left" w:pos="1167"/>
        </w:tabs>
        <w:spacing w:after="240"/>
        <w:jc w:val="both"/>
      </w:pPr>
      <w:r>
        <w:t>In modern times,</w:t>
      </w:r>
      <w:r w:rsidR="000A29C9">
        <w:t xml:space="preserve"> the commodity market has become more like a </w:t>
      </w:r>
      <w:r w:rsidR="001F15BA">
        <w:t>financial mark</w:t>
      </w:r>
      <w:r w:rsidR="00F94322">
        <w:t xml:space="preserve">et based on </w:t>
      </w:r>
      <w:r w:rsidR="00AB5F60">
        <w:t>participants</w:t>
      </w:r>
      <w:r w:rsidR="008563B5">
        <w:t xml:space="preserve">’ </w:t>
      </w:r>
      <w:r w:rsidR="00F94322">
        <w:t xml:space="preserve">motivation and </w:t>
      </w:r>
      <w:r w:rsidR="00D25E22">
        <w:t>strategies</w:t>
      </w:r>
      <w:r w:rsidR="002B681F">
        <w:t xml:space="preserve"> </w:t>
      </w:r>
      <w:r w:rsidR="002B681F">
        <w:fldChar w:fldCharType="begin"/>
      </w:r>
      <w:r w:rsidR="002B681F">
        <w:instrText xml:space="preserve"> ADDIN ZOTERO_ITEM CSL_CITATION {"citationID":"DQU3dZn5","properties":{"formattedCitation":"(Domanski &amp; Heath, 2007)","plainCitation":"(Domanski &amp; Heath, 2007)","noteIndex":0},"citationItems":[{"id":178,"uris":["http://zotero.org/users/13925666/items/HS763GU8"],"itemData":{"id":178,"type":"article","abstract":"Commodities have attracted considerable interest as a financial investment in recent years. This article discusses the factors behind their growing appeal and assesses the extent to which market characteristics, such as price volatility, have changed as a result. The feature concludes that commodity markets have become more like financial markets in terms of the motivations and strategies of participants, but that the physical characteristics of commodity markets are still important.","event-place":"Rochester, NY","genre":"SSRN Scholarly Paper","language":"en","number":"1600058","publisher-place":"Rochester, NY","source":"Social Science Research Network","title":"Financial Investors and Commodity Markets","URL":"https://papers.ssrn.com/abstract=1600058","author":[{"family":"Domanski","given":"Dietrich"},{"family":"Heath","given":"Alexandra"}],"accessed":{"date-parts":[["2024",5,20]]},"issued":{"date-parts":[["2007",3,1]]}}}],"schema":"https://github.com/citation-style-language/schema/raw/master/csl-citation.json"} </w:instrText>
      </w:r>
      <w:r w:rsidR="002B681F">
        <w:fldChar w:fldCharType="separate"/>
      </w:r>
      <w:r w:rsidR="002B681F" w:rsidRPr="002B681F">
        <w:t>(Domanski &amp; Heath, 2007)</w:t>
      </w:r>
      <w:r w:rsidR="002B681F">
        <w:fldChar w:fldCharType="end"/>
      </w:r>
      <w:r w:rsidR="00CB5EA7">
        <w:t xml:space="preserve">. </w:t>
      </w:r>
      <w:r w:rsidR="00B97033">
        <w:t xml:space="preserve">While the original commodity market only has two sides of </w:t>
      </w:r>
      <w:r w:rsidR="0048284F">
        <w:t>participants called</w:t>
      </w:r>
      <w:r w:rsidR="00B97033">
        <w:t xml:space="preserve"> hedgers and speculators</w:t>
      </w:r>
      <w:r w:rsidR="00E735B8">
        <w:t xml:space="preserve">, </w:t>
      </w:r>
      <w:r>
        <w:t>a third group of transactors</w:t>
      </w:r>
      <w:r w:rsidR="008B2A17">
        <w:t xml:space="preserve"> which can be viewed as </w:t>
      </w:r>
      <w:r w:rsidR="00037D6F">
        <w:t xml:space="preserve">financial </w:t>
      </w:r>
      <w:r w:rsidR="008B2A17">
        <w:t>investors</w:t>
      </w:r>
      <w:r>
        <w:t xml:space="preserve"> has emerged and become increasingly important </w:t>
      </w:r>
      <w:r w:rsidR="00B0055A">
        <w:fldChar w:fldCharType="begin"/>
      </w:r>
      <w:r w:rsidR="00B0055A">
        <w:instrText xml:space="preserve"> ADDIN ZOTERO_ITEM CSL_CITATION {"citationID":"r9kECUuV","properties":{"formattedCitation":"(Gilbert, 2008)","plainCitation":"(Gilbert, 2008)","noteIndex":0},"citationItems":[{"id":130,"uris":["http://zotero.org/users/13925666/items/MUJGY2HE"],"itemData":{"id":130,"type":"report","abstract":"I distinguish between speculation and index-based investment in commodity futures stressing the differing motivations of the two groups and the differing instruments that they use. I discuss the amounts of money deployed in these activities. I document evidence of extrapolative behaviour in metals prices, consistent with speculation affecting prices, and show that in at least one market (soybeans) index-based investment has a significant and persistent price impact.","genre":"Department of Economics Working Paper","number":"0820","publisher":"Department of Economics, University of Trento, Italia","source":"RePEc - Econpapers","title":"Commodity Speculation and Commodity Investment","URL":"https://econpapers.repec.org/paper/trnutwpde/0820.htm","author":[{"family":"Gilbert","given":"Christopher L."}],"accessed":{"date-parts":[["2024",4,16]]},"issued":{"date-parts":[["2008"]]}}}],"schema":"https://github.com/citation-style-language/schema/raw/master/csl-citation.json"} </w:instrText>
      </w:r>
      <w:r w:rsidR="00B0055A">
        <w:fldChar w:fldCharType="separate"/>
      </w:r>
      <w:r w:rsidR="00B0055A" w:rsidRPr="00B0055A">
        <w:t>(Gilbert, 2008)</w:t>
      </w:r>
      <w:r w:rsidR="00B0055A">
        <w:fldChar w:fldCharType="end"/>
      </w:r>
      <w:r>
        <w:t>. Th</w:t>
      </w:r>
      <w:r w:rsidR="00B43AB7">
        <w:t>is</w:t>
      </w:r>
      <w:r>
        <w:t xml:space="preserve"> kind of </w:t>
      </w:r>
      <w:r w:rsidR="00D1050E">
        <w:t>investor</w:t>
      </w:r>
      <w:r>
        <w:t xml:space="preserve"> </w:t>
      </w:r>
      <w:r w:rsidR="00E24D1D">
        <w:t>views</w:t>
      </w:r>
      <w:r>
        <w:t xml:space="preserve"> commodity </w:t>
      </w:r>
      <w:r w:rsidR="00DB60F2">
        <w:t>derivatives</w:t>
      </w:r>
      <w:r>
        <w:t xml:space="preserve"> as one kind of </w:t>
      </w:r>
      <w:r w:rsidR="0036732D">
        <w:t>asset</w:t>
      </w:r>
      <w:r>
        <w:t xml:space="preserve"> based on </w:t>
      </w:r>
      <w:r w:rsidR="00B8111E">
        <w:t>their</w:t>
      </w:r>
      <w:r>
        <w:t xml:space="preserve"> return and risk nature. </w:t>
      </w:r>
      <w:r w:rsidR="00D33955">
        <w:t>Financial</w:t>
      </w:r>
      <w:r w:rsidR="006D6A29">
        <w:t xml:space="preserve"> </w:t>
      </w:r>
      <w:r w:rsidR="0086743F">
        <w:t>investors</w:t>
      </w:r>
      <w:r w:rsidR="0070578F" w:rsidRPr="0070578F">
        <w:t xml:space="preserve"> often </w:t>
      </w:r>
      <w:r w:rsidR="005D741B">
        <w:t>hold</w:t>
      </w:r>
      <w:r w:rsidR="0070578F" w:rsidRPr="0070578F">
        <w:t xml:space="preserve"> long positions</w:t>
      </w:r>
      <w:r w:rsidR="00C50A7A">
        <w:t xml:space="preserve"> </w:t>
      </w:r>
      <w:r w:rsidR="00570371">
        <w:t xml:space="preserve">and </w:t>
      </w:r>
      <w:r w:rsidR="00290FF6">
        <w:t>focus</w:t>
      </w:r>
      <w:r w:rsidR="00570371">
        <w:t xml:space="preserve"> on investing </w:t>
      </w:r>
      <w:r w:rsidR="0075202C">
        <w:t xml:space="preserve">in </w:t>
      </w:r>
      <w:r w:rsidR="005F1C08">
        <w:t>commodity futures</w:t>
      </w:r>
      <w:r w:rsidR="00DD71ED">
        <w:t>.</w:t>
      </w:r>
      <w:r w:rsidR="0086743F">
        <w:t xml:space="preserve"> </w:t>
      </w:r>
      <w:r w:rsidR="00CA038D">
        <w:t xml:space="preserve">This is because </w:t>
      </w:r>
      <w:r w:rsidR="00175738">
        <w:t>commodity futures have the advantage of their liquidity and standardized contracts, along with minimal counterparty risk</w:t>
      </w:r>
      <w:r w:rsidR="00085A81">
        <w:t>, despite other commodity trading ways such as physical commodity purchases, commodities stocks, commodities ETFs,</w:t>
      </w:r>
      <w:r w:rsidR="00FA5455">
        <w:t xml:space="preserve"> and</w:t>
      </w:r>
      <w:r w:rsidR="00085A81">
        <w:t xml:space="preserve"> </w:t>
      </w:r>
      <w:r w:rsidR="00EF4C09">
        <w:t>m</w:t>
      </w:r>
      <w:r w:rsidR="00085A81">
        <w:t xml:space="preserve">utual </w:t>
      </w:r>
      <w:r w:rsidR="00EF4C09">
        <w:t>f</w:t>
      </w:r>
      <w:r w:rsidR="00085A81">
        <w:t xml:space="preserve">unds </w:t>
      </w:r>
      <w:r w:rsidR="008A11B0">
        <w:fldChar w:fldCharType="begin"/>
      </w:r>
      <w:r w:rsidR="008A11B0">
        <w:instrText xml:space="preserve"> ADDIN ZOTERO_ITEM CSL_CITATION {"citationID":"i0WBCTBD","properties":{"formattedCitation":"(Ruano &amp; Barros, 2022)","plainCitation":"(Ruano &amp; Barros, 2022)","noteIndex":0},"citationItems":[{"id":136,"uris":["http://zotero.org/users/13925666/items/EUJ2E9TG"],"itemData":{"id":136,"type":"article-journal","abstract":"This study investigates whether commodities yield diversification benefits to stock portfolios for loss-averse investors using a sample of 16 individual futures contracts and one index of commodity futures. We confirm that commodities are extremely sensitive to market economic conditions. While the energy sector performs better under economic expansion periods, precious metals yield diversification benefits at most times. Livestock commodities display a high potential to reduce risk, especially during recessions. The role of commodities is similar during the global financial and European sovereign debt crises. Commodities are also relevant in the uncertain period of 2020–2022, although patterns are changing. During the COVID-19 period, precious metals do not increase performance, while at the beginning of the 2022 war in Eastern Europe, we find a generalized improvement in portfolios that outperforms all the other subperiods. Overall, this is not a myth, as there remains a diversification benefit, albeit a time-dependent one with a decreasing trend.","container-title":"The Quarterly Review of Economics and Finance","DOI":"10.1016/j.qref.2022.08.003","ISSN":"1062-9769","journalAbbreviation":"The Quarterly Review of Economics and Finance","page":"281-295","source":"ScienceDirect","title":"Commodities and portfolio diversification: Myth or fact?","title-short":"Commodities and portfolio diversification","volume":"86","author":[{"family":"Ruano","given":"Fábio"},{"family":"Barros","given":"Victor"}],"issued":{"date-parts":[["2022",11,1]]}}}],"schema":"https://github.com/citation-style-language/schema/raw/master/csl-citation.json"} </w:instrText>
      </w:r>
      <w:r w:rsidR="008A11B0">
        <w:fldChar w:fldCharType="separate"/>
      </w:r>
      <w:r w:rsidR="008A11B0" w:rsidRPr="00B0055A">
        <w:t>(Ruano &amp; Barros, 2022)</w:t>
      </w:r>
      <w:r w:rsidR="008A11B0">
        <w:fldChar w:fldCharType="end"/>
      </w:r>
      <w:r w:rsidR="00085A81">
        <w:t xml:space="preserve">. </w:t>
      </w:r>
      <w:r w:rsidR="00D66CD0">
        <w:t xml:space="preserve">Moreover, many investors use commodity futures as a way of hedging the stock market </w:t>
      </w:r>
      <w:r w:rsidR="00D66CD0">
        <w:fldChar w:fldCharType="begin"/>
      </w:r>
      <w:r w:rsidR="00D66CD0">
        <w:instrText xml:space="preserve"> ADDIN ZOTERO_ITEM CSL_CITATION {"citationID":"u17QVplT","properties":{"formattedCitation":"(Alshammari &amp; Obeid, 2023)","plainCitation":"(Alshammari &amp; Obeid, 2023)","noteIndex":0},"citationItems":[{"id":76,"uris":["http://zotero.org/users/13925666/items/7TIVIC77"],"itemData":{"id":76,"type":"article-journal","abstract":"The focus of this paper is on analyzing the behavior of commodity futures indices and stock market indices in terms of price volatility and hedging. Specifically, we explore the weekly hedging strategies generated by two types of asymmetric dynamic conditional correlation (DCC) processes: return-based and range-based. We evaluate the effectiveness of these strategies for both short and long hedgers, using measures such as semi-variance, low partial moment, and conditional value-at-risk. Our findings reveal that, in general, the range-based DCC model is more effective than the return-based DCC model for hedging purposes.","container-title":"Finance Research Letters","DOI":"10.1016/j.frl.2023.104081","ISSN":"1544-6123","journalAbbreviation":"Finance Research Letters","page":"104081","source":"ScienceDirect","title":"Analyzing commodity futures and stock market indices: Hedging strategies using asymmetric dynamic conditional correlation models","title-short":"Analyzing commodity futures and stock market indices","volume":"56","author":[{"family":"Alshammari","given":"Saad"},{"family":"Obeid","given":"Hassan"}],"issued":{"date-parts":[["2023",9,1]]}}}],"schema":"https://github.com/citation-style-language/schema/raw/master/csl-citation.json"} </w:instrText>
      </w:r>
      <w:r w:rsidR="00D66CD0">
        <w:fldChar w:fldCharType="separate"/>
      </w:r>
      <w:r w:rsidR="00D66CD0" w:rsidRPr="00B0055A">
        <w:t>(Alshammari &amp; Obeid, 2023)</w:t>
      </w:r>
      <w:r w:rsidR="00D66CD0">
        <w:fldChar w:fldCharType="end"/>
      </w:r>
      <w:r w:rsidR="00D66CD0">
        <w:t xml:space="preserve">, real estate risk </w:t>
      </w:r>
      <w:r w:rsidR="00D66CD0">
        <w:fldChar w:fldCharType="begin"/>
      </w:r>
      <w:r w:rsidR="00D66CD0">
        <w:instrText xml:space="preserve"> ADDIN ZOTERO_ITEM CSL_CITATION {"citationID":"BeQNqBZC","properties":{"formattedCitation":"(Raza et al., 2018)","plainCitation":"(Raza et al., 2018)","noteIndex":0},"citationItems":[{"id":74,"uris":["http://zotero.org/users/13925666/items/F4UR2TH6"],"itemData":{"id":74,"type":"article-journal","abstract":"We examine the hedging performance of commodities futures for US real estate portfolios in a multi-scale setting. Dynamic asymmetric conditional correlations and thereafter optimal hedge ratios of real estate stock returns with commodities index, gold, oil and bond returns are estimated to examine hedge effectiveness under heterogeneous market expectations. Rolling window based out-of-sample one-step-ahead forecasts show that commodities index (gold) provide the best hedge to US real estate stocks for short-term (long-term) investments. The results are robust to the choice of model refits and rolling window sizes and provide useful implications for alternate markets’ investors.","container-title":"Resources Policy","DOI":"10.1016/j.resourpol.2018.01.001","ISSN":"0301-4207","journalAbbreviation":"Resources Policy","page":"10-29","source":"ScienceDirect","title":"Do commodities effectively hedge real estate risk? A multi-scale asymmetric DCC approach","title-short":"Do commodities effectively hedge real estate risk?","volume":"57","author":[{"family":"Raza","given":"Naveed"},{"family":"Ali","given":"Sajid"},{"family":"Shahzad","given":"Syed Jawad Hussain"},{"family":"Raza","given":"Syed Ali"}],"issued":{"date-parts":[["2018",8,1]]}}}],"schema":"https://github.com/citation-style-language/schema/raw/master/csl-citation.json"} </w:instrText>
      </w:r>
      <w:r w:rsidR="00D66CD0">
        <w:fldChar w:fldCharType="separate"/>
      </w:r>
      <w:r w:rsidR="00D66CD0" w:rsidRPr="00B0055A">
        <w:t>(Raza et al., 2018)</w:t>
      </w:r>
      <w:r w:rsidR="00D66CD0">
        <w:fldChar w:fldCharType="end"/>
      </w:r>
      <w:r w:rsidR="00D66CD0">
        <w:t xml:space="preserve">, or Bitcoin </w:t>
      </w:r>
      <w:r w:rsidR="00D66CD0">
        <w:fldChar w:fldCharType="begin"/>
      </w:r>
      <w:r w:rsidR="00D66CD0">
        <w:instrText xml:space="preserve"> ADDIN ZOTERO_ITEM CSL_CITATION {"citationID":"y0jNm6YE","properties":{"formattedCitation":"(Joo &amp; Park, 2024)","plainCitation":"(Joo &amp; Park, 2024)","noteIndex":0},"citationItems":[{"id":132,"uris":["http://zotero.org/users/13925666/items/33MBUWFI"],"itemData":{"id":132,"type":"article-journal","abstract":"There is increased interest in the dynamic relationships between cryptocurrency and commodity futures. This study examines the hedging performance of four well-known commodity futures against fluctuations in Bitcoin prices. Furthermore, this study used the DCC- and ADCC-MGARCH models to estimate conditional correlations and time-varying optimal hedge ratios between the returns of copper, gas, gold, and crude oil futures, and Bitcoin. We use a rolling window method to calculate one-step-ahead time-varying optimal hedge ratios and evaluate hedging performance. The empirical results show that gas and gold have hedge benefits to Bitcoin. However, crude oil shows poor hedge performance. From the results of one-step-ahead hedge ratios, for copper and oil, we find that hedge ratios increased and hedge effectiveness improved since the COVID-19 outbreak.","container-title":"The North American Journal of Economics and Finance","DOI":"10.1016/j.najef.2024.102127","ISSN":"1062-9408","journalAbbreviation":"The North American Journal of Economics and Finance","page":"102127","source":"ScienceDirect","title":"Hedging Bitcoin with commodity futures: An analysis with copper, gas, gold, and crude oil futures","title-short":"Hedging Bitcoin with commodity futures","volume":"72","author":[{"family":"Joo","given":"Young C."},{"family":"Park","given":"Sung Y."}],"issued":{"date-parts":[["2024",5,1]]}}}],"schema":"https://github.com/citation-style-language/schema/raw/master/csl-citation.json"} </w:instrText>
      </w:r>
      <w:r w:rsidR="00D66CD0">
        <w:fldChar w:fldCharType="separate"/>
      </w:r>
      <w:r w:rsidR="00D66CD0" w:rsidRPr="00B0055A">
        <w:t>(Joo &amp; Park, 2024)</w:t>
      </w:r>
      <w:r w:rsidR="00D66CD0">
        <w:fldChar w:fldCharType="end"/>
      </w:r>
      <w:r w:rsidR="00D66CD0">
        <w:t xml:space="preserve">. </w:t>
      </w:r>
    </w:p>
    <w:p w14:paraId="3FD50BE4" w14:textId="310E3300" w:rsidR="00AB35FA" w:rsidRDefault="00975AE1" w:rsidP="005274E2">
      <w:pPr>
        <w:tabs>
          <w:tab w:val="left" w:pos="1165"/>
          <w:tab w:val="left" w:pos="1167"/>
        </w:tabs>
        <w:spacing w:after="240"/>
        <w:jc w:val="both"/>
      </w:pPr>
      <w:r>
        <w:t>Focusing</w:t>
      </w:r>
      <w:r w:rsidR="00171E94">
        <w:t xml:space="preserve"> on the commodity market, </w:t>
      </w:r>
      <w:r w:rsidR="00B60CBF">
        <w:t xml:space="preserve">this </w:t>
      </w:r>
      <w:r w:rsidR="00A61B81">
        <w:t>study</w:t>
      </w:r>
      <w:r w:rsidR="00171E94">
        <w:t xml:space="preserve"> </w:t>
      </w:r>
      <w:r w:rsidR="009A56E9">
        <w:t>aims</w:t>
      </w:r>
      <w:r w:rsidR="00171E94">
        <w:t xml:space="preserve"> to </w:t>
      </w:r>
      <w:r w:rsidR="002060A6">
        <w:t>get</w:t>
      </w:r>
      <w:r w:rsidR="00171E94">
        <w:t xml:space="preserve"> the </w:t>
      </w:r>
      <w:r>
        <w:t xml:space="preserve">optimal commodity </w:t>
      </w:r>
      <w:r w:rsidR="005800C9">
        <w:t>portfolio</w:t>
      </w:r>
      <w:r w:rsidR="00676BC4">
        <w:t xml:space="preserve"> weights </w:t>
      </w:r>
      <w:r w:rsidR="004A48C0">
        <w:t xml:space="preserve">for </w:t>
      </w:r>
      <w:r w:rsidR="00A707AA">
        <w:t>financial investors</w:t>
      </w:r>
      <w:r w:rsidR="000F6EDD">
        <w:t xml:space="preserve"> by </w:t>
      </w:r>
      <w:r w:rsidR="00834594">
        <w:t xml:space="preserve">considering </w:t>
      </w:r>
      <w:r w:rsidR="00834594" w:rsidRPr="00834594">
        <w:t xml:space="preserve">investment </w:t>
      </w:r>
      <w:r w:rsidR="008167D4">
        <w:t>objectives</w:t>
      </w:r>
      <w:r w:rsidR="00834594">
        <w:t xml:space="preserve"> and risk </w:t>
      </w:r>
      <w:r w:rsidR="0002626E">
        <w:t>tolerance</w:t>
      </w:r>
      <w:r w:rsidR="00027166">
        <w:t>.</w:t>
      </w:r>
      <w:r w:rsidR="00B15BA0">
        <w:t xml:space="preserve"> Economically, the </w:t>
      </w:r>
      <w:r w:rsidR="00217AE4">
        <w:t xml:space="preserve">optimization of commodity portfolios </w:t>
      </w:r>
      <w:r w:rsidR="009E287D" w:rsidRPr="009E287D">
        <w:t>facilitat</w:t>
      </w:r>
      <w:r w:rsidR="00217AE4">
        <w:t xml:space="preserve">es </w:t>
      </w:r>
      <w:r w:rsidR="009E287D" w:rsidRPr="009E287D">
        <w:t xml:space="preserve">effective </w:t>
      </w:r>
      <w:r w:rsidR="00217AE4">
        <w:t>investment</w:t>
      </w:r>
      <w:r w:rsidR="009E287D" w:rsidRPr="009E287D">
        <w:t xml:space="preserve"> allocation within the commodity market</w:t>
      </w:r>
      <w:r w:rsidR="002C4216">
        <w:t>.</w:t>
      </w:r>
      <w:r w:rsidR="00023B5E">
        <w:t xml:space="preserve"> </w:t>
      </w:r>
      <w:r w:rsidR="008E1B0F">
        <w:fldChar w:fldCharType="begin"/>
      </w:r>
      <w:r w:rsidR="008E1B0F">
        <w:instrText xml:space="preserve"> REF _Ref167227139 \h </w:instrText>
      </w:r>
      <w:r w:rsidR="008E1B0F">
        <w:fldChar w:fldCharType="separate"/>
      </w:r>
      <w:r w:rsidR="002E6614">
        <w:t xml:space="preserve">Figure </w:t>
      </w:r>
      <w:r w:rsidR="002E6614">
        <w:rPr>
          <w:noProof/>
        </w:rPr>
        <w:t>1</w:t>
      </w:r>
      <w:r w:rsidR="008E1B0F">
        <w:fldChar w:fldCharType="end"/>
      </w:r>
      <w:r w:rsidR="00023B5E">
        <w:t xml:space="preserve"> presents the structure of the thesis.</w:t>
      </w:r>
      <w:r w:rsidR="007F4F23">
        <w:t xml:space="preserve"> </w:t>
      </w:r>
      <w:r w:rsidR="005965DB">
        <w:t xml:space="preserve">As for the </w:t>
      </w:r>
      <w:r w:rsidR="007F4F23">
        <w:t>empirical</w:t>
      </w:r>
      <w:r w:rsidR="005965DB">
        <w:t xml:space="preserve"> part of </w:t>
      </w:r>
      <w:r w:rsidR="007F4F23">
        <w:t>the</w:t>
      </w:r>
      <w:r w:rsidR="005965DB">
        <w:t xml:space="preserve"> analysis,</w:t>
      </w:r>
      <w:r w:rsidR="00C93940">
        <w:t xml:space="preserve"> </w:t>
      </w:r>
      <w:r w:rsidR="006A135A">
        <w:t xml:space="preserve">this </w:t>
      </w:r>
      <w:r w:rsidR="00F65516">
        <w:t>study</w:t>
      </w:r>
      <w:r w:rsidR="00AB35FA">
        <w:t xml:space="preserve"> begin</w:t>
      </w:r>
      <w:r w:rsidR="00F5061F">
        <w:t>s</w:t>
      </w:r>
      <w:r w:rsidR="00AB35FA">
        <w:t xml:space="preserve"> by studying the interconnectedness </w:t>
      </w:r>
      <w:r w:rsidR="00D21708">
        <w:t>among</w:t>
      </w:r>
      <w:r w:rsidR="00AB35FA">
        <w:t xml:space="preserve"> commodities, which are classified into three categories: metal, energy, and agricultural. This is done by plotting the returns and analyzing the descriptive statistics</w:t>
      </w:r>
      <w:r w:rsidR="00E96097">
        <w:t xml:space="preserve">. </w:t>
      </w:r>
      <w:r w:rsidR="00B60138">
        <w:t>Analyzing</w:t>
      </w:r>
      <w:r w:rsidR="00E96097" w:rsidRPr="00E96097">
        <w:t xml:space="preserve"> th</w:t>
      </w:r>
      <w:r w:rsidR="00E8149F">
        <w:t>ese</w:t>
      </w:r>
      <w:r w:rsidR="00E96097" w:rsidRPr="00E96097">
        <w:t xml:space="preserve"> data features is crucial for the subsequent analysis</w:t>
      </w:r>
      <w:r w:rsidR="006A0788">
        <w:t xml:space="preserve"> of applying models and constructing portfolios</w:t>
      </w:r>
      <w:r w:rsidR="00AB35FA">
        <w:t xml:space="preserve">. The </w:t>
      </w:r>
      <w:r w:rsidR="00B112B9">
        <w:t>second</w:t>
      </w:r>
      <w:r w:rsidR="00AB35FA">
        <w:t xml:space="preserve"> part of </w:t>
      </w:r>
      <w:r w:rsidR="00F65516">
        <w:t>the</w:t>
      </w:r>
      <w:r w:rsidR="00AB35FA">
        <w:t xml:space="preserve"> </w:t>
      </w:r>
      <w:r w:rsidR="00581F6C">
        <w:t>analysis</w:t>
      </w:r>
      <w:r w:rsidR="00AB35FA">
        <w:t xml:space="preserve"> starts by </w:t>
      </w:r>
      <w:r w:rsidR="00504B38">
        <w:t>using</w:t>
      </w:r>
      <w:r w:rsidR="00AB35FA">
        <w:t xml:space="preserve"> the multivariate GARCH model</w:t>
      </w:r>
      <w:r w:rsidR="00D805FE">
        <w:t>s</w:t>
      </w:r>
      <w:r w:rsidR="00AB35FA">
        <w:t xml:space="preserve">, which </w:t>
      </w:r>
      <w:r w:rsidR="00E23967">
        <w:t xml:space="preserve">can </w:t>
      </w:r>
      <w:r w:rsidR="00792970">
        <w:t>model</w:t>
      </w:r>
      <w:r w:rsidR="00AB35FA">
        <w:t xml:space="preserve"> the time-varying </w:t>
      </w:r>
      <w:r w:rsidR="003B0F42">
        <w:t xml:space="preserve">volatility </w:t>
      </w:r>
      <w:r w:rsidR="00AB35FA">
        <w:t xml:space="preserve">during the period from 1991 to 2023. Next, </w:t>
      </w:r>
      <w:r w:rsidR="007472AD">
        <w:t xml:space="preserve">this </w:t>
      </w:r>
      <w:r w:rsidR="009E7FB9">
        <w:t>study</w:t>
      </w:r>
      <w:r w:rsidR="00AB35FA">
        <w:t xml:space="preserve"> build</w:t>
      </w:r>
      <w:r w:rsidR="007472AD">
        <w:t>s</w:t>
      </w:r>
      <w:r w:rsidR="00AB35FA">
        <w:t xml:space="preserve"> seven portfolios of equal weight, mean-variance, minimum variance, minimum correlation, maximum </w:t>
      </w:r>
      <w:r w:rsidR="00327D09">
        <w:t>S</w:t>
      </w:r>
      <w:r w:rsidR="00AB35FA">
        <w:t xml:space="preserve">harpe ratio, maximum </w:t>
      </w:r>
      <w:r w:rsidR="00327D09">
        <w:t>So</w:t>
      </w:r>
      <w:r w:rsidR="00AB35FA">
        <w:t xml:space="preserve">rtino ratio, and </w:t>
      </w:r>
      <w:r w:rsidR="00F655DD">
        <w:rPr>
          <w:highlight w:val="white"/>
        </w:rPr>
        <w:t xml:space="preserve">minimum </w:t>
      </w:r>
      <w:r w:rsidR="00AB35FA">
        <w:t>CVaR, which can help</w:t>
      </w:r>
      <w:r w:rsidR="009F29D5">
        <w:t xml:space="preserve"> financial investors</w:t>
      </w:r>
      <w:r w:rsidR="00AB35FA">
        <w:t xml:space="preserve"> get a comprehensive understanding of different investment strategies. By </w:t>
      </w:r>
      <w:r w:rsidR="00DF47C4">
        <w:t>considering</w:t>
      </w:r>
      <w:r w:rsidR="00AB35FA">
        <w:t xml:space="preserve"> </w:t>
      </w:r>
      <w:r w:rsidR="006A1632">
        <w:t>different</w:t>
      </w:r>
      <w:r w:rsidR="00995817">
        <w:t xml:space="preserve"> short-sell</w:t>
      </w:r>
      <w:r w:rsidR="00AB35FA">
        <w:t xml:space="preserve"> opportunities and thus using the optimization process, the time-varying weight</w:t>
      </w:r>
      <w:r w:rsidR="000B0E94">
        <w:t>s</w:t>
      </w:r>
      <w:r w:rsidR="00AB35FA">
        <w:t xml:space="preserve"> for different portfolios</w:t>
      </w:r>
      <w:r w:rsidR="000B0E94">
        <w:t xml:space="preserve"> are obtained</w:t>
      </w:r>
      <w:r w:rsidR="00AB35FA">
        <w:t xml:space="preserve">. </w:t>
      </w:r>
      <w:r w:rsidR="008355BC">
        <w:t>Finally, b</w:t>
      </w:r>
      <w:r w:rsidR="00AB35FA">
        <w:t xml:space="preserve">ased on the </w:t>
      </w:r>
      <w:r w:rsidR="00DA4BD9">
        <w:t xml:space="preserve">time-varying </w:t>
      </w:r>
      <w:r w:rsidR="00AB35FA">
        <w:t xml:space="preserve">performance metrics of the seven </w:t>
      </w:r>
      <w:r w:rsidR="009443F4">
        <w:t xml:space="preserve">optimal </w:t>
      </w:r>
      <w:r w:rsidR="00AB35FA">
        <w:t xml:space="preserve">portfolios, </w:t>
      </w:r>
      <w:r w:rsidR="007472AD">
        <w:t>investors</w:t>
      </w:r>
      <w:r w:rsidR="00AB35FA">
        <w:t xml:space="preserve"> can make investment decisions and adjust accordingly</w:t>
      </w:r>
      <w:r w:rsidR="00C24B1F">
        <w:t xml:space="preserve"> to reduce risk</w:t>
      </w:r>
      <w:r w:rsidR="00AB35FA">
        <w:t xml:space="preserve"> based on </w:t>
      </w:r>
      <w:r w:rsidR="001B3F94">
        <w:t>different</w:t>
      </w:r>
      <w:r w:rsidR="009F492F">
        <w:t xml:space="preserve"> market </w:t>
      </w:r>
      <w:r w:rsidR="00AB35FA">
        <w:t xml:space="preserve">times. </w:t>
      </w:r>
    </w:p>
    <w:p w14:paraId="5A1A6473" w14:textId="40FD2681" w:rsidR="0091332E" w:rsidRDefault="006937A7" w:rsidP="005274E2">
      <w:pPr>
        <w:tabs>
          <w:tab w:val="left" w:pos="1165"/>
          <w:tab w:val="left" w:pos="1167"/>
        </w:tabs>
        <w:spacing w:after="240"/>
        <w:jc w:val="center"/>
        <w:rPr>
          <w:noProof/>
        </w:rPr>
      </w:pPr>
      <w:r>
        <w:rPr>
          <w:noProof/>
        </w:rPr>
        <w:drawing>
          <wp:anchor distT="0" distB="0" distL="114300" distR="114300" simplePos="0" relativeHeight="251658240" behindDoc="0" locked="0" layoutInCell="1" allowOverlap="1" wp14:anchorId="64179531" wp14:editId="35768703">
            <wp:simplePos x="0" y="0"/>
            <wp:positionH relativeFrom="column">
              <wp:posOffset>-286679</wp:posOffset>
            </wp:positionH>
            <wp:positionV relativeFrom="paragraph">
              <wp:posOffset>268605</wp:posOffset>
            </wp:positionV>
            <wp:extent cx="6503035" cy="4527550"/>
            <wp:effectExtent l="0" t="0" r="0" b="6350"/>
            <wp:wrapTopAndBottom/>
            <wp:docPr id="60854763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47633" name="Picture 1"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03035" cy="4527550"/>
                    </a:xfrm>
                    <a:prstGeom prst="rect">
                      <a:avLst/>
                    </a:prstGeom>
                  </pic:spPr>
                </pic:pic>
              </a:graphicData>
            </a:graphic>
            <wp14:sizeRelH relativeFrom="margin">
              <wp14:pctWidth>0</wp14:pctWidth>
            </wp14:sizeRelH>
            <wp14:sizeRelV relativeFrom="margin">
              <wp14:pctHeight>0</wp14:pctHeight>
            </wp14:sizeRelV>
          </wp:anchor>
        </w:drawing>
      </w:r>
    </w:p>
    <w:p w14:paraId="0C33303F" w14:textId="693F6B1D" w:rsidR="006F2132" w:rsidRDefault="006F2132" w:rsidP="00C35B24">
      <w:pPr>
        <w:tabs>
          <w:tab w:val="left" w:pos="1165"/>
          <w:tab w:val="left" w:pos="1167"/>
        </w:tabs>
        <w:spacing w:after="240"/>
      </w:pPr>
    </w:p>
    <w:p w14:paraId="374BB830" w14:textId="1B84A7FD" w:rsidR="00DF5952" w:rsidRDefault="00715C1A" w:rsidP="00955401">
      <w:pPr>
        <w:pStyle w:val="Caption"/>
      </w:pPr>
      <w:bookmarkStart w:id="2" w:name="_Ref167227139"/>
      <w:r>
        <w:t xml:space="preserve">Figure </w:t>
      </w:r>
      <w:r>
        <w:fldChar w:fldCharType="begin"/>
      </w:r>
      <w:r>
        <w:instrText xml:space="preserve"> SEQ Figure \* ARABIC </w:instrText>
      </w:r>
      <w:r>
        <w:fldChar w:fldCharType="separate"/>
      </w:r>
      <w:r w:rsidR="002E6614">
        <w:rPr>
          <w:noProof/>
        </w:rPr>
        <w:t>1</w:t>
      </w:r>
      <w:r>
        <w:fldChar w:fldCharType="end"/>
      </w:r>
      <w:bookmarkEnd w:id="2"/>
      <w:r w:rsidR="00DF5952">
        <w:t xml:space="preserve">: </w:t>
      </w:r>
      <w:r w:rsidR="00AD1F7B">
        <w:t xml:space="preserve">Thesis </w:t>
      </w:r>
      <w:r w:rsidR="00F0319F">
        <w:t>Structure</w:t>
      </w:r>
    </w:p>
    <w:p w14:paraId="2D08A600" w14:textId="18A80A4D" w:rsidR="00374927" w:rsidRDefault="00374927" w:rsidP="005274E2">
      <w:pPr>
        <w:spacing w:after="240"/>
      </w:pPr>
      <w:r>
        <w:br w:type="page"/>
      </w:r>
    </w:p>
    <w:p w14:paraId="54652857" w14:textId="77777777" w:rsidR="00D640F1" w:rsidRDefault="00000000" w:rsidP="005274E2">
      <w:pPr>
        <w:pStyle w:val="Heading1"/>
        <w:jc w:val="both"/>
      </w:pPr>
      <w:bookmarkStart w:id="3" w:name="_Toc167478282"/>
      <w:r>
        <w:t>2. Literature Review</w:t>
      </w:r>
      <w:bookmarkEnd w:id="3"/>
    </w:p>
    <w:p w14:paraId="47C97077" w14:textId="77777777" w:rsidR="00D640F1" w:rsidRDefault="00000000" w:rsidP="005274E2">
      <w:pPr>
        <w:pStyle w:val="Heading2"/>
        <w:jc w:val="both"/>
      </w:pPr>
      <w:bookmarkStart w:id="4" w:name="_Toc167478283"/>
      <w:r>
        <w:t>2.1 Interconnectedness among Commodities</w:t>
      </w:r>
      <w:bookmarkEnd w:id="4"/>
    </w:p>
    <w:p w14:paraId="15EC5D6D" w14:textId="69FBFE20" w:rsidR="00D640F1" w:rsidRDefault="00000000" w:rsidP="005274E2">
      <w:pPr>
        <w:spacing w:after="240"/>
        <w:jc w:val="both"/>
      </w:pPr>
      <w:r>
        <w:t xml:space="preserve">Commodity portfolios can be used for hedging purposes, as different commodities have varying levels of risk and returns. Therefore, analyzing the interconnections between commodity markets and implementing portfolio optimization strategies can help investors optimize their portfolio allocations and mitigate risk. </w:t>
      </w:r>
      <w:r w:rsidR="002D24F1">
        <w:t xml:space="preserve">This </w:t>
      </w:r>
      <w:r w:rsidR="00BF48E2">
        <w:t>study</w:t>
      </w:r>
      <w:r>
        <w:t xml:space="preserve"> focus</w:t>
      </w:r>
      <w:r w:rsidR="002D24F1">
        <w:t>es</w:t>
      </w:r>
      <w:r>
        <w:t xml:space="preserve"> on three commodity </w:t>
      </w:r>
      <w:r w:rsidR="003F2BB1">
        <w:t>groups</w:t>
      </w:r>
      <w:r>
        <w:t xml:space="preserve">: metal, energy, and agricultural commodities. </w:t>
      </w:r>
      <w:r w:rsidR="007B7E30">
        <w:t>T</w:t>
      </w:r>
      <w:r w:rsidR="00412656">
        <w:t>he</w:t>
      </w:r>
      <w:r>
        <w:t xml:space="preserve"> aim </w:t>
      </w:r>
      <w:r w:rsidR="002D24F1">
        <w:t xml:space="preserve">is </w:t>
      </w:r>
      <w:r>
        <w:t xml:space="preserve">to explore </w:t>
      </w:r>
      <w:r w:rsidR="002D24F1">
        <w:t>the commodities’</w:t>
      </w:r>
      <w:r>
        <w:t xml:space="preserve"> interrelationships, including metal-energy, metal-agricultural, and energy-agricultural connections</w:t>
      </w:r>
      <w:r w:rsidR="00CB0C60">
        <w:t>, and facilitate the effectiveness of optimal portfolios</w:t>
      </w:r>
      <w:r>
        <w:t xml:space="preserve">. </w:t>
      </w:r>
    </w:p>
    <w:p w14:paraId="27C8CA0F" w14:textId="77777777" w:rsidR="00D640F1" w:rsidRDefault="00000000" w:rsidP="005274E2">
      <w:pPr>
        <w:pStyle w:val="Heading3"/>
        <w:jc w:val="both"/>
      </w:pPr>
      <w:r>
        <w:t>2.1.1 Metal and Energy Commodities</w:t>
      </w:r>
    </w:p>
    <w:p w14:paraId="5CFC6269" w14:textId="0BD8B6FA" w:rsidR="00D640F1" w:rsidRDefault="00000000" w:rsidP="005274E2">
      <w:pPr>
        <w:spacing w:after="240"/>
        <w:jc w:val="both"/>
      </w:pPr>
      <w:r>
        <w:t>Gold has been recognized as a safe haven asset in hedging against risk and serving as a reliable source of maintaining value during volatile times. Investors often use precious metals such as gold as a hedge to protect against currency depreciation during the slowing down</w:t>
      </w:r>
      <w:r w:rsidR="00F036FF">
        <w:t xml:space="preserve"> of</w:t>
      </w:r>
      <w:r w:rsidR="00A7375F">
        <w:t xml:space="preserve"> the</w:t>
      </w:r>
      <w:r>
        <w:t xml:space="preserve"> economy which is indicated by the increasing oil price </w:t>
      </w:r>
      <w:r w:rsidR="00B0055A">
        <w:fldChar w:fldCharType="begin"/>
      </w:r>
      <w:r w:rsidR="00B0055A">
        <w:instrText xml:space="preserve"> ADDIN ZOTERO_ITEM CSL_CITATION {"citationID":"pllAzvBP","properties":{"formattedCitation":"(Bedoui et al., 2023)","plainCitation":"(Bedoui et al., 2023)","noteIndex":0},"citationItems":[{"id":14,"uris":["http://zotero.org/users/13925666/items/TVF5V7WZ"],"itemData":{"id":14,"type":"article-journal","abstract":"This study investigates the potential benefits of using the Conditional Value at Risk (CVaR) portfolio optimization approach with a GARCH model, Extreme Value Theory (EVT), and Vine Copula to obtain the optimal allocation decision for a portfolio consisting of Bitcoin, gold, oil, and stock indices. First, we fit a suitable GARCH model to the return series for each asset, followed by employing the Generalized Pareto Distribution (GPD) to model the innovation tails. Next, we construct a Vine Copula-GARCH-EVT model to capture the interdependence structure between the assets. To refine risk assessment, we combine our model with a Monte Carlo simulation and Mean-CVaR model to optimize the portfolio. In addition, we utilize a novel version of deep machine learning's genetic algorithm to address the optimization decision. This research contributes new evidence to the CVaR portfolio optimization approach and provides insights for portfolio managers seeking to optimize multi-asset portfolios.","container-title":"Technological Forecasting and Social Change","DOI":"10.1016/j.techfore.2023.122887","ISSN":"0040-1625","journalAbbreviation":"Technological Forecasting and Social Change","page":"122887","source":"ScienceDirect","title":"Portfolio optimization through hybrid deep learning and genetic algorithms vine Copula-GARCH-EVT-CVaR model","volume":"197","author":[{"family":"Bedoui","given":"Rihab"},{"family":"Benkraiem","given":"Ramzi"},{"family":"Guesmi","given":"Khaled"},{"family":"Kedidi","given":"Islem"}],"issued":{"date-parts":[["2023",12,1]]}}}],"schema":"https://github.com/citation-style-language/schema/raw/master/csl-citation.json"} </w:instrText>
      </w:r>
      <w:r w:rsidR="00B0055A">
        <w:fldChar w:fldCharType="separate"/>
      </w:r>
      <w:r w:rsidR="00B0055A" w:rsidRPr="00B0055A">
        <w:t>(Bedoui et al., 2023)</w:t>
      </w:r>
      <w:r w:rsidR="00B0055A">
        <w:fldChar w:fldCharType="end"/>
      </w:r>
      <w:r>
        <w:t xml:space="preserve">. </w:t>
      </w:r>
      <w:r w:rsidR="00B0055A">
        <w:fldChar w:fldCharType="begin"/>
      </w:r>
      <w:r w:rsidR="00B0055A">
        <w:instrText xml:space="preserve"> ADDIN ZOTERO_ITEM CSL_CITATION {"citationID":"l21rijzd","properties":{"custom":"Hammoudeh and Yuan (2008)","formattedCitation":"Hammoudeh and Yuan (2008)","plainCitation":"Hammoudeh and Yuan (2008)","noteIndex":0},"citationItems":[{"id":161,"uris":["http://zotero.org/users/13925666/items/7HDF69MC"],"itemData":{"id":161,"type":"article-journal","abstract":"This study uses three “two factor” volatility models of the GARCH family to examine the volatility behavior of three strategic commodities: gold, silver and copper, in the presence of crude oil and interest rate shocks. The results of the standard GARCH models suggest that gold and silver have almost the same volatility persistence which is greater than that of copper. The CGARCH estimates indicate that the (short-run) transitory component of volatility converges to zero much faster for copper than for gold and silver in this sequence. However, the permanent volatility component demonstrates equally strong persistence in the long-run for all three metals. The EGARCH results suggest that the leverage effect is present and significant for copper only, implying that gold and silver can be good investment in anticipation of bad times. Past oil shock does not impact all three metals similarly. Monetary policy and to leaser extent the oil shocks have calming effects on precious metals but not on copper if the T bill rate is used. Crises such as the 2003 Iraq war heighten metal volatility. These results have implications for derivatives valuations, using gold as a reserve asset, risk analysis, and for the commodity-exporting countries and commodity-producing firms.","container-title":"Energy Economics","DOI":"10.1016/j.eneco.2007.09.004","ISSN":"0140-9883","issue":"2","journalAbbreviation":"Energy Economics","page":"606-620","source":"ScienceDirect","title":"Metal volatility in presence of oil and interest rate shocks","volume":"30","author":[{"family":"Hammoudeh","given":"Shawkat"},{"family":"Yuan","given":"Yuan"}],"issued":{"date-parts":[["2008",3,1]]}}}],"schema":"https://github.com/citation-style-language/schema/raw/master/csl-citation.json"} </w:instrText>
      </w:r>
      <w:r w:rsidR="00B0055A">
        <w:fldChar w:fldCharType="separate"/>
      </w:r>
      <w:r w:rsidR="00B0055A" w:rsidRPr="00B0055A">
        <w:t>Hammoudeh and Yuan (2008)</w:t>
      </w:r>
      <w:r w:rsidR="00B0055A">
        <w:fldChar w:fldCharType="end"/>
      </w:r>
      <w:r>
        <w:t xml:space="preserve"> find that gold and silver may be partial substitutes for hedgers under volatile times. Instead, copper is not suitable for hedging as the transitory volatility vanishes much more rapidly for copper commodities. Also, the comovement of metal and energy commodities becomes negative during financial booms, which brings out the possibility of portfolio diversification </w:t>
      </w:r>
      <w:r w:rsidR="00B0055A">
        <w:fldChar w:fldCharType="begin"/>
      </w:r>
      <w:r w:rsidR="00B0055A">
        <w:instrText xml:space="preserve"> ADDIN ZOTERO_ITEM CSL_CITATION {"citationID":"nnXtjENO","properties":{"formattedCitation":"(Albulescu et al., 2020)","plainCitation":"(Albulescu et al., 2020)","noteIndex":0},"citationItems":[{"id":32,"uris":["http://zotero.org/users/13925666/items/ZYD8TRGA"],"itemData":{"id":32,"type":"article-journal","abstract":"This paper studies the extreme dependencies among energy, agriculture and metal commodities markets, with an emphasis on local co-movements. By applying a novel, copula-based, local Kendall’s tau approach to measure nonlinear local dependence in regions, we identified asymmetric co-movements in and between bull and bear markets, as well as the changing trend in the degree of co-movements. Starting from a non-parametric mixture copula, we found that commodities markets’ co-movements increase in extreme situations. In addition, we found a stronger dependence between energy and other commodities markets at lower tails. Therefore, we showed that the energy market can offer diversification solutions for risk management in the case of extreme bull market events.","container-title":"Energy","DOI":"10.1016/j.energy.2020.117762","ISSN":"0360-5442","journalAbbreviation":"Energy","page":"117762","source":"ScienceDirect","title":"Copula-based local dependence among energy, agriculture and metal commodities markets","volume":"202","author":[{"family":"Albulescu","given":"Claudiu Tiberiu"},{"family":"Tiwari","given":"Aviral Kumar"},{"family":"Ji","given":"Qiang"}],"issued":{"date-parts":[["2020",7,1]]}}}],"schema":"https://github.com/citation-style-language/schema/raw/master/csl-citation.json"} </w:instrText>
      </w:r>
      <w:r w:rsidR="00B0055A">
        <w:fldChar w:fldCharType="separate"/>
      </w:r>
      <w:r w:rsidR="00B0055A" w:rsidRPr="00B0055A">
        <w:t>(Albulescu et al., 2020)</w:t>
      </w:r>
      <w:r w:rsidR="00B0055A">
        <w:fldChar w:fldCharType="end"/>
      </w:r>
      <w:r>
        <w:t xml:space="preserve">. In contrast, </w:t>
      </w:r>
      <w:r w:rsidR="00B0055A">
        <w:fldChar w:fldCharType="begin"/>
      </w:r>
      <w:r w:rsidR="00B0055A">
        <w:instrText xml:space="preserve"> ADDIN ZOTERO_ITEM CSL_CITATION {"citationID":"lWGYR3p9","properties":{"custom":"Reboredo (2013)","formattedCitation":"Reboredo (2013)","plainCitation":"Reboredo (2013)","noteIndex":0},"citationItems":[{"id":59,"uris":["http://zotero.org/users/13925666/items/G9IWZPY8"],"itemData":{"id":59,"type":"article-journal","abstract":"This paper assesses the role of gold as a hedge or safe haven against oil price movements. We use an approach based on copulas to analyse the dependence structure between these two markets. Empirical evidence for weekly data from January 2000 to September 2011 revealed the following: (a) there is positive and significant average dependence between gold and oil, which would indicate that gold cannot hedge against oil price movements; and (b) there is tail independence between the two markets, indicating that gold can act as an effective safe haven against extreme oil price movements. These results are useful for both portfolio risk managers and designers of policies aimed at using gold to preserve or stabilise oil exporter purchasing power.","container-title":"Resources Policy","DOI":"10.1016/j.resourpol.2013.02.003","ISSN":"0301-4207","issue":"2","journalAbbreviation":"Resources Policy","page":"130-137","source":"ScienceDirect","title":"Is gold a hedge or safe haven against oil price movements?","volume":"38","author":[{"family":"Reboredo","given":"Juan C."}],"issued":{"date-parts":[["2013",6,1]]}}}],"schema":"https://github.com/citation-style-language/schema/raw/master/csl-citation.json"} </w:instrText>
      </w:r>
      <w:r w:rsidR="00B0055A">
        <w:fldChar w:fldCharType="separate"/>
      </w:r>
      <w:r w:rsidR="00B0055A" w:rsidRPr="00B0055A">
        <w:t>Reboredo (2013)</w:t>
      </w:r>
      <w:r w:rsidR="00B0055A">
        <w:fldChar w:fldCharType="end"/>
      </w:r>
      <w:r>
        <w:t xml:space="preserve"> finds that gold and oil show a strong positive dependence, suggesting that gold might not effectively hedge against oil price movements. However, they </w:t>
      </w:r>
      <w:r w:rsidR="00204C5D">
        <w:t xml:space="preserve">also </w:t>
      </w:r>
      <w:r w:rsidR="00A12F63">
        <w:t xml:space="preserve">find </w:t>
      </w:r>
      <w:r>
        <w:t xml:space="preserve">tail independence, which suggests that the hedge </w:t>
      </w:r>
      <w:r w:rsidR="000843F5">
        <w:t xml:space="preserve">is </w:t>
      </w:r>
      <w:r>
        <w:t>effect</w:t>
      </w:r>
      <w:r w:rsidR="004409E3">
        <w:t>ive</w:t>
      </w:r>
      <w:r>
        <w:t xml:space="preserve"> under bad market times. </w:t>
      </w:r>
      <w:r w:rsidR="00B0055A">
        <w:fldChar w:fldCharType="begin"/>
      </w:r>
      <w:r w:rsidR="00B0055A">
        <w:instrText xml:space="preserve"> ADDIN ZOTERO_ITEM CSL_CITATION {"citationID":"Ut2Bejme","properties":{"custom":"Sari et al. (2010)","formattedCitation":"Sari et al. (2010)","plainCitation":"Sari et al. (2010)","noteIndex":0},"citationItems":[{"id":160,"uris":["http://zotero.org/users/13925666/items/X6IISL4Z"],"itemData":{"id":160,"type":"article-journal","abstract":"This study examines the co-movements and information transmission among the spot prices of four precious metals (gold, silver, platinum, and palladium), oil price, and the US dollar/euro exchange rate. We find evidence of a weak long-run equilibrium relationship but strong feedbacks in the short run. The spot precious metal markets respond significantly (but temporarily) to a shock in any of the prices of the other metal prices and the exchange rate. Furthermore, we discover some evidence of market overreactions in the palladium and platinum cases as well as in the exchange rate market. In conclusion, whether there are overreactions and re-adjustments or not, investors may diversify at least a portion of the risk away by investing in precious metals, oil, and the euro. Policy implications are provided.","container-title":"Energy Economics","DOI":"10.1016/j.eneco.2009.08.010","ISSN":"0140-9883","issue":"2","journalAbbreviation":"Energy Economics","page":"351-362","source":"ScienceDirect","title":"Dynamics of oil price, precious metal prices, and exchange rate","volume":"32","author":[{"family":"Sari","given":"Ramazan"},{"family":"Hammoudeh","given":"Shawkat"},{"family":"Soytas","given":"Ugur"}],"issued":{"date-parts":[["2010",3,1]]}}}],"schema":"https://github.com/citation-style-language/schema/raw/master/csl-citation.json"} </w:instrText>
      </w:r>
      <w:r w:rsidR="00B0055A">
        <w:fldChar w:fldCharType="separate"/>
      </w:r>
      <w:r w:rsidR="00B0055A" w:rsidRPr="00B0055A">
        <w:t>Sari et al. (2010)</w:t>
      </w:r>
      <w:r w:rsidR="00B0055A">
        <w:fldChar w:fldCharType="end"/>
      </w:r>
      <w:r>
        <w:t xml:space="preserve"> also find that there are minor</w:t>
      </w:r>
      <w:r w:rsidR="00DE3864">
        <w:t>,</w:t>
      </w:r>
      <w:r>
        <w:t xml:space="preserve"> but positive effects between precious metals and oil. Specifically, if the commodity price of silver increases, it may signal that the price of oil will also increase because silver is highly volatile like oil within days. Similarly, </w:t>
      </w:r>
      <w:r w:rsidR="00B0055A">
        <w:fldChar w:fldCharType="begin"/>
      </w:r>
      <w:r w:rsidR="00B0055A">
        <w:instrText xml:space="preserve"> ADDIN ZOTERO_ITEM CSL_CITATION {"citationID":"GUXlkMcu","properties":{"custom":"Rehman and Vo (2021)","formattedCitation":"Rehman and Vo (2021)","plainCitation":"Rehman and Vo (2021)","noteIndex":0},"citationItems":[{"id":61,"uris":["http://zotero.org/users/13925666/items/5NMRZIP6"],"itemData":{"id":61,"type":"article-journal","abstract":"We investigate the presence of returns integration between energy commodities, precious metal commodities, and industrial metal commodities. We sample WTI crude oil, WTI Brent oil, natural gas, gas oil, gasoline, diesel as energy commodities, gold and silver as precious metal commodities, and copper, aluminum, zinc and nickel as industrial metal commodities. The sampling period of our study is based on the daily frequency and ranges from July 31, 2000 to July 31, 2020. Our methodology comprises a novel quantile cross-spectral approach proposed by Barunık and Kley (2015), which is capable to identify varying magnitude of connectedness between any two returns under different market conditions. Furthermore, this approach provides results under a short-, medium- and long-run investment perspective. Our results highlight low to moderate level integration among three commodity classes in the short- and medium-run investment periods however coherence level increases in the long-run periods under bearish and normal market conditions. These results are important for investors in terms of the suitability of different commodities regarding different investment periods and dynamic market conditions.","container-title":"Resources Policy","DOI":"10.1016/j.resourpol.2020.101843","ISSN":"0301-4207","journalAbbreviation":"Resources Policy","page":"101843","source":"ScienceDirect","title":"Energy commodities, precious metals and industrial metal markets: A nexus across different investment horizons and market conditions","title-short":"Energy commodities, precious metals and industrial metal markets","volume":"70","author":[{"family":"Rehman","given":"Mobeen Ur"},{"family":"Vo","given":"Xuan Vinh"}],"issued":{"date-parts":[["2021",3,1]]}}}],"schema":"https://github.com/citation-style-language/schema/raw/master/csl-citation.json"} </w:instrText>
      </w:r>
      <w:r w:rsidR="00B0055A">
        <w:fldChar w:fldCharType="separate"/>
      </w:r>
      <w:r w:rsidR="00B0055A" w:rsidRPr="00B0055A">
        <w:t>Rehman and Vo (2021)</w:t>
      </w:r>
      <w:r w:rsidR="00B0055A">
        <w:fldChar w:fldCharType="end"/>
      </w:r>
      <w:r>
        <w:t xml:space="preserve"> study the cointegration of precious metals and oil, and they find that precious metals and oil prices tend to move together in the long run under both bearish and normal market conditions. As a result, they suggest that investors should avoid building portfolios focusing solely on energy and precious metal commodities due to their high interdependence, especially during extreme market conditions.</w:t>
      </w:r>
    </w:p>
    <w:p w14:paraId="5958427D" w14:textId="77777777" w:rsidR="00D640F1" w:rsidRDefault="00000000" w:rsidP="005274E2">
      <w:pPr>
        <w:pStyle w:val="Heading3"/>
        <w:jc w:val="both"/>
      </w:pPr>
      <w:r>
        <w:t>2.1.2 Metal and Agricultural Commodities</w:t>
      </w:r>
    </w:p>
    <w:p w14:paraId="59BCEC58" w14:textId="22F22CE9" w:rsidR="005D3405" w:rsidRDefault="00000000" w:rsidP="005274E2">
      <w:pPr>
        <w:spacing w:after="240"/>
        <w:jc w:val="both"/>
      </w:pPr>
      <w:r>
        <w:t xml:space="preserve">A large number of researchers study the relationship between metal and agricultural commodities. </w:t>
      </w:r>
      <w:r w:rsidR="00665EC8" w:rsidRPr="00A927C9">
        <w:t>By studying the dependence structure among energy, agriculture, and metal commodit</w:t>
      </w:r>
      <w:r w:rsidR="00020828">
        <w:t>y</w:t>
      </w:r>
      <w:r w:rsidR="00665EC8" w:rsidRPr="00A927C9">
        <w:t xml:space="preserve"> markets,</w:t>
      </w:r>
      <w:r w:rsidR="00AD3E5B">
        <w:t xml:space="preserve"> </w:t>
      </w:r>
      <w:r w:rsidR="00AD3E5B">
        <w:fldChar w:fldCharType="begin"/>
      </w:r>
      <w:r w:rsidR="00797B55">
        <w:instrText xml:space="preserve"> ADDIN ZOTERO_ITEM CSL_CITATION {"citationID":"VuQk79nH","properties":{"formattedCitation":"(Albulescu et al., 2020)","plainCitation":"(Albulescu et al., 2020)","dontUpdate":true,"noteIndex":0},"citationItems":[{"id":32,"uris":["http://zotero.org/users/13925666/items/ZYD8TRGA"],"itemData":{"id":32,"type":"article-journal","abstract":"This paper studies the extreme dependencies among energy, agriculture and metal commodities markets, with an emphasis on local co-movements. By applying a novel, copula-based, local Kendall’s tau approach to measure nonlinear local dependence in regions, we identified asymmetric co-movements in and between bull and bear markets, as well as the changing trend in the degree of co-movements. Starting from a non-parametric mixture copula, we found that commodities markets’ co-movements increase in extreme situations. In addition, we found a stronger dependence between energy and other commodities markets at lower tails. Therefore, we showed that the energy market can offer diversification solutions for risk management in the case of extreme bull market events.","container-title":"Energy","DOI":"10.1016/j.energy.2020.117762","ISSN":"0360-5442","journalAbbreviation":"Energy","page":"117762","source":"ScienceDirect","title":"Copula-based local dependence among energy, agriculture and metal commodities markets","volume":"202","author":[{"family":"Albulescu","given":"Claudiu Tiberiu"},{"family":"Tiwari","given":"Aviral Kumar"},{"family":"Ji","given":"Qiang"}],"issued":{"date-parts":[["2020",7,1]]}}}],"schema":"https://github.com/citation-style-language/schema/raw/master/csl-citation.json"} </w:instrText>
      </w:r>
      <w:r w:rsidR="00AD3E5B">
        <w:fldChar w:fldCharType="separate"/>
      </w:r>
      <w:r w:rsidR="00AD3E5B" w:rsidRPr="00AD3E5B">
        <w:t xml:space="preserve">Albulescu et al. </w:t>
      </w:r>
      <w:r w:rsidR="00D17981">
        <w:t>(</w:t>
      </w:r>
      <w:r w:rsidR="00AD3E5B" w:rsidRPr="00AD3E5B">
        <w:t>2020)</w:t>
      </w:r>
      <w:r w:rsidR="00AD3E5B">
        <w:fldChar w:fldCharType="end"/>
      </w:r>
      <w:r w:rsidR="00665EC8" w:rsidRPr="00A927C9">
        <w:t xml:space="preserve"> </w:t>
      </w:r>
      <w:r w:rsidR="00C20D3C">
        <w:t>find</w:t>
      </w:r>
      <w:r w:rsidR="00665EC8" w:rsidRPr="00A927C9">
        <w:t xml:space="preserve"> asymmetric, high-tail, and low-tail dependence between commodity pairs. Specifically, they find that the relationship between metal and agricultural commodity prices is a V-shape local dependence, which means there are extreme co-movements in both lower and upper tails. This can be explained by the close linkage between metal and agricultural commodities. For example, when the agriculture demand increases, the demand for metal farming equipment will also increase.</w:t>
      </w:r>
      <w:r w:rsidR="007258B9">
        <w:t xml:space="preserve"> </w:t>
      </w:r>
      <w:r w:rsidR="003A42C9">
        <w:t xml:space="preserve">Similarly, </w:t>
      </w:r>
      <w:r w:rsidR="009A02A9">
        <w:fldChar w:fldCharType="begin"/>
      </w:r>
      <w:r w:rsidR="00797B55">
        <w:instrText xml:space="preserve"> ADDIN ZOTERO_ITEM CSL_CITATION {"citationID":"3AAIoJo9","properties":{"formattedCitation":"(Naeem et al., 2022)","plainCitation":"(Naeem et al., 2022)","dontUpdate":true,"noteIndex":0},"citationItems":[{"id":12,"uris":["http://zotero.org/users/13925666/items/AKUME8PT"],"itemData":{"id":12,"type":"article-journal","abstract":"This paper examines the safe-haven and hedging potential of oil and gold against industrial metals and agricultural commodities using a novel approach of quantile-on-quantile regression (QQR). For empirical analysis, we use the data on these commodities from January 2000 to December 2018, which further splits up into two sub-periods based on the global financial crisis (GFC). The results from the time-varying correlation of oil (gold) with metals and agriculture commodities suggest that oil (gold) has a lower correlation with metals and agriculture in the pre-GFC period than post-GFC. Further, the QQR model for two time periods (pre-GFC and post-GFC) was used to examine whether oil (gold) serves as a hedge (safe-haven) during the two periods. We conclude that oil was a safe-haven for metals and agricultural commodities pre-GFC but lost that ability post-GFC. Finally, we analyze the hedge ratio and hedge effectiveness pre- and post-GFC and confirm that oil had higher hedge effectiveness than gold during the pre-GFC period.","container-title":"Energy Economics","DOI":"10.1016/j.eneco.2021.105758","ISSN":"0140-9883","journalAbbreviation":"Energy Economics","page":"105758","source":"ScienceDirect","title":"Oil and gold as a hedge and safe-haven for metals and agricultural commodities with portfolio implications","volume":"105","author":[{"family":"Naeem","given":"Muhammad Abubakr"},{"family":"Hasan","given":"Mudassar"},{"family":"Arif","given":"Muhammad"},{"family":"Suleman","given":"Muhammad Tahir"},{"family":"Kang","given":"Sang Hoon"}],"issued":{"date-parts":[["2022",1,1]]}}}],"schema":"https://github.com/citation-style-language/schema/raw/master/csl-citation.json"} </w:instrText>
      </w:r>
      <w:r w:rsidR="009A02A9">
        <w:fldChar w:fldCharType="separate"/>
      </w:r>
      <w:r w:rsidR="009A02A9" w:rsidRPr="009A02A9">
        <w:t xml:space="preserve">Naeem et al. </w:t>
      </w:r>
      <w:r w:rsidR="00F374A9">
        <w:t>(</w:t>
      </w:r>
      <w:r w:rsidR="009A02A9" w:rsidRPr="009A02A9">
        <w:t>2022)</w:t>
      </w:r>
      <w:r w:rsidR="009A02A9">
        <w:fldChar w:fldCharType="end"/>
      </w:r>
      <w:r w:rsidR="009A02A9">
        <w:t xml:space="preserve"> </w:t>
      </w:r>
      <w:r w:rsidR="003A42C9">
        <w:t xml:space="preserve">study the </w:t>
      </w:r>
      <w:r w:rsidR="003A42C9" w:rsidRPr="003A42C9">
        <w:t>dynamic pattern</w:t>
      </w:r>
      <w:r w:rsidR="003A42C9">
        <w:t>s</w:t>
      </w:r>
      <w:r w:rsidR="003A42C9" w:rsidRPr="003A42C9">
        <w:t xml:space="preserve"> of correlation</w:t>
      </w:r>
      <w:r w:rsidR="003A42C9">
        <w:t xml:space="preserve"> between </w:t>
      </w:r>
      <w:r w:rsidR="00CB7EED">
        <w:t>metal and agricultural commodities</w:t>
      </w:r>
      <w:r w:rsidR="000436BA">
        <w:t>.</w:t>
      </w:r>
      <w:r w:rsidR="00CB7EED">
        <w:t xml:space="preserve"> </w:t>
      </w:r>
      <w:r w:rsidR="00D70771">
        <w:t>They find that</w:t>
      </w:r>
      <w:r w:rsidR="001900AB">
        <w:t xml:space="preserve">, before the </w:t>
      </w:r>
      <w:r w:rsidR="00CB2816">
        <w:t xml:space="preserve">global financial crisis in 2008, </w:t>
      </w:r>
      <w:r w:rsidR="007B4460">
        <w:t>the correl</w:t>
      </w:r>
      <w:r w:rsidR="00886C88">
        <w:t>a</w:t>
      </w:r>
      <w:r w:rsidR="007B4460">
        <w:t>tion be</w:t>
      </w:r>
      <w:r w:rsidR="00C20D3C">
        <w:t>twe</w:t>
      </w:r>
      <w:r w:rsidR="007B4460">
        <w:t xml:space="preserve">en the two commodities </w:t>
      </w:r>
      <w:r w:rsidR="008D7A22">
        <w:t xml:space="preserve">is low. However, </w:t>
      </w:r>
      <w:r w:rsidR="00B420A1">
        <w:t xml:space="preserve">there are high </w:t>
      </w:r>
      <w:r w:rsidR="002370C9">
        <w:t>correlations</w:t>
      </w:r>
      <w:r w:rsidR="00B420A1">
        <w:t xml:space="preserve"> during that </w:t>
      </w:r>
      <w:r w:rsidR="009C4707">
        <w:t>financially</w:t>
      </w:r>
      <w:r w:rsidR="00B420A1">
        <w:t xml:space="preserve"> volatile </w:t>
      </w:r>
      <w:r w:rsidR="00BC6683">
        <w:t>period</w:t>
      </w:r>
      <w:r w:rsidR="00B420A1">
        <w:t xml:space="preserve">, and the </w:t>
      </w:r>
      <w:r w:rsidR="002370C9">
        <w:t>correlation</w:t>
      </w:r>
      <w:r w:rsidR="00B420A1">
        <w:t xml:space="preserve"> still remains high </w:t>
      </w:r>
      <w:r w:rsidR="00AF1D2F">
        <w:t>after</w:t>
      </w:r>
      <w:r w:rsidR="002370C9">
        <w:t xml:space="preserve"> the global</w:t>
      </w:r>
      <w:r w:rsidR="00B420A1">
        <w:t xml:space="preserve"> financial </w:t>
      </w:r>
      <w:r w:rsidR="00251727">
        <w:t>crisis</w:t>
      </w:r>
      <w:r w:rsidR="003A42C9">
        <w:t xml:space="preserve">. </w:t>
      </w:r>
      <w:r w:rsidR="00463F11">
        <w:t>With the goal of analyz</w:t>
      </w:r>
      <w:r w:rsidR="00DB2E51">
        <w:t>ing</w:t>
      </w:r>
      <w:r w:rsidR="00463F11">
        <w:t xml:space="preserve"> </w:t>
      </w:r>
      <w:r w:rsidR="00BD4EB7">
        <w:t xml:space="preserve">investment </w:t>
      </w:r>
      <w:r w:rsidR="00463F11">
        <w:t xml:space="preserve">allocation proportion in the commodity market, </w:t>
      </w:r>
      <w:r w:rsidR="00B0055A">
        <w:fldChar w:fldCharType="begin"/>
      </w:r>
      <w:r w:rsidR="00B0055A">
        <w:instrText xml:space="preserve"> ADDIN ZOTERO_ITEM CSL_CITATION {"citationID":"IC1GlwOI","properties":{"custom":"Hanif et al. (2023)","formattedCitation":"Hanif et al. (2023)","plainCitation":"Hanif et al. (2023)","noteIndex":0},"citationItems":[{"id":47,"uris":["http://zotero.org/users/13925666/items/YFXZ45H4"],"itemData":{"id":47,"type":"article-journal","abstract":"This paper examines the dependence structure and the portfolio allocation characteristics of a main industrial portfolio metals (gold, platinum, palladium, aluminum, silver, copper, zinc, lead, and nickel), and of an agricultural commodities portfolio (wheat, corn, soybeans, coffee, sugar cane, sugar beets, cocoa, cotton, and lumber). Our methodology is based on regular vine copulas and the conditional Value-at-Risk. The motivation to investigate the dependence structure and connectedness between agricultural, and metal commodities is to identify ways in which agricultural and metal commodities can hedge each other and to explore the possibilities of parallel investments. The results indicate that the dependence dynamics of the main metals portfolio are characterized by symmetric features. However, the dependence dynamics of the agricultural commodities portfolio are characterized by symmetric and asymmetric features; symmetric dynamics are predominant. Finally, the metal commodities portfolio is observed to be less risky for financial resource allocation during the global financial crisis.","container-title":"Resources Policy","DOI":"10.1016/j.resourpol.2023.103567","ISSN":"0301-4207","journalAbbreviation":"Resources Policy","page":"103567","source":"ScienceDirect","title":"Dependence and risk management of portfolios of metals and agricultural commodity futures","volume":"82","author":[{"family":"Hanif","given":"Waqas"},{"family":"Mensi","given":"Walid"},{"family":"Vo","given":"Xuan Vinh"},{"family":"BenSaïda","given":"Ahmed"},{"family":"Hernandez","given":"Jose Arreola"},{"family":"Kang","given":"Sang Hoon"}],"issued":{"date-parts":[["2023",5,1]]}}}],"schema":"https://github.com/citation-style-language/schema/raw/master/csl-citation.json"} </w:instrText>
      </w:r>
      <w:r w:rsidR="00B0055A">
        <w:fldChar w:fldCharType="separate"/>
      </w:r>
      <w:r w:rsidR="00B0055A" w:rsidRPr="00B0055A">
        <w:t>Hanif et al. (2023)</w:t>
      </w:r>
      <w:r w:rsidR="00B0055A">
        <w:fldChar w:fldCharType="end"/>
      </w:r>
      <w:r>
        <w:t xml:space="preserve"> study the time-varying relationship among commodity markets and find that the metal commodities portfolio is less risky compared to the agricultural commodities portfolio. According to their portfolio optimization result</w:t>
      </w:r>
      <w:r w:rsidR="00F37DBC">
        <w:t>s</w:t>
      </w:r>
      <w:r>
        <w:t xml:space="preserve">, investors in metal markets should allocate the majority of the commodities to gold, followed by aluminum, platinum, and lead. While for the agricultural market, the greatest amount should be allocated to timber, followed by wheat, cocoa, and soybeans. </w:t>
      </w:r>
    </w:p>
    <w:p w14:paraId="367370BA" w14:textId="77777777" w:rsidR="00D640F1" w:rsidRDefault="00000000" w:rsidP="005274E2">
      <w:pPr>
        <w:pStyle w:val="Heading3"/>
        <w:jc w:val="both"/>
      </w:pPr>
      <w:r>
        <w:t>2.1.3 Energy and Agricultural Commodities</w:t>
      </w:r>
    </w:p>
    <w:p w14:paraId="05B86D9C" w14:textId="2B6E27BF" w:rsidR="00D640F1" w:rsidRDefault="00000000" w:rsidP="005274E2">
      <w:pPr>
        <w:spacing w:after="240"/>
        <w:jc w:val="both"/>
      </w:pPr>
      <w:r>
        <w:t xml:space="preserve">In recent years, there has been significant cross-market linkage between energy and agricultural markets. This is due to the substitute of bio-fuel for the traditional fossil fuel. Studies show that energy-agricultural commodities connectedness is time-varying and thus there are times that exhibit limited causal effects, such as post-1980s </w:t>
      </w:r>
      <w:r w:rsidR="00B0055A">
        <w:fldChar w:fldCharType="begin"/>
      </w:r>
      <w:r w:rsidR="00797B55">
        <w:instrText xml:space="preserve"> ADDIN ZOTERO_ITEM CSL_CITATION {"citationID":"umRnh8Ux","properties":{"formattedCitation":"(Shahzad et al., 2021)","plainCitation":"(Shahzad et al., 2021)","noteIndex":0},"citationItems":[{"id":"8uaVsHOq/YoK4ZaBU","uris":["http://zotero.org/users/13925666/items/T4H4YYCX"],"itemData":{"id":"uTOIEUZq/HBgEq9R0","type":"article-journal","container-title":"Resources Policy","DOI":"10.1016/j.resourpol.2021.102298","ISSN":"0301-4207","journalAbbreviation":"Resources Policy","page":"102298","source":"ScienceDirect","title":"Energy, agriculture, and precious metals: Evidence from time-varying Granger causal relationships for both return and volatility","title-short":"Energy, agriculture, and precious metals","volume":"74","author":[{"family":"Shahzad","given":"Farrukh"},{"family":"Bouri","given":"Elie"},{"family":"Mokni","given":"Khaled"},{"family":"Ajmi","given":"Ahdi Noomen"}],"issued":{"date-parts":[["2021",12,1]]}}}],"schema":"https://github.com/citation-style-language/schema/raw/master/csl-citation.json"} </w:instrText>
      </w:r>
      <w:r w:rsidR="00B0055A">
        <w:fldChar w:fldCharType="separate"/>
      </w:r>
      <w:r w:rsidR="00B0055A" w:rsidRPr="00B0055A">
        <w:t>(Shahzad et al., 2021)</w:t>
      </w:r>
      <w:r w:rsidR="00B0055A">
        <w:fldChar w:fldCharType="end"/>
      </w:r>
      <w:r>
        <w:t xml:space="preserve"> or during the COVID-19 pandemic times </w:t>
      </w:r>
      <w:r w:rsidR="00CD7403">
        <w:fldChar w:fldCharType="begin"/>
      </w:r>
      <w:r w:rsidR="00CD7403">
        <w:instrText xml:space="preserve"> ADDIN ZOTERO_ITEM CSL_CITATION {"citationID":"IdFxz9rI","properties":{"formattedCitation":"(Furuoka et al., 2023)","plainCitation":"(Furuoka et al., 2023)","noteIndex":0},"citationItems":[{"id":65,"uris":["http://zotero.org/users/13925666/items/PPLTKT6B"],"itemData":{"id":65,"type":"article-journal","abstract":"This paper examines energy and agricultural commodities' short-run and long-run connectedness by using the Time-varying parameter vector autoregressions (TVP-VAR). It applies the frequency version of the TVP-VAR model, which is a modified version of the dynamic TVP-VAR model. The frequency decomposition definition also decomposes into short-run and long-run connectedness. We further the analysis by investigating the effect of asymmetry in returns on connectedness. It also examines how portfolio management strategies would lead to a maximization of profits with minimal risks. Empirical evidence indicates that only 32.52% and 31.38% of connectedness in oil and gas, respectively, are transmitted to agricultural commodities, which suggests their weak tendencies in influencing agricultural commodities; the total connectedness index hovers around 40–60% in the 2018–2019 period; however, it dropped below 40% in 2020–2021 when the COVID-19 pandemic contributed to disintegrate the connectedness between energy and agricultural commodities but increased further during the 2022 Russia-Ukraine saga. The findings also indicate that corn, wheat, and flour are net transmitters of risks to oil and natural gas in the long and short-run, and wheat-flour pairwise connectedness is the strongest in the connectedness. Asymmetry is also pronounced in the network of connectedness. Portfolio analyses indicate that investors require a low proportion of energy in a portfolio of energy-agricultural commodities to achieve an optimum profit. The findings will offer exciting insights into the connectedness of agricultural and energy commodities, particularly during periods of high price uncertainty.","container-title":"Resources Policy","DOI":"10.1016/j.resourpol.2023.103339","ISSN":"0301-4207","journalAbbreviation":"Resources Policy","page":"103339","source":"ScienceDirect","title":"Transmission of risks between energy and agricultural commodities: Frequency time-varying VAR, asymmetry and portfolio management","title-short":"Transmission of risks between energy and agricultural commodities","volume":"81","author":[{"family":"Furuoka","given":"Fumitaka"},{"family":"Yaya","given":"OlaOluwa Simon"},{"family":"Ling","given":"Pui Kiew"},{"family":"Al-Faryan","given":"Mamdouh Abdulaziz Saleh"},{"family":"Islam","given":"M. Nazmul"}],"issued":{"date-parts":[["2023",3,1]]}}}],"schema":"https://github.com/citation-style-language/schema/raw/master/csl-citation.json"} </w:instrText>
      </w:r>
      <w:r w:rsidR="00CD7403">
        <w:fldChar w:fldCharType="separate"/>
      </w:r>
      <w:r w:rsidR="00CD7403" w:rsidRPr="00CD7403">
        <w:t>(Furuoka et al., 2023)</w:t>
      </w:r>
      <w:r w:rsidR="00CD7403">
        <w:fldChar w:fldCharType="end"/>
      </w:r>
      <w:r>
        <w:t xml:space="preserve">. </w:t>
      </w:r>
      <w:r w:rsidR="00CD7403">
        <w:t>By</w:t>
      </w:r>
      <w:r>
        <w:t xml:space="preserve"> analyzing the systematic risk across markets, </w:t>
      </w:r>
      <w:r w:rsidR="00B0055A">
        <w:fldChar w:fldCharType="begin"/>
      </w:r>
      <w:r w:rsidR="00FD7676">
        <w:instrText xml:space="preserve"> ADDIN ZOTERO_ITEM CSL_CITATION {"citationID":"PtcnTUtJ","properties":{"formattedCitation":"(Kumar et al., 2021)","plainCitation":"(Kumar et al., 2021)","dontUpdate":true,"noteIndex":0},"citationItems":[{"id":35,"uris":["http://zotero.org/users/13925666/items/3A6D7VTT"],"itemData":{"id":35,"type":"article-journal","abstract":"We examine the energy-food nexus using the dependence-switching copula model. Specifically, we look at the dependence for four distinct market states, such as, increasing oil–increasing commodity, declining oil–declining commodity, increasing oil–declining commodity, as well as declining oil–increasing commodity markets. Our results support the argument that the crash of oil markets and agricultural commodities happen at the same time, especially during crisis period. However, the same is not true during times of normal economic conditions, implying that investors cannot make excess profits in both agricultural and oil markets at once. Furthermore, our analysis suggests that the return chasing effect dominates for all commodities on maximum occasions. The CoVaR and ΔCoVaR results indicate important risk spillover from oil to agricultural markets, especially around the financial crisis.","container-title":"Resources Policy","DOI":"10.1016/j.resourpol.2021.102049","ISSN":"0301-4207","journalAbbreviation":"Resources Policy","page":"102049","source":"ScienceDirect","title":"Time-varying dependence structure between oil and agricultural commodity markets: A dependence-switching CoVaR copula approach","title-short":"Time-varying dependence structure between oil and agricultural commodity markets","volume":"72","author":[{"family":"Kumar","given":"Satish"},{"family":"Tiwari","given":"Aviral Kumar"},{"family":"Raheem","given":"Ibrahim Dolapo"},{"family":"Hille","given":"Erik"}],"issued":{"date-parts":[["2021",8,1]]}}}],"schema":"https://github.com/citation-style-language/schema/raw/master/csl-citation.json"} </w:instrText>
      </w:r>
      <w:r w:rsidR="00B0055A">
        <w:fldChar w:fldCharType="separate"/>
      </w:r>
      <w:r w:rsidR="00B0055A" w:rsidRPr="00B0055A">
        <w:t xml:space="preserve">Kumar et al. </w:t>
      </w:r>
      <w:r w:rsidR="00AF24A9">
        <w:t>(</w:t>
      </w:r>
      <w:r w:rsidR="00B0055A" w:rsidRPr="00B0055A">
        <w:t>2021)</w:t>
      </w:r>
      <w:r w:rsidR="00B0055A">
        <w:fldChar w:fldCharType="end"/>
      </w:r>
      <w:r>
        <w:t xml:space="preserve"> recommend that investors consider choos</w:t>
      </w:r>
      <w:r w:rsidR="00461C70">
        <w:t>ing</w:t>
      </w:r>
      <w:r>
        <w:t xml:space="preserve"> other commodities when the energy and agricultural commodity market collapse due to regime-switching risk spillovers. Moreover, when both oil and agricultural commodity markets are going up or </w:t>
      </w:r>
      <w:r w:rsidR="002A07A5">
        <w:t>declin</w:t>
      </w:r>
      <w:r w:rsidR="00CE3C1E">
        <w:t>ing</w:t>
      </w:r>
      <w:r>
        <w:t>, it</w:t>
      </w:r>
      <w:r w:rsidR="00144B08">
        <w:t xml:space="preserve"> i</w:t>
      </w:r>
      <w:r>
        <w:t xml:space="preserve">s more likely to experience losses than gains simultaneously. As for the energy and agricultural commodity portfolios, researchers suggest that investors should allocate a lower proportion of energy commodities in order to achieve higher profits based on the performance of dynamic optimal portfolio weights for energy-agricultural commodities portfolios </w:t>
      </w:r>
      <w:r w:rsidR="000A4E55">
        <w:fldChar w:fldCharType="begin"/>
      </w:r>
      <w:r w:rsidR="000A4E55">
        <w:instrText xml:space="preserve"> ADDIN ZOTERO_ITEM CSL_CITATION {"citationID":"yabHBy5c","properties":{"formattedCitation":"(Furuoka et al., 2023)","plainCitation":"(Furuoka et al., 2023)","noteIndex":0},"citationItems":[{"id":65,"uris":["http://zotero.org/users/13925666/items/PPLTKT6B"],"itemData":{"id":65,"type":"article-journal","abstract":"This paper examines energy and agricultural commodities' short-run and long-run connectedness by using the Time-varying parameter vector autoregressions (TVP-VAR). It applies the frequency version of the TVP-VAR model, which is a modified version of the dynamic TVP-VAR model. The frequency decomposition definition also decomposes into short-run and long-run connectedness. We further the analysis by investigating the effect of asymmetry in returns on connectedness. It also examines how portfolio management strategies would lead to a maximization of profits with minimal risks. Empirical evidence indicates that only 32.52% and 31.38% of connectedness in oil and gas, respectively, are transmitted to agricultural commodities, which suggests their weak tendencies in influencing agricultural commodities; the total connectedness index hovers around 40–60% in the 2018–2019 period; however, it dropped below 40% in 2020–2021 when the COVID-19 pandemic contributed to dis</w:instrText>
      </w:r>
      <w:r w:rsidR="000A4E55" w:rsidRPr="00614915">
        <w:rPr>
          <w:lang w:val="sv-SE"/>
        </w:rPr>
        <w:instrText xml:space="preserve">integrate the connectedness between energy and agricultural commodities but increased further during the 2022 Russia-Ukraine saga. The findings also indicate that corn, wheat, and flour are net transmitters of risks to oil and natural gas in the long and short-run, and wheat-flour pairwise connectedness is the strongest in the connectedness. Asymmetry is also pronounced in the network of connectedness. Portfolio analyses indicate that investors require a low proportion of energy in a portfolio of energy-agricultural commodities to achieve an optimum profit. The findings will offer exciting insights into the connectedness of agricultural and energy commodities, particularly during periods of high price uncertainty.","container-title":"Resources Policy","DOI":"10.1016/j.resourpol.2023.103339","ISSN":"0301-4207","journalAbbreviation":"Resources Policy","page":"103339","source":"ScienceDirect","title":"Transmission of risks between energy and agricultural commodities: Frequency time-varying VAR, asymmetry and portfolio management","title-short":"Transmission of risks between energy and agricultural commodities","volume":"81","author":[{"family":"Furuoka","given":"Fumitaka"},{"family":"Yaya","given":"OlaOluwa Simon"},{"family":"Ling","given":"Pui Kiew"},{"family":"Al-Faryan","given":"Mamdouh Abdulaziz Saleh"},{"family":"Islam","given":"M. Nazmul"}],"issued":{"date-parts":[["2023",3,1]]}}}],"schema":"https://github.com/citation-style-language/schema/raw/master/csl-citation.json"} </w:instrText>
      </w:r>
      <w:r w:rsidR="000A4E55">
        <w:fldChar w:fldCharType="separate"/>
      </w:r>
      <w:r w:rsidR="000A4E55" w:rsidRPr="00614915">
        <w:rPr>
          <w:lang w:val="sv-SE"/>
        </w:rPr>
        <w:t>(Furuoka et al., 2023)</w:t>
      </w:r>
      <w:r w:rsidR="000A4E55">
        <w:fldChar w:fldCharType="end"/>
      </w:r>
      <w:r w:rsidRPr="00614915">
        <w:rPr>
          <w:lang w:val="sv-SE"/>
        </w:rPr>
        <w:t xml:space="preserve">. </w:t>
      </w:r>
      <w:r w:rsidR="00B0055A">
        <w:fldChar w:fldCharType="begin"/>
      </w:r>
      <w:r w:rsidR="00797B55">
        <w:rPr>
          <w:lang w:val="sv-SE"/>
        </w:rPr>
        <w:instrText xml:space="preserve"> ADDIN ZOTERO_ITEM CSL_CITATION {"citationID":"bDXDvLif","properties":{"formattedCitation":"(Shiferaw, 2019)","plainCitation":"(Shiferaw, 2019)","dontUpdate":true,"noteIndex":0},"citationItems":[{"id":80,"uris":["http://zotero.org/users/13925666/items/NH4TMB3B"],"itemData":{"id":80,"type":"article-journal","abstract":"This article investigates the dependence structure b</w:instrText>
      </w:r>
      <w:r w:rsidR="00797B55" w:rsidRPr="00582170">
        <w:rPr>
          <w:lang w:val="sv-SE"/>
        </w:rPr>
        <w:instrText xml:space="preserve">etween the agricultural commodity prices (white maize, yellow maize, wheat, sunflower and soya) and energy prices (oil, natural gas and coal) dynamics of South Africa based on the Bayesian multivariate GARCH (MGARCH) model with skewness and heavy tails. A computationally intensive Markov chain Monte Carlo (MCMC) algorithm was adopted and implemented for both parameter estimation and model comparison. Based on the information criteria, the Bayesian DCC-MGARCH model with the error skewed-mvt distribution assumption performed better than other competitive methods. Moreover, the correlation between the agricultural commodity and energy price returns is dynamic (time-varying) in South Africa, indicating that the prices of agricultural commodities and energy prices exhibit strong co-movement. The findings have significant implications in the domain of agricultural commodity policy and financial sector.","container-title":"Physica A: Statistical Mechanics and its Applications","DOI":"10.1016/j.physa.2019.04.043","ISSN":"0378-4371","journalAbbreviation":"Physica A: Statistical Mechanics and its Applications","page":"120807","source":"ScienceDirect","title":"Time-varying correlation between agricultural commodity and energy price dynamics with Bayesian multivariate DCC-GARCH models","volume":"526","author":[{"family":"Shiferaw","given":"Yegnanew A."}],"issued":{"date-parts":[["2019",7,15]]}}}],"schema":"https://github.com/citation-style-language/schema/raw/master/csl-citation.json"} </w:instrText>
      </w:r>
      <w:r w:rsidR="00B0055A">
        <w:fldChar w:fldCharType="separate"/>
      </w:r>
      <w:r w:rsidR="00B0055A" w:rsidRPr="00582170">
        <w:rPr>
          <w:lang w:val="sv-SE"/>
        </w:rPr>
        <w:t xml:space="preserve">Shiferaw </w:t>
      </w:r>
      <w:r w:rsidR="00614915" w:rsidRPr="00582170">
        <w:rPr>
          <w:lang w:val="sv-SE"/>
        </w:rPr>
        <w:t>(</w:t>
      </w:r>
      <w:r w:rsidR="00B0055A" w:rsidRPr="00582170">
        <w:rPr>
          <w:lang w:val="sv-SE"/>
        </w:rPr>
        <w:t>2019)</w:t>
      </w:r>
      <w:r w:rsidR="00B0055A">
        <w:fldChar w:fldCharType="end"/>
      </w:r>
      <w:r w:rsidRPr="00582170">
        <w:rPr>
          <w:lang w:val="sv-SE"/>
        </w:rPr>
        <w:t xml:space="preserve"> studies the relationship between energy prices and agricultural commodity prices </w:t>
      </w:r>
      <w:r w:rsidR="005F68DE" w:rsidRPr="00582170">
        <w:rPr>
          <w:lang w:val="sv-SE"/>
        </w:rPr>
        <w:t>focusing</w:t>
      </w:r>
      <w:r w:rsidRPr="00582170">
        <w:rPr>
          <w:lang w:val="sv-SE"/>
        </w:rPr>
        <w:t xml:space="preserve"> on South Africa and finds that the cost of agricultural products is directly impacted by the volatile global oil prices. </w:t>
      </w:r>
      <w:r>
        <w:t xml:space="preserve">As a result, the changing oil price causes fluctuations </w:t>
      </w:r>
      <w:r w:rsidR="00536203">
        <w:t xml:space="preserve">in </w:t>
      </w:r>
      <w:r>
        <w:t xml:space="preserve">agricultural commodity prices. Recently, </w:t>
      </w:r>
      <w:r w:rsidR="00B0055A">
        <w:fldChar w:fldCharType="begin"/>
      </w:r>
      <w:r w:rsidR="00B0055A">
        <w:instrText xml:space="preserve"> ADDIN ZOTERO_ITEM CSL_CITATION {"citationID":"QX3uUpE4","properties":{"custom":"Miljkovic and Vatsa (2023)","formattedCitation":"Miljkovic and Vatsa (2023)","plainCitation":"Miljkovic and Vatsa (2023)","noteIndex":0},"citationItems":[{"id":63,"uris":["http://zotero.org/users/13925666/items/TE44LWCX"],"itemData":{"id":63,"type":"article-journal","abstract":"We use dynamic time warping, a non-parametric pattern recognition method, to study interlinkages between major energy and agricultural commodity prices. Cluster analysis is conducted to group commodity prices based on their behavioral likeness by maximizing the differences between groups while minimizing the differences within groups. Two clusters emerge: one comprises the prices of crude oil and six major agricultural commodities, whereas the other contains coal and natural gas prices. Regarding lead-lag associations, oil prices generally lag crop prices; however, there are periods during which the former lead the latter. Furthermore, the duration with which oil prices lead or lag crop prices changes frequently.","container-title":"International Review of Financial Analysis","DOI":"10.1016/j.irfa.2023.102834","ISSN":"1057-5219","journalAbbreviation":"International Review of Financial Analysis","page":"102834","source":"ScienceDirect","title":"On the linkages between energy and agricultural commodity prices: A dynamic time warping analysis","title-short":"On the linkages between energy and agricultural commodity prices","volume":"90","author":[{"family":"Miljkovic","given":"Dragan"},{"family":"Vatsa","given":"Puneet"}],"issued":{"date-parts":[["2023",11,1]]}}}],"schema":"https://github.com/citation-style-language/schema/raw/master/csl-citation.json"} </w:instrText>
      </w:r>
      <w:r w:rsidR="00B0055A">
        <w:fldChar w:fldCharType="separate"/>
      </w:r>
      <w:r w:rsidR="00B0055A" w:rsidRPr="00B0055A">
        <w:t>Miljkovic and Vatsa (2023)</w:t>
      </w:r>
      <w:r w:rsidR="00B0055A">
        <w:fldChar w:fldCharType="end"/>
      </w:r>
      <w:r>
        <w:t xml:space="preserve"> have shown that crop prices typically exhibit lags to oil prices, although there are times that the reverse is observed. Also, they group similar commodity price movements, which helps them </w:t>
      </w:r>
      <w:r w:rsidR="005F68DE">
        <w:t>identify</w:t>
      </w:r>
      <w:r>
        <w:t xml:space="preserve"> two major clusters: one is oil and agricultural commodity prices, and the other is coal and natural gas prices. </w:t>
      </w:r>
    </w:p>
    <w:p w14:paraId="0F51AB94" w14:textId="3E074755" w:rsidR="00D640F1" w:rsidRDefault="00000000" w:rsidP="005274E2">
      <w:pPr>
        <w:pStyle w:val="Heading2"/>
        <w:jc w:val="both"/>
      </w:pPr>
      <w:bookmarkStart w:id="5" w:name="_Toc167478284"/>
      <w:r>
        <w:t>2.2 Models for Interconnectedness</w:t>
      </w:r>
      <w:bookmarkEnd w:id="5"/>
      <w:r>
        <w:t xml:space="preserve"> </w:t>
      </w:r>
    </w:p>
    <w:p w14:paraId="4B2FFF31" w14:textId="0B272143" w:rsidR="00D640F1" w:rsidRDefault="00195584" w:rsidP="005274E2">
      <w:pPr>
        <w:spacing w:after="240"/>
        <w:jc w:val="both"/>
      </w:pPr>
      <w:r>
        <w:t xml:space="preserve">This </w:t>
      </w:r>
      <w:r w:rsidR="00CF089A">
        <w:t>study</w:t>
      </w:r>
      <w:r>
        <w:t xml:space="preserve"> </w:t>
      </w:r>
      <w:r w:rsidR="00001898">
        <w:t>explores</w:t>
      </w:r>
      <w:r>
        <w:t xml:space="preserve"> the interconnections among energy, metal, and agricultural commodity markets. Existing articles generally have four empirical methods: GARCH, copula, granger causality, and quantile methods. </w:t>
      </w:r>
    </w:p>
    <w:p w14:paraId="0B5DDE02" w14:textId="77777777" w:rsidR="00D640F1" w:rsidRDefault="00000000" w:rsidP="005274E2">
      <w:pPr>
        <w:pStyle w:val="Heading3"/>
        <w:jc w:val="both"/>
      </w:pPr>
      <w:r>
        <w:t>2.2.1 GARCH Models</w:t>
      </w:r>
    </w:p>
    <w:p w14:paraId="2B1AB916" w14:textId="1274009C" w:rsidR="00D640F1" w:rsidRDefault="00016BD7" w:rsidP="005274E2">
      <w:pPr>
        <w:spacing w:after="240"/>
        <w:jc w:val="both"/>
      </w:pPr>
      <w:r>
        <w:t xml:space="preserve">The </w:t>
      </w:r>
      <w:r w:rsidR="003F0D96">
        <w:t>GARC</w:t>
      </w:r>
      <w:r w:rsidR="00890AA0">
        <w:t xml:space="preserve">H </w:t>
      </w:r>
      <w:r w:rsidR="005C445B">
        <w:t>model denotes</w:t>
      </w:r>
      <w:r w:rsidR="00CA588F">
        <w:t xml:space="preserve"> </w:t>
      </w:r>
      <w:r w:rsidR="00FF441D">
        <w:t xml:space="preserve">the </w:t>
      </w:r>
      <w:r w:rsidR="009364A7">
        <w:t>g</w:t>
      </w:r>
      <w:r w:rsidR="00BA2E1D" w:rsidRPr="00BA2E1D">
        <w:t>eneralized autoregressive conditional heteroscedastic</w:t>
      </w:r>
      <w:r w:rsidR="001071E1">
        <w:t xml:space="preserve"> model</w:t>
      </w:r>
      <w:r w:rsidR="00A95189">
        <w:t xml:space="preserve">, which </w:t>
      </w:r>
      <w:r w:rsidRPr="00016BD7">
        <w:t>require</w:t>
      </w:r>
      <w:r>
        <w:t>s</w:t>
      </w:r>
      <w:r w:rsidRPr="00016BD7">
        <w:t xml:space="preserve"> </w:t>
      </w:r>
      <w:r w:rsidR="00A95189">
        <w:t xml:space="preserve">the estimation </w:t>
      </w:r>
      <w:r w:rsidR="00A95189" w:rsidRPr="00A95189">
        <w:t>of conditional variances, covariances</w:t>
      </w:r>
      <w:r w:rsidR="001565D6">
        <w:t>,</w:t>
      </w:r>
      <w:r w:rsidR="00A95189" w:rsidRPr="00A95189">
        <w:t xml:space="preserve"> and correlations of multivariate time series</w:t>
      </w:r>
      <w:r w:rsidR="00353DC9">
        <w:t xml:space="preserve"> </w:t>
      </w:r>
      <w:r w:rsidR="00D2512B">
        <w:fldChar w:fldCharType="begin"/>
      </w:r>
      <w:r w:rsidR="00FD7676">
        <w:instrText xml:space="preserve"> ADDIN ZOTERO_ITEM CSL_CITATION {"citationID":"FpEOuLlV","properties":{"formattedCitation":"(de Almeida et al., 2018)","plainCitation":"(de Almeida et al., 2018)","dontUpdate":true,"noteIndex":0},"citationItems":[{"id":150,"uris":["http://zotero.org/users/13925666/items/W846L8XU"],"itemData":{"id":150,"type":"article-journal","abstract":"Multivariate GARCH (MGARCH) models need to be restricted so that their estimation is feasible in large systems and so that the covariance stationarity and positive definiteness of conditional covariance matrices are guaranteed. This paper analyzes the limitations of some of the popular restricted parametric MGARCH models that are often used to represent the dynamics observed in real systems of financial returns. These limitations are illustrated using simulated data generated by general VECH models of different dimensions in which volatilities and correlations are interrelated. We show that the restrictions imposed by the BEKK model are very unrealistic, generating potentially misleading forecasts of conditional correlations. On the other hand, models based on the DCC specification provide appropriate forecasts. Alternative estimators of the parameters are important in order to simplify the computations, and do not have implications for the estimates of conditional correlations. The implications of the restrictions imposed by the different specifications of MGARCH models considered are illustrated by forecasting the volatilities and correlations of a five-dimensional system of exchange rate returns.","container-title":"International Journal of Forecasting","DOI":"10.1016/j.ijforecast.2017.08.003","ISSN":"0169-2070","issue":"1","journalAbbreviation":"International Journal of Forecasting","page":"45-63","source":"ScienceDirect","title":"MGARCH models: Trade-off between feasibility and flexibility","title-short":"MGARCH models","volume":"34","author":[{"family":"Almeida","given":"Daniel","non-dropping-particle":"de"},{"family":"Hotta","given":"Luiz K."},{"family":"Ruiz","given":"Esther"}],"issued":{"date-parts":[["2018",1,1]]}}}],"schema":"https://github.com/citation-style-language/schema/raw/master/csl-citation.json"} </w:instrText>
      </w:r>
      <w:r w:rsidR="00D2512B">
        <w:fldChar w:fldCharType="separate"/>
      </w:r>
      <w:r w:rsidR="00D2512B" w:rsidRPr="00D2512B">
        <w:t>(</w:t>
      </w:r>
      <w:r w:rsidR="00545763">
        <w:t xml:space="preserve">see </w:t>
      </w:r>
      <w:r w:rsidR="00D2512B" w:rsidRPr="00D2512B">
        <w:t>de Almeida et al., 2018)</w:t>
      </w:r>
      <w:r w:rsidR="00D2512B">
        <w:fldChar w:fldCharType="end"/>
      </w:r>
      <w:r w:rsidR="00A90F88">
        <w:t>.</w:t>
      </w:r>
      <w:r w:rsidR="00380F81">
        <w:t xml:space="preserve"> </w:t>
      </w:r>
      <w:r>
        <w:t xml:space="preserve">A wide range of researchers use different GARCH models such as DCC </w:t>
      </w:r>
      <w:r w:rsidR="00B0055A">
        <w:fldChar w:fldCharType="begin"/>
      </w:r>
      <w:r w:rsidR="00B0055A">
        <w:instrText xml:space="preserve"> ADDIN ZOTERO_ITEM CSL_CITATION {"citationID":"7AtUIHS1","properties":{"formattedCitation":"(Shiferaw, 2019)","plainCitation":"(Shiferaw, 2019)","noteIndex":0},"citationItems":[{"id":80,"uris":["http://zotero.org/users/13925666/items/NH4TMB3B"],"itemData":{"id":80,"type":"article-journal","abstract":"This article investigates the dependence structure between the agricultural commodity prices (white maize, yellow maize, wheat, sunflower and soya) and energy prices (oil, natural gas and coal) dynamics of South Africa based on the Bayesian multivariate GARCH (MGARCH) model with skewness and heavy tails. A computationally intensive Markov chain Monte Carlo (MCMC) algorithm was adopted and implemented for both parameter estimation and model comparison. Based on the information criteria, the Bayesian DCC-MGARCH model with the error skewed-mvt distribution assumption performed better than other competitive methods. Moreover, the correlation between the agricultural commodity and energy price returns is dynamic (time-varying) in South Africa, indicating that the prices of agricultural commodities and energy prices exhibit strong co-movement. The findings have significant implications in the domain of agricultural commodity policy and financial sector.","container-title":"Physica A: Statistical Mechanics and its Applications","DOI":"10.1016/j.physa.2019.04.043","ISSN":"0378-4371","journalAbbreviation":"Physica A: Statistical Mechanics and its Applications","page":"120807","source":"ScienceDirect","title":"Time-varying correlation between agricultural commodity and energy price dynamics with Bayesian multivariate DCC-GARCH models","volume":"526","author":[{"family":"Shiferaw","given":"Yegnanew A."}],"issued":{"date-parts":[["2019",7,15]]}}}],"schema":"https://github.com/citation-style-language/schema/raw/master/csl-citation.json"} </w:instrText>
      </w:r>
      <w:r w:rsidR="00B0055A">
        <w:fldChar w:fldCharType="separate"/>
      </w:r>
      <w:r w:rsidR="00B0055A" w:rsidRPr="00B0055A">
        <w:t>(Shiferaw, 2019)</w:t>
      </w:r>
      <w:r w:rsidR="00B0055A">
        <w:fldChar w:fldCharType="end"/>
      </w:r>
      <w:r>
        <w:t xml:space="preserve">, Asymmetric DCC </w:t>
      </w:r>
      <w:r w:rsidR="00B0055A">
        <w:fldChar w:fldCharType="begin"/>
      </w:r>
      <w:r w:rsidR="00B0055A">
        <w:instrText xml:space="preserve"> ADDIN ZOTERO_ITEM CSL_CITATION {"citationID":"EZDB7CBA","properties":{"formattedCitation":"(Raza et al., 2018; Trabelsi et al., 2022)","plainCitation":"(Raza et al., 2018; Trabelsi et al., 2022)","noteIndex":0},"citationItems":[{"id":74,"uris":["http://zotero.org/users/13925666/items/F4UR2TH6"],"itemData":{"id":74,"type":"article-journal","abstract":"We examine the hedging performance of commodities futures for US real estate portfolios in a multi-scale setting. Dynamic asymmetric conditional correlations and thereafter optimal hedge ratios of real estate stock returns with commodities index, gold, oil and bond returns are estimated to examine hedge effectiveness under heterogeneous market expectations. Rolling window based out-of-sample one-step-ahead forecasts show that commodities index (gold) provide the best hedge to US real estate stocks for short-term (long-term) investments. The results are robust to the choice of model refits and rolling window sizes and provide useful implications for alternate markets’ investors.","container-title":"Resources Policy","DOI":"10.1016/j.resourpol.2018.01.001","ISSN":"0301-4207","journalAbbreviation":"Resources Policy","page":"10-29","source":"ScienceDirect","title":"Do commodities effectively hedge real estate risk? A multi-scale asymmetric DCC approach","title-short":"Do commodities effectively hedge real estate risk?","volume":"57","author":[{"family":"Raza","given":"Naveed"},{"family":"Ali","given":"Sajid"},{"family":"Shahzad","given":"Syed Jawad Hussain"},{"family":"Raza","given":"Syed Ali"}],"issued":{"date-parts":[["2018",8,1]]}}},{"id":20,"uris":["http://zotero.org/users/13925666/items/TDR7FH38"],"itemData":{"id":20,"type":"article-journal","abstract":"This study sheds a new light on the dependence and the directional predictability between eight major energy price returns, using the Cross-Quantilogram (CQ) and the Partial CQ (PCQ) analysis. The energy prices cover the t</w:instrText>
      </w:r>
      <w:r w:rsidR="00B0055A" w:rsidRPr="00B0055A">
        <w:rPr>
          <w:lang w:val="sv-SE"/>
        </w:rPr>
        <w:instrText xml:space="preserve">ime series for the U.S. natural gas and seven internationally traded crude oil types. The results reveal a significant directional predictability running from most of energy commodities returns to the OPEC basket and the very light Tapis crude oil returns. However, the quantile predictability in both directions is enabled only for the relations between the light Brent and the light WTI, and between the OPEC basket and the Malaysian Tapis. The time-varying predictability analysis reveals that there is a significant upper quantile dependence between these international energy commodities. Finally, we find that the TAPIS can be a good hedging vehicle for other energy markets. These findings may be instructive for both policymakers (in terms of financial stability) and market participants (in terms of performance).","container-title":"The North American Journal of Economics and Finance","DOI":"10.1016/j.najef.2022.101715","ISSN":"1062-9408","journalAbbreviation":"The North American Journal of Economics and Finance","page":"101715","source":"ScienceDirect","title":"Spillovers and directional predictability between international energy commodities and their implications for optimal portfolio and hedging","volume":"62","author":[{"family":"Trabelsi","given":"Nader"},{"family":"Tiwari","given":"Aviral Kumar"},{"family":"Hammoudeh","given":"Shawkat"}],"issued":{"date-parts":[["2022",11,1]]}}}],"schema":"https://github.com/citation-style-language/schema/raw/master/csl-citation.json"} </w:instrText>
      </w:r>
      <w:r w:rsidR="00B0055A">
        <w:fldChar w:fldCharType="separate"/>
      </w:r>
      <w:r w:rsidR="00B0055A" w:rsidRPr="00B0055A">
        <w:rPr>
          <w:lang w:val="sv-SE"/>
        </w:rPr>
        <w:t>(Raza et al., 2018; Trabelsi et al., 2022)</w:t>
      </w:r>
      <w:r w:rsidR="00B0055A">
        <w:fldChar w:fldCharType="end"/>
      </w:r>
      <w:r w:rsidRPr="00B0055A">
        <w:rPr>
          <w:lang w:val="sv-SE"/>
        </w:rPr>
        <w:t xml:space="preserve">, Beta-Skew-t-EGARCH </w:t>
      </w:r>
      <w:r w:rsidR="00B0055A">
        <w:fldChar w:fldCharType="begin"/>
      </w:r>
      <w:r w:rsidR="00B0055A" w:rsidRPr="00B0055A">
        <w:rPr>
          <w:lang w:val="sv-SE"/>
        </w:rPr>
        <w:instrText xml:space="preserve"> ADDIN ZOTERO_ITEM CSL_CITATION {"citationID":"Gbcw7wsf","properties":{"formattedCitation":"(Gaete &amp; Herrera, 2023)","plainCitation":"(Gaete &amp; Herrera, 2023)","noteIndex":0},"citationItems":[{"id":29,"uris":["http://zotero.org/users/13925666/items/C2YR4PTP"],"itemData":{"id":29,"type":"article-journal","abstract":"This study provides a thorough analysis of the dynamics of volatility and dependence among seven international equity and 20 commodity markets across different sectors, highlighting the hedging role played by the latter. We explain volatility using a specification that distinguishes between the short and long terms. At the same time, the dependence structure is modeled through a time-varying conditional factor copula model, which can be split into commodity sectors such that there is homogeneous dependence within each sector. The dynamic of both models is captured through a score-driven specification. Moreover, we solve the risk-averse portfolio selection to determine the existence of diversification benefits when constructing portfolios comprising commodities and stock markets. The main results of the study show that the dependence between the commodity and equity markets is variable over time. The best strategy in the minimum variance portfolio is obtained by incorporating a mix of commodities into the stock market portfolio, especially industrial metals. Furthermore, the factor copula approach is the best specification in terms of the Sharpe ratio independent of portfolio settings.","container-title":"Journal of Commodity Markets","DOI":"10.1016/j.jcomm.2023.100363","ISSN":"2405-8513","journalAbbreviation":"Journal of Commodity Markets","page":"100363","source":"ScienceDirect","title":"Diversification benefits of commodities in portfolio allocation: A dynamic factor copula approach","title-short":"Diversification benefits of commodities in portfolio allocation","volume":"32","author":[{"family":"Gaete","given":"Michael"},{"family":"Herrera","given":"Rodrigo"}],"issued":{"date-parts":[["2023",12,1]]}}}],"schema":"https://github.com/citation-style-language/schema/raw/master/csl-citation.json"} </w:instrText>
      </w:r>
      <w:r w:rsidR="00B0055A">
        <w:fldChar w:fldCharType="separate"/>
      </w:r>
      <w:r w:rsidR="00B0055A" w:rsidRPr="00B0055A">
        <w:rPr>
          <w:lang w:val="sv-SE"/>
        </w:rPr>
        <w:t>(Gaete &amp; Herrera, 2023)</w:t>
      </w:r>
      <w:r w:rsidR="00B0055A">
        <w:fldChar w:fldCharType="end"/>
      </w:r>
      <w:r w:rsidRPr="00B0055A">
        <w:rPr>
          <w:lang w:val="sv-SE"/>
        </w:rPr>
        <w:t xml:space="preserve">, GARCH-MIDAS-X Framework </w:t>
      </w:r>
      <w:r w:rsidR="00B0055A">
        <w:fldChar w:fldCharType="begin"/>
      </w:r>
      <w:r w:rsidR="00B0055A" w:rsidRPr="00B0055A">
        <w:rPr>
          <w:lang w:val="sv-SE"/>
        </w:rPr>
        <w:instrText xml:space="preserve"> ADDIN ZOTERO_ITEM CSL_CITATION {"citationID":"EfTBO4gm","properties":{"formattedCitation":"(Yaya et al., 2022)","plainCitation":"(Yaya et al., 2022)","noteIndex":0},"citationItems":[{"id":22,"uris":["http://zotero.org/users/13925666/items/ISBA4PJH"],"itemData":{"id":22,"type":"article-journal","abstract":"Extant literature establishes co-movements among commodity (metal and oil) prices; whereas oil price/shocks aggregate, as a lone predictor, has relative predictability for most financial assets. We assess the predictability of Baumeister and Hamilton's (2019) decomposed oil shocks (economic activity shocks, oil consumption demand shocks, oil inventory demand shocks, and oil supply shocks) for conditional volatilities of prominently traded precious metals (gold, palladium, platinum, and silver) using GARCH-MIDAS-X framework. The asymmetric effect of decomposed oil shocks on precious metals' volatilities is examined. The DCC-MIDAS framework allows to investigate the conditional correlations and volatility between oil and precious metal prices. Results show that precious metals exhibit hedging potentials against oil demand and supply shocks, with heterogeneity observed in the precious metal-oil shocks nexus. Asymmetry is evident in the responses of metals' volatility to oil shocks. DCC-MIDAS results reveal significant dynamic correlations between oil prices and precious metals (except for platinum). Our results are robust (sensitive) to precious metals (oil shocks) proxies. The findings are insightful for commodity market stakeholders.","container-title":"Resources Policy","DOI":"10.1016/j.resourpol.2022.103036","ISSN":"0301-4207","journalAbbreviation":"Resources Policy","page":"103036","source":"ScienceDirect","title":"Time-variation between metal commodities and oil, and the impact of oil shocks: GARCH-MIDAS and DCC-MIDAS analyses","title-short":"Time-variation between metal commodities and oil, and the impact of oil shocks","volume":"79","author":[{"family":"Yaya","given":"OlaOluwa S."},{"family":"Ogbonna","given":"Ahamuefula E."},{"family":"Adesina","given":"Oluwaseun A."},{"family":"Alobaloke","given":"Kafayat A."},{"family":"Vo","given":"Xuan Vinh"}],"issued":{"date-parts":[["2022",12,1]]}}}],"schema":"https://github.com/citation-style-language/schema/raw/master/csl-citation.json"} </w:instrText>
      </w:r>
      <w:r w:rsidR="00B0055A">
        <w:fldChar w:fldCharType="separate"/>
      </w:r>
      <w:r w:rsidR="00B0055A" w:rsidRPr="00B0055A">
        <w:rPr>
          <w:lang w:val="sv-SE"/>
        </w:rPr>
        <w:t>(Yaya et al., 2022)</w:t>
      </w:r>
      <w:r w:rsidR="00B0055A">
        <w:fldChar w:fldCharType="end"/>
      </w:r>
      <w:r w:rsidRPr="00B0055A">
        <w:rPr>
          <w:lang w:val="sv-SE"/>
        </w:rPr>
        <w:t xml:space="preserve"> to study the correlation and spillover among commodity markets or their interactions with other markets. </w:t>
      </w:r>
      <w:r>
        <w:t xml:space="preserve">The core of these models is to capture the volatility patterns and study how the volatility of one commodity impacts the volatility of others, but they might not be helpful in analyzing the relationship between different commodities. In order to analyze the dependence structure between agricultural </w:t>
      </w:r>
      <w:r w:rsidR="001F03F4">
        <w:t>commodities</w:t>
      </w:r>
      <w:r>
        <w:t xml:space="preserve"> and energy prices, </w:t>
      </w:r>
      <w:r w:rsidR="00B0055A">
        <w:fldChar w:fldCharType="begin"/>
      </w:r>
      <w:r w:rsidR="00FD7676">
        <w:instrText xml:space="preserve"> ADDIN ZOTERO_ITEM CSL_CITATION {"citationID":"lRqkjPIT","properties":{"formattedCitation":"(Shiferaw, 2019)","plainCitation":"(Shiferaw, 2019)","dontUpdate":true,"noteIndex":0},"citationItems":[{"id":80,"uris":["http://zotero.org/users/13925666/items/NH4TMB3B"],"itemData":{"id":80,"type":"article-journal","abstract":"This article investigates the dependence structure between the agricultural commodity prices (white maize, yellow maize, wheat, sunflower and soya) and energy prices (oil, natural gas and coal) dynamics of South Africa based on the Bayesian multivariate GARCH (MGARCH) model with skewness and heavy tails. A computationally intensive Markov chain Monte Carlo (MCMC) algorithm was adopted and implemented for both parameter estimation and model comparison. Based on the information criteria, the Bayesian DCC-MGARCH model with the error skewed-mvt distribution assumption performed better than other competitive methods. Moreover, the correlation between the agricultural commodity and energy price returns is dynamic (time-varying) in South Africa, indicating that the prices of agricultural commodities and energy prices exhibit strong co-movement. The findings have significant implications in the domain of agricultural commodity policy and financial sector.","container-title":"Physica A: Statistical Mechanics and its Applications","DOI":"10.1016/j.physa.2019.04.043","ISSN":"0378-4371","journalAbbreviation":"Physica A: Statistical Mechanics and its Applications","page":"120807","source":"ScienceDirect","title":"Time-varying correlation between agricultural commodity and energy price dynamics with Bayesian multivariate DCC-GARCH models","volume":"526","author":[{"family":"Shiferaw","given":"Yegnanew A."}],"issued":{"date-parts":[["2019",7,15]]}}}],"schema":"https://github.com/citation-style-language/schema/raw/master/csl-citation.json"} </w:instrText>
      </w:r>
      <w:r w:rsidR="00B0055A">
        <w:fldChar w:fldCharType="separate"/>
      </w:r>
      <w:r w:rsidR="00B0055A" w:rsidRPr="00B0055A">
        <w:t xml:space="preserve">Shiferaw </w:t>
      </w:r>
      <w:r w:rsidR="001F2F3C">
        <w:t>(</w:t>
      </w:r>
      <w:r w:rsidR="00B0055A" w:rsidRPr="00B0055A">
        <w:t>2019)</w:t>
      </w:r>
      <w:r w:rsidR="00B0055A">
        <w:fldChar w:fldCharType="end"/>
      </w:r>
      <w:r>
        <w:t xml:space="preserve"> chooses eight commodities and applies </w:t>
      </w:r>
      <w:r w:rsidR="00DE75F2">
        <w:t>the</w:t>
      </w:r>
      <w:r w:rsidR="007D7C0C">
        <w:t xml:space="preserve"> </w:t>
      </w:r>
      <w:r>
        <w:t>Bayesian multivariate GARCH model with skewness and heavy tails. The researcher finds that the DCC model</w:t>
      </w:r>
      <w:r w:rsidR="00EC7AF1">
        <w:t>, which is the dynamic conditional correlation model,</w:t>
      </w:r>
      <w:r>
        <w:t xml:space="preserve"> with the error skewed distribution assumption performed better than other competitive methods, such as the CCC</w:t>
      </w:r>
      <w:r w:rsidR="00EE22B6">
        <w:t xml:space="preserve"> model</w:t>
      </w:r>
      <w:r w:rsidR="00517CCB">
        <w:t xml:space="preserve">, which is the constant </w:t>
      </w:r>
      <w:r w:rsidR="00EC253B">
        <w:t xml:space="preserve">conditional </w:t>
      </w:r>
      <w:r w:rsidR="00517CCB">
        <w:t>correlation</w:t>
      </w:r>
      <w:r>
        <w:t xml:space="preserve"> </w:t>
      </w:r>
      <w:r w:rsidR="00EC253B">
        <w:t>model</w:t>
      </w:r>
      <w:r w:rsidR="006909A9">
        <w:t xml:space="preserve">. </w:t>
      </w:r>
      <w:r>
        <w:t xml:space="preserve">Additionally, </w:t>
      </w:r>
      <w:r w:rsidR="00B0055A">
        <w:fldChar w:fldCharType="begin"/>
      </w:r>
      <w:r w:rsidR="00FD7676">
        <w:instrText xml:space="preserve"> ADDIN ZOTERO_ITEM CSL_CITATION {"citationID":"KMUKayuZ","properties":{"formattedCitation":"(Gaete &amp; Herrera, 2023)","plainCitation":"(Gaete &amp; Herrera, 2023)","dontUpdate":true,"noteIndex":0},"citationItems":[{"id":29,"uris":["http://zotero.org/users/13925666/items/C2YR4PTP"],"itemData":{"id":29,"type":"article-journal","abstract":"This study provides a thorough analysis of the dynamics of volatility and dependence among seven international equity and 20 commodity markets across different sectors, highlighting the hedging role played by the latter. We explain volatility using a specification that distinguishes between the short and long terms. At the same time, the dependence structure is modeled through a time-varying conditional factor copula model, which can be split into commodity sectors such that there is homogeneous dependence within each sector. The dynamic of both models is captured through a score-driven specification. Moreover, we solve the risk-averse portfolio selection to determine the existence of diversification benefits when constructing portfolios comprising commodities and stock markets. The main results of the study show that the dependence between the commodity and equity markets is variable over time. The best strategy in the minimum variance portfolio is obtained by incorporating a mix of commodities into the stock market portfolio, especially industrial metals. Furthermore, the factor copula approach is the best specification in terms of the Sharpe ratio independent of portfolio settings.","container-title":"Journal of Commodity Markets","DOI":"10.1016/j.jcomm.2023.100363","ISSN":"2405-8513","journalAbbreviation":"Journal of Commodity Markets","page":"100363","source":"ScienceDirect","title":"Diversification benefits of commodities in portfolio allocation: A dynamic factor copula approach","title-short":"Diversification benefits of commodities in portfolio allocation","volume":"32","author":[{"family":"Gaete","given":"Michael"},{"family":"Herrera","given":"Rodrigo"}],"issued":{"date-parts":[["2023",12,1]]}}}],"schema":"https://github.com/citation-style-language/schema/raw/master/csl-citation.json"} </w:instrText>
      </w:r>
      <w:r w:rsidR="00B0055A">
        <w:fldChar w:fldCharType="separate"/>
      </w:r>
      <w:r w:rsidR="00B0055A" w:rsidRPr="00B0055A">
        <w:t xml:space="preserve">Gaete </w:t>
      </w:r>
      <w:r w:rsidR="00C53C7A">
        <w:t>and</w:t>
      </w:r>
      <w:r w:rsidR="00B0055A" w:rsidRPr="00B0055A">
        <w:t xml:space="preserve"> Herrera </w:t>
      </w:r>
      <w:r w:rsidR="0013486A">
        <w:t>(</w:t>
      </w:r>
      <w:r w:rsidR="00B0055A" w:rsidRPr="00B0055A">
        <w:t>2023)</w:t>
      </w:r>
      <w:r w:rsidR="00B0055A">
        <w:fldChar w:fldCharType="end"/>
      </w:r>
      <w:r>
        <w:t xml:space="preserve"> </w:t>
      </w:r>
      <w:r w:rsidR="00563C81">
        <w:t>use</w:t>
      </w:r>
      <w:r>
        <w:t xml:space="preserve"> the Beta-Skew-t-EGARCH model to capture the volatility between equities and commodities. By modeling the volatility and the standardized residuals, they can get the score-driven dynamics for solving the </w:t>
      </w:r>
      <w:r w:rsidR="001629C3">
        <w:t>mean-variance</w:t>
      </w:r>
      <w:r>
        <w:t xml:space="preserve"> optimization problem. Similarly, the DCC-MIDAS framework applied by </w:t>
      </w:r>
      <w:r w:rsidR="00B0055A">
        <w:fldChar w:fldCharType="begin"/>
      </w:r>
      <w:r w:rsidR="00B0055A">
        <w:instrText xml:space="preserve"> ADDIN ZOTERO_ITEM CSL_CITATION {"citationID":"Jyn3oZAy","properties":{"formattedCitation":"(Yaya et al., 2022)","plainCitation":"(Yaya et al., 2022)","noteIndex":0},"citationItems":[{"id":22,"uris":["http://zotero.org/users/13925666/items/ISBA4PJH"],"itemData":{"id":22,"type":"article-journal","abstract":"Extant literature establishes co-movements among commodity (metal and oil) prices; whereas oil price/shocks aggregate, as a lone predictor, has relative predictability for most financial assets. We assess the predictability of Baumeister and Hamilton's (2019) decomposed oil shocks (economic activity shocks, oil consumption demand shocks, oil inventory demand shocks, and oil supply shocks) for conditional volatilities of prominently traded precious metals (gold, palladium, platinum, and silver) using GARCH-MIDAS-X framework. The asymmetric effect of decomposed oil shocks on precious metals' volatilities is examined. The DCC-MIDAS framework allows to investigate the conditional correlations and volatility between oil and precious metal prices. Results show that precious metals exhibit hedging potentials against oil demand and supply shocks, with heterogeneity observed in the precious metal-oil shocks nexus. Asymmetry is evident in the responses of metals' volatility to oil shocks. DCC-MIDAS results reveal significant dynamic correlations between oil prices and precious metals (except for platinum). Our results are robust (sensitive) to precious metals (oil shocks) proxies. The findings are insightful for commodity market stakeholders.","container-title":"Resources Policy","DOI":"10.1016/j.resourpol.2022.103036","ISSN":"0301-4207","journalAbbreviation":"Resources Policy","page":"103036","source":"ScienceDirect","title":"Time-variation between metal commodities and oil, and the impact of oil shocks: GARCH-MIDAS and DCC-MIDAS analyses","title-short":"Time-variation between metal commodities and oil, and the impact of oil shocks","volume":"79","author":[{"family":"Yaya","given":"OlaOluwa S."},{"family":"Ogbonna","given":"Ahamuefula E."},{"family":"Adesina","given":"Oluwaseun A."},{"family":"Alobaloke","given":"Kafayat A."},{"family":"Vo","given":"Xuan Vinh"}],"issued":{"date-parts":[["2022",12,1]]}}}],"schema":"https://github.com/citation-style-language/schema/raw/master/csl-citation.json"} </w:instrText>
      </w:r>
      <w:r w:rsidR="00B0055A">
        <w:fldChar w:fldCharType="separate"/>
      </w:r>
      <w:r w:rsidR="00B0055A" w:rsidRPr="00B0055A">
        <w:t>(Yaya et al., 2022)</w:t>
      </w:r>
      <w:r w:rsidR="00B0055A">
        <w:fldChar w:fldCharType="end"/>
      </w:r>
      <w:r>
        <w:t xml:space="preserve"> helps investigate the conditional correlations and volatility between oil and precious metal prices. The DCC-MIDAS means the dynamic conditional correlation with mixed data sampling. This framework incorporates information from different frequencies of data, which is efficient when one variable is observed at a higher frequency than the others. </w:t>
      </w:r>
    </w:p>
    <w:p w14:paraId="3B3B49F9" w14:textId="77777777" w:rsidR="00D640F1" w:rsidRDefault="00000000" w:rsidP="005274E2">
      <w:pPr>
        <w:pStyle w:val="Heading3"/>
        <w:jc w:val="both"/>
      </w:pPr>
      <w:r>
        <w:t>2.2.2 Copula Models</w:t>
      </w:r>
    </w:p>
    <w:p w14:paraId="6C91AC26" w14:textId="42E1EA49" w:rsidR="00D640F1" w:rsidRDefault="00000000" w:rsidP="005274E2">
      <w:pPr>
        <w:spacing w:after="240"/>
        <w:jc w:val="both"/>
      </w:pPr>
      <w:r>
        <w:t>Copula models can characterize the tail dependence structure between returns or risk of different commodities (</w:t>
      </w:r>
      <w:r w:rsidR="00B0055A">
        <w:fldChar w:fldCharType="begin"/>
      </w:r>
      <w:r w:rsidR="00B0055A">
        <w:instrText xml:space="preserve"> ADDIN ZOTERO_ITEM CSL_CITATION {"citationID":"aaimOhSI","properties":{"custom":"Albulescu et al., 2020","formattedCitation":"Albulescu et al., 2020","plainCitation":"Albulescu et al., 2020","noteIndex":0},"citationItems":[{"id":32,"uris":["http://zotero.org/users/13925666/items/ZYD8TRGA"],"itemData":{"id":32,"type":"article-journal","abstract":"This paper studies the extreme dependencies among energy, agriculture and metal commodities markets, with an emphasis on local co-movements. By applying a novel, copula-based, local Kendall’s tau approach to measure nonlinear local dependence in regions, we identified asymmetric co-movements in and between bull and bear markets, as well as the changing trend in the degree of co-movements. Starting from a non-parametric mixture copula, we found that commodities markets’ co-movements increase in extreme situations. In addition, we found a stronger dependence between energy and other commodities markets at lower tails. Therefore, we showed that the energy market can offer diversification solutions for risk management in the case of extreme bull market events.","container-title":"Energy","DOI":"10.1016/j.energy.2020.117762","ISSN":"0360-5442","journalAbbreviation":"Energy","page":"117762","source":"ScienceDirect","title":"Copula-based local dependence among energy, agriculture and metal commodities markets","volume":"202","author":[{"family":"Albulescu","given":"Claudiu Tiberiu"},{"family":"Tiwari","given":"Aviral Kumar"},{"family":"Ji","given":"Qiang"}],"issued":{"date-parts":[["2020",7,1]]}}}],"schema":"https://github.com/citation-style-language/schema/raw/master/csl-citation.json"} </w:instrText>
      </w:r>
      <w:r w:rsidR="00B0055A">
        <w:fldChar w:fldCharType="separate"/>
      </w:r>
      <w:r w:rsidR="00B0055A" w:rsidRPr="00B0055A">
        <w:t>Albulescu et al., 2020</w:t>
      </w:r>
      <w:r w:rsidR="00B0055A">
        <w:fldChar w:fldCharType="end"/>
      </w:r>
      <w:r>
        <w:t xml:space="preserve">; </w:t>
      </w:r>
      <w:r w:rsidR="00B0055A">
        <w:fldChar w:fldCharType="begin"/>
      </w:r>
      <w:r w:rsidR="00B0055A">
        <w:instrText xml:space="preserve"> ADDIN ZOTERO_ITEM CSL_CITATION {"citationID":"uHLG2GEE","properties":{"custom":"Kumar et al., 2021","formattedCitation":"Kumar et al., 2021","plainCitation":"Kumar et al., 2021","noteIndex":0},"citationItems":[{"id":35,"uris":["http://zotero.org/users/13925666/items/3A6D7VTT"],"itemData":{"id":35,"type":"article-journal","abstract":"We examine the energy-food nexus using the dependence-switching copula model. Specifically, we look at the dependence for four di</w:instrText>
      </w:r>
      <w:r w:rsidR="00B0055A" w:rsidRPr="006442CF">
        <w:rPr>
          <w:lang w:val="sv-SE"/>
        </w:rPr>
        <w:instrText xml:space="preserve">stinct market states, such as, increasing oil–increasing commodity, declining oil–declining commodity, increasing oil–declining commodity, as well as declining oil–increasing commodity markets. Our results support the argument that the crash of oil markets and agricultural commodities happen at the same time, especially during crisis period. However, the same is not true during times of normal economic conditions, implying that investors cannot make excess profits in both agricultural and oil markets at once. Furthermore, our analysis suggests that the return chasing effect dominates for all commodities on maximum occasions. The CoVaR and </w:instrText>
      </w:r>
      <w:r w:rsidR="00B0055A">
        <w:instrText>Δ</w:instrText>
      </w:r>
      <w:r w:rsidR="00B0055A" w:rsidRPr="006442CF">
        <w:rPr>
          <w:lang w:val="sv-SE"/>
        </w:rPr>
        <w:instrText>CoVaR results indicate important risk spillover from oil to agricultural markets, especially aroun</w:instrText>
      </w:r>
      <w:r w:rsidR="00B0055A" w:rsidRPr="00B0055A">
        <w:rPr>
          <w:lang w:val="sv-SE"/>
        </w:rPr>
        <w:instrText xml:space="preserve">d the financial crisis.","container-title":"Resources Policy","DOI":"10.1016/j.resourpol.2021.102049","ISSN":"0301-4207","journalAbbreviation":"Resources Policy","page":"102049","source":"ScienceDirect","title":"Time-varying dependence structure between oil and agricultural commodity markets: A dependence-switching CoVaR copula approach","title-short":"Time-varying dependence structure between oil and agricultural commodity markets","volume":"72","author":[{"family":"Kumar","given":"Satish"},{"family":"Tiwari","given":"Aviral Kumar"},{"family":"Raheem","given":"Ibrahim Dolapo"},{"family":"Hille","given":"Erik"}],"issued":{"date-parts":[["2021",8,1]]}}}],"schema":"https://github.com/citation-style-language/schema/raw/master/csl-citation.json"} </w:instrText>
      </w:r>
      <w:r w:rsidR="00B0055A">
        <w:fldChar w:fldCharType="separate"/>
      </w:r>
      <w:r w:rsidR="00B0055A" w:rsidRPr="00B0055A">
        <w:rPr>
          <w:lang w:val="sv-SE"/>
        </w:rPr>
        <w:t>Kumar et al., 2021</w:t>
      </w:r>
      <w:r w:rsidR="00B0055A">
        <w:fldChar w:fldCharType="end"/>
      </w:r>
      <w:r w:rsidRPr="00B0055A">
        <w:rPr>
          <w:lang w:val="sv-SE"/>
        </w:rPr>
        <w:t xml:space="preserve">; </w:t>
      </w:r>
      <w:r w:rsidR="00B0055A">
        <w:fldChar w:fldCharType="begin"/>
      </w:r>
      <w:r w:rsidR="00B0055A" w:rsidRPr="00B0055A">
        <w:rPr>
          <w:lang w:val="sv-SE"/>
        </w:rPr>
        <w:instrText xml:space="preserve"> ADDIN ZOTERO_ITEM CSL_CITATION {"citationID":"HYzZkayl","properties":{"custom":"Koirala et al., 2015","formattedCitation":"Koirala et al., 2015","plainCitation":"Koirala et al., 2015","noteIndex":0},"citationItems":[{"id":38,"uris":["http://zotero.org/users/13925666/items/MQGAZ2IK"],"itemData":{"id":38,"type":"article-journal","abstract":"The linear relationships between energy prices and prices for agricultural commodities such as corn and soybeans may have been affected, over the last several years, by policy legislations in the farm sector, the Energy Independence and Security Act of 2007, and the Renewable Fuel Standard Program for 2014. Using high-frequency data and newer methodology, this study investigates dependence between agricultural commodity futures prices and energy futures prices. Results reveal that agricultural commodity and energy future prices are highly correlated and exhibit positive and significant relationship. Findings from this study highlight that an increase in energy price increases the price of agricultural commodities.","container-title":"Energy","DOI":"10.1016/j.energy.2014.12.055","ISSN":"0360-5442","journalAbbreviation":"Energy","page":"430-436","source":"ScienceDirect","title":"Energy prices and agricultural commodity prices: Testing correlation using copulas method","title-short":"Energy prices and agricultural commodity prices","volume":"81","author":[{"family":"Koirala","given":"Krishna H."},{"family":"Mishra","given":"Ashok K."},{"family":"D'Antoni","given":"Jeremy M."},{"family":"Mehlhorn","given":"Joey E."}],"issued":{"date-parts":[["2015",3,1]]}}}],"schema":"https://github.com/citation-style-language/schema/raw/master/csl-citation.json"} </w:instrText>
      </w:r>
      <w:r w:rsidR="00B0055A">
        <w:fldChar w:fldCharType="separate"/>
      </w:r>
      <w:r w:rsidR="00B0055A" w:rsidRPr="00B0055A">
        <w:rPr>
          <w:lang w:val="sv-SE"/>
        </w:rPr>
        <w:t>Koirala et al., 2015</w:t>
      </w:r>
      <w:r w:rsidR="00B0055A">
        <w:fldChar w:fldCharType="end"/>
      </w:r>
      <w:r w:rsidRPr="00B0055A">
        <w:rPr>
          <w:lang w:val="sv-SE"/>
        </w:rPr>
        <w:t xml:space="preserve">; </w:t>
      </w:r>
      <w:r w:rsidR="00B0055A">
        <w:fldChar w:fldCharType="begin"/>
      </w:r>
      <w:r w:rsidR="00B0055A" w:rsidRPr="00B0055A">
        <w:rPr>
          <w:lang w:val="sv-SE"/>
        </w:rPr>
        <w:instrText xml:space="preserve"> ADDIN ZOTERO_ITEM CSL_CITATION {"citationID":"RL8Vowp9","properties":{"custom":"Adhikari &amp; Putnam, 2020","formattedCitation":"Adhikari &amp; Putnam, 2020","plainCitation":"Adhikari &amp; Putnam, 2020","noteIndex":0},"citationItems":[{"id":41,"uris":["http://zotero.org/users/13925666/items/6FWG6HXF"],"itemData":{"id":41,"type":"article-journal","abstract":"We examine the excess comovement of commodity futures returns. We contend that commodities categorized in the same sector possess fundamental price linkages; thus, measures of excess comovement \"within-sectors\" are much higher relative to \"across-sector\" measures. Consistent with this premise we find that all copula model dependence measures used in the study capture this feature of the commodity markets. Further, we test the relevance of two new \"cross-market\" factors related to changes in inventory and open interest as determinants of commodity futures returns. We find a strong positive relationship between changes in cross-market open interest and futures returns to the energy and livestock markets. In contrast, the impact of changes in cross-market inventory on futures returns to the energy and grains sectors is very minor.","container-title":"Journal of Commodity Markets","DOI":"10.1016/j.jcomm.2019.04.002","ISSN":"2405-8513","journalAbbreviation":"Journal of Commodity Markets","page":"100090","source":"ScienceDirect","title":"Comovement in the commodity futures markets: An analysis of the energy, grains, and livestock sectors","title-short":"Comovement in the commodity futures markets","volume":"18","author":[{"family":"Adhikari","given":"Ramesh"},{"family":"Putnam","given":"Kyle J."}],"issued":{"date-parts":[["2020",6,1]]}}}],"schema":"https://github.com/citation-style-language/schema/raw/master/csl-citation.json"} </w:instrText>
      </w:r>
      <w:r w:rsidR="00B0055A">
        <w:fldChar w:fldCharType="separate"/>
      </w:r>
      <w:r w:rsidR="00B0055A" w:rsidRPr="00B0055A">
        <w:rPr>
          <w:lang w:val="sv-SE"/>
        </w:rPr>
        <w:t>Adhikari &amp; Putnam, 2020</w:t>
      </w:r>
      <w:r w:rsidR="00B0055A">
        <w:fldChar w:fldCharType="end"/>
      </w:r>
      <w:r w:rsidRPr="00B0055A">
        <w:rPr>
          <w:lang w:val="sv-SE"/>
        </w:rPr>
        <w:t xml:space="preserve">; </w:t>
      </w:r>
      <w:r w:rsidR="00B0055A">
        <w:fldChar w:fldCharType="begin"/>
      </w:r>
      <w:r w:rsidR="00B0055A" w:rsidRPr="00B0055A">
        <w:rPr>
          <w:lang w:val="sv-SE"/>
        </w:rPr>
        <w:instrText xml:space="preserve"> ADDIN ZOTERO_ITEM CSL_CITATION {"citationID":"4vaUSukQ","properties":{"custom":"Fousekis &amp; Grigoriadis, 2017","formattedCitation":"Fousekis &amp; Grigoriadis, 2017","plainCitation":"Fousekis &amp; Grigoriadis, 2017","noteIndex":0},"citationItems":[{"id":43,"uris":["http://zotero.org/users/13925666/items/PYG6PTYI"],"itemData":{"id":43,"type":"article-journal","abstract":"The strength and the pattern of linkages between output and input futures prices are of particular importance for risk management in the energy sector. This paper investigates the co-movement between crude oil, heating oil, and reformulated gasoline futures prices using non-parametric and time-varying copulas. The empirical results suggest that short-run co-movement is high, symmetric with respect to the sign of shocks, and asymmetric with respect to the size of them. Depending on the source of a shock, the asymmetry with respect to size is likely to work towards widening or narrowing the crack spread. In the long run, however, price co-movement becomes perfect, and the price interrelationships obey the Law of One Price.","container-title":"Journal of Commodity Markets","DOI":"10.1016/j.jcomm.2017.08.003","ISSN":"2405-8513","journalAbbreviation":"Journal of Commodity Markets","page":"57-71","source":"ScienceDirect","title":"Price co-movement and the crack spread in the US futures markets","volume":"7","author":[{"family":"Fousekis","given":"Panos"},{"family":"Grigoriadis","given":"Vasilis"}],"issued":{"date-parts":[["2017",9,1]]}}}],"schema":"https://github.com/citation-style-language/schema/raw/master/csl-citation.json"} </w:instrText>
      </w:r>
      <w:r w:rsidR="00B0055A">
        <w:fldChar w:fldCharType="separate"/>
      </w:r>
      <w:r w:rsidR="00B0055A" w:rsidRPr="00B0055A">
        <w:rPr>
          <w:lang w:val="sv-SE"/>
        </w:rPr>
        <w:t>Fousekis &amp; Grigoriadis, 2017</w:t>
      </w:r>
      <w:r w:rsidR="00B0055A">
        <w:fldChar w:fldCharType="end"/>
      </w:r>
      <w:r w:rsidRPr="00B0055A">
        <w:rPr>
          <w:lang w:val="sv-SE"/>
        </w:rPr>
        <w:t xml:space="preserve">; </w:t>
      </w:r>
      <w:r w:rsidR="00B0055A">
        <w:fldChar w:fldCharType="begin"/>
      </w:r>
      <w:r w:rsidR="00B0055A" w:rsidRPr="00B0055A">
        <w:rPr>
          <w:lang w:val="sv-SE"/>
        </w:rPr>
        <w:instrText xml:space="preserve"> ADDIN ZOTERO_ITEM CSL_CITATION {"citationID":"v9Xlr2eo","properties":{"custom":"Hanif et al., 2023","formattedCitation":"Hanif et al., 2023","plainCitation":"Hanif et al., 2023","noteIndex":0},"citationItems":[{"id":47,"uris":["http://zotero.org/users/13925666/items/YFXZ45H4"],"itemData":{"id":47,"type":"article-journal","abstract":"This paper examines the dependence structure and the portfolio allocation characteristics of a main industrial portfolio metals (gold, platinum, palladium, aluminum, silver, copper, zinc, lead, and nickel), and of an agricultural commodities portfolio (wheat, corn, soybeans</w:instrText>
      </w:r>
      <w:r w:rsidR="00B0055A" w:rsidRPr="006442CF">
        <w:instrText>, coffee, sugar cane, sugar beets, cocoa, cotton, and lumber). Our methodology is based on regular vine copulas and the conditional Value-at-Risk. The motivation to investigate the dependence structure and connectedness between agricultural, and metal commodities is to identify ways in which agricultural and metal commodities can hedge each other and to explore the possibilities of parallel investments. The results indicate that the dependence dynamics of the main metals portfolio are characterized by symmetric features. However, the dependence dynamics of the agricultural commodities portfolio are characterized by symmetric and asymmetric features; symmetric dynamics are predominant. Finally, the metal commodities portfolio is observed to be less risky for financial resource allocation during the global financial crisis.","container-title":"Reso</w:instrText>
      </w:r>
      <w:r w:rsidR="00B0055A">
        <w:instrText xml:space="preserve">urces Policy","DOI":"10.1016/j.resourpol.2023.103567","ISSN":"0301-4207","journalAbbreviation":"Resources Policy","page":"103567","source":"ScienceDirect","title":"Dependence and risk management of portfolios of metals and agricultural commodity futures","volume":"82","author":[{"family":"Hanif","given":"Waqas"},{"family":"Mensi","given":"Walid"},{"family":"Vo","given":"Xuan Vinh"},{"family":"BenSaïda","given":"Ahmed"},{"family":"Hernandez","given":"Jose Arreola"},{"family":"Kang","given":"Sang Hoon"}],"issued":{"date-parts":[["2023",5,1]]}}}],"schema":"https://github.com/citation-style-language/schema/raw/master/csl-citation.json"} </w:instrText>
      </w:r>
      <w:r w:rsidR="00B0055A">
        <w:fldChar w:fldCharType="separate"/>
      </w:r>
      <w:r w:rsidR="00B0055A" w:rsidRPr="00B0055A">
        <w:t>Hanif et al., 2023</w:t>
      </w:r>
      <w:r w:rsidR="00B0055A">
        <w:fldChar w:fldCharType="end"/>
      </w:r>
      <w:r>
        <w:t xml:space="preserve">). </w:t>
      </w:r>
      <w:r w:rsidR="007656BF">
        <w:t>While c</w:t>
      </w:r>
      <w:r>
        <w:t xml:space="preserve">opula models have flexibility in modeling different types of dependencies and are particularly effective for handling tail risk which is helpful for understanding how extreme movements in one commodity affect other commodities (see </w:t>
      </w:r>
      <w:r w:rsidR="00B0055A">
        <w:fldChar w:fldCharType="begin"/>
      </w:r>
      <w:r w:rsidR="00B0055A">
        <w:instrText xml:space="preserve"> ADDIN ZOTERO_ITEM CSL_CITATION {"citationID":"M0Ztxwcq","properties":{"custom":"Albulescu et al., 2020","formattedCitation":"Albulescu et al., 2020","plainCitation":"Albulescu et al., 2020","noteIndex":0},"citationItems":[{"id":32,"uris":["http://zotero.org/users/13925666/items/ZYD8TRGA"],"itemData":{"id":32,"type":"article-journal","abstract":"This paper studies the extreme dependencies among energy, agriculture and metal commodities markets, with an emphasis on local co-movements. By applying a novel, copula-based, local Kendall’s tau approach to measure nonlinear local dependence in regions, we identified asymmetric co-movements in and between bull and bear markets, as well as the changing trend in the degree of co-movements. Starting from a non-parametric mixture copula, we found that commodities markets’ co-movements increase in extreme situations. In addition, we found a stronger dependence between energy and other commodities markets at lower tails. Therefore, we showed that the energy market can offer diversification solutions for risk management in the case of extreme bull market events.","container-title":"Energy","DOI":"10.1016/j.energy.2020.117762","ISSN":"0360-5442","journalAbbreviation":"Energy","page":"117762","source":"ScienceDirect","title":"Copula-based local dependence among energy, agriculture and metal commodities markets","volume":"202","author":[{"family":"Albulescu","given":"Claudiu Tiberiu"},{"family":"Tiwari","given":"Aviral Kumar"},{"family":"Ji","given":"Qiang"}],"issued":{"date-parts":[["2020",7,1]]}}}],"schema":"https://github.com/citation-style-language/schema/raw/master/csl-citation.json"} </w:instrText>
      </w:r>
      <w:r w:rsidR="00B0055A">
        <w:fldChar w:fldCharType="separate"/>
      </w:r>
      <w:r w:rsidR="00B0055A" w:rsidRPr="00B0055A">
        <w:t>Albulescu et al., 2020</w:t>
      </w:r>
      <w:r w:rsidR="00B0055A">
        <w:fldChar w:fldCharType="end"/>
      </w:r>
      <w:r>
        <w:t>)</w:t>
      </w:r>
      <w:r w:rsidR="00B4558C">
        <w:t>, the</w:t>
      </w:r>
      <w:r>
        <w:t xml:space="preserve"> </w:t>
      </w:r>
      <w:r w:rsidR="00C73405">
        <w:t>models can not d</w:t>
      </w:r>
      <w:r w:rsidR="006D08CE">
        <w:t>eal with</w:t>
      </w:r>
      <w:r w:rsidR="00F21B07" w:rsidRPr="00F21B07">
        <w:t xml:space="preserve"> volatility</w:t>
      </w:r>
      <w:r w:rsidR="0070709E">
        <w:t xml:space="preserve"> patterns</w:t>
      </w:r>
      <w:r w:rsidR="00F21B07" w:rsidRPr="00F21B07">
        <w:t xml:space="preserve"> </w:t>
      </w:r>
      <w:r w:rsidR="00F02D21">
        <w:t>efficiently</w:t>
      </w:r>
      <w:r w:rsidR="00545438">
        <w:t>.</w:t>
      </w:r>
      <w:r w:rsidR="00F21B07" w:rsidRPr="00F21B07">
        <w:t xml:space="preserve"> </w:t>
      </w:r>
      <w:r>
        <w:t xml:space="preserve">To model the asymmetric dependencies in the tails, </w:t>
      </w:r>
      <w:r w:rsidR="00B0055A">
        <w:fldChar w:fldCharType="begin"/>
      </w:r>
      <w:r w:rsidR="00FD7676">
        <w:instrText xml:space="preserve"> ADDIN ZOTERO_ITEM CSL_CITATION {"citationID":"4Cx0xJ4d","properties":{"custom":"Albulescu et al., 2020","formattedCitation":"Albulescu et al., 2020","plainCitation":"Albulescu et al., 2020","dontUpdate":true,"noteIndex":0},"citationItems":[{"id":32,"uris":["http://zotero.org/users/13925666/items/ZYD8TRGA"],"itemData":{"id":32,"type":"article-journal","abstract":"This paper studies the extreme dependencies among energy, agriculture and metal commodities markets, with an emphasis on local co-movements. By applying a novel, copula-based, local Kendall’s tau approach to measure nonlinear local dependence in regions, we identified asymmetric co-movements in and between bull and bear markets, as well as the changing trend in the degree of co-movements. Starting from a non-parametric mixture copula, we found that commodities markets’ co-movements increase in extreme situations. In addition, we found a stronger dependence between energy and other commodities markets at lower tails. Therefore, we showed that the energy market can offer diversification solutions for risk management in the case of extreme bull market events.","container-title":"Energy","DOI":"10.1016/j.energy.2020.117762","ISSN":"0360-5442","journalAbbreviation":"Energy","page":"117762","source":"ScienceDirect","title":"Copula-based local dependence among energy, agriculture and metal commodities markets","volume":"202","author":[{"family":"Albulescu","given":"Claudiu Tiberiu"},{"family":"Tiwari","given":"Aviral Kumar"},{"family":"Ji","given":"Qiang"}],"issued":{"date-parts":[["2020",7,1]]}}}],"schema":"https://github.com/citation-style-language/schema/raw/master/csl-citation.json"} </w:instrText>
      </w:r>
      <w:r w:rsidR="00B0055A">
        <w:fldChar w:fldCharType="separate"/>
      </w:r>
      <w:r w:rsidR="00B0055A" w:rsidRPr="00B0055A">
        <w:t xml:space="preserve">Albulescu et al. </w:t>
      </w:r>
      <w:r w:rsidR="00E06FE5">
        <w:t>(</w:t>
      </w:r>
      <w:r w:rsidR="00B0055A" w:rsidRPr="00B0055A">
        <w:t>2020</w:t>
      </w:r>
      <w:r w:rsidR="00B0055A">
        <w:fldChar w:fldCharType="end"/>
      </w:r>
      <w:r>
        <w:t xml:space="preserve">) use the Gumbel copula for upper-tail and Clayton copula for lower-tail dependence. Also, the rotated versions of both Gumbel and Clayton copulas are considered to capture different dependency structures. Similar to them, </w:t>
      </w:r>
      <w:r w:rsidR="00E04277">
        <w:fldChar w:fldCharType="begin"/>
      </w:r>
      <w:r w:rsidR="00797B55">
        <w:instrText xml:space="preserve"> ADDIN ZOTERO_ITEM CSL_CITATION {"citationID":"DuDH5sbA","properties":{"formattedCitation":"(Koirala et al., 2015)","plainCitation":"(Koirala et al., 2015)","dontUpdate":true,"noteIndex":0},"citationItems":[{"id":38,"uris":["http://zotero.org/users/13925666/items/MQGAZ2IK"],"itemData":{"id":38,"type":"article-journal","abstract":"The linear relationships between energy prices and prices for agricultural commodities such as corn and soybeans may have been affected, over the last several years, by policy legislations in the farm sector, the Energy Independence and Security Act of 2007, and the Renewable Fuel Standard Program for 2014. Using high-frequency data and newer methodology, this study investigates dependence between agricultural commodity futures prices and energy futures prices. Results reveal that agricultural commodity and energy future prices are highly correlated and exhibit positive and significant relationship. Findings from this study highlight that an increase in energy price increases the price of agricultural commodities.","container-title":"Energy","DOI":"10.1016/j.energy.2014.12.055","ISSN":"0360-5442","journalAbbreviation":"Energy","page":"430-436","source":"ScienceDirect","title":"Energy prices and agricultural commodity prices: Testing correlation using copulas method","title-short":"Energy prices and agricultural commodity prices","volume":"81","author":[{"family":"Koirala","given":"Krishna H."},{"family":"Mishra","given":"Ashok K."},{"family":"D'Antoni","given":"Jeremy M."},{"family":"Mehlhorn","given":"Joey E."}],"issued":{"date-parts":[["2015",3,1]]}}}],"schema":"https://github.com/citation-style-language/schema/raw/master/csl-citation.json"} </w:instrText>
      </w:r>
      <w:r w:rsidR="00E04277">
        <w:fldChar w:fldCharType="separate"/>
      </w:r>
      <w:r w:rsidR="00E04277" w:rsidRPr="00E04277">
        <w:t xml:space="preserve">Koirala et al. </w:t>
      </w:r>
      <w:r w:rsidR="00045E2F">
        <w:t>(</w:t>
      </w:r>
      <w:r w:rsidR="00E04277" w:rsidRPr="00E04277">
        <w:t>2015)</w:t>
      </w:r>
      <w:r w:rsidR="00E04277">
        <w:fldChar w:fldCharType="end"/>
      </w:r>
      <w:r w:rsidR="00557240">
        <w:t xml:space="preserve"> </w:t>
      </w:r>
      <w:r>
        <w:t xml:space="preserve">use </w:t>
      </w:r>
      <w:r w:rsidR="002C2C04">
        <w:t>a</w:t>
      </w:r>
      <w:r>
        <w:t xml:space="preserve"> mixture of Clayton and Gumbel copulas. For the dependence parameters estimation, the researchers use the maximum likelihood method. There </w:t>
      </w:r>
      <w:r w:rsidR="005A20E6">
        <w:t>exist</w:t>
      </w:r>
      <w:r>
        <w:t xml:space="preserve"> various copula models. </w:t>
      </w:r>
      <w:r w:rsidR="00B0055A">
        <w:fldChar w:fldCharType="begin"/>
      </w:r>
      <w:r w:rsidR="00B0055A">
        <w:instrText xml:space="preserve"> ADDIN ZOTERO_ITEM CSL_CITATION {"citationID":"MPxLNZFL","properties":{"custom":"Kumar et al., 2021","formattedCitation":"Kumar et al., 2021","plainCitation":"Kumar et al., 2021","noteIndex":0},"citationItems":[{"id":35,"uris":["http://zotero.org/users/13925666/items/3A6D7VTT"],"itemData":{"id":35,"type":"article-journal","abstract":"We examine the energy-food nexus using the dependence-switching copula model. Specifically, we look at the dependence for four distinct market states, such as, increasing oil–increasing commodity, declining oil–declining commodity, increasing oil–declining commodity, as well as declining oil–increasing commodity markets. Our results support the argument that the crash of oil markets and agricultural commodities happen at the same time, especially during crisis period. However, the same is not true during times of normal economic conditions, implying that investors cannot make excess profits in both agricultural and oil markets at once. Furthermore, our analysis suggests that the return chasing effect dominates for all commodities on maximum occasions. The CoVaR and ΔCoVaR results indicate important risk spillover from oil to agricultural markets, especially around the financial crisis.","container-title":"Resources Policy","DOI":"10.1016/j.resourpol.2021.102049","ISSN":"0301-4207","journalAbbreviation":"Resources Policy","page":"102049","source":"ScienceDirect","title":"Time-varying dependence structure between oil and agricultural commodity markets: A dependence-switching CoVaR copula approach","title-short":"Time-varying dependence structure between oil and agricultural commodity markets","volume":"72","author":[{"family":"Kumar","given":"Satish"},{"family":"Tiwari","given":"Aviral Kumar"},{"family":"Raheem","given":"Ibrahim Dolapo"},{"family":"Hille","given":"Erik"}],"issued":{"date-parts":[["2021",8,1]]}}}],"schema":"https://github.com/citation-style-language/schema/raw/master/csl-citation.json"} </w:instrText>
      </w:r>
      <w:r w:rsidR="00B0055A">
        <w:fldChar w:fldCharType="separate"/>
      </w:r>
      <w:r w:rsidR="00B0055A" w:rsidRPr="00B0055A">
        <w:t xml:space="preserve">Kumar et al. </w:t>
      </w:r>
      <w:r w:rsidR="00D13A20">
        <w:t>(</w:t>
      </w:r>
      <w:r w:rsidR="00B0055A" w:rsidRPr="00B0055A">
        <w:t>2021</w:t>
      </w:r>
      <w:r w:rsidR="00B0055A">
        <w:fldChar w:fldCharType="end"/>
      </w:r>
      <w:r>
        <w:t>) appl</w:t>
      </w:r>
      <w:r w:rsidR="00FA6260">
        <w:t>y</w:t>
      </w:r>
      <w:r>
        <w:t xml:space="preserve"> a regime-switching copula approach to model the dependence between oil and agricultural commodity returns. The model considers two regimes of positive and negative correlation. By </w:t>
      </w:r>
      <w:r w:rsidR="005A20E6">
        <w:t>calculating</w:t>
      </w:r>
      <w:r>
        <w:t xml:space="preserve"> the transition probabilities between positive and negative correlation regimes, the model helps </w:t>
      </w:r>
      <w:r w:rsidR="005A20E6">
        <w:t>capture</w:t>
      </w:r>
      <w:r>
        <w:t xml:space="preserve"> the dynamic and asymmetric nature of market relationships, particularly under extreme conditions. </w:t>
      </w:r>
    </w:p>
    <w:p w14:paraId="2B860DB7" w14:textId="77777777" w:rsidR="00D640F1" w:rsidRDefault="00000000" w:rsidP="005274E2">
      <w:pPr>
        <w:pStyle w:val="Heading3"/>
        <w:jc w:val="both"/>
      </w:pPr>
      <w:r>
        <w:t>2.2.3 Granger Causality Test</w:t>
      </w:r>
    </w:p>
    <w:p w14:paraId="50C8EC23" w14:textId="0A76FE8B" w:rsidR="00D640F1" w:rsidRDefault="00000000" w:rsidP="005274E2">
      <w:pPr>
        <w:spacing w:after="240"/>
        <w:jc w:val="both"/>
      </w:pPr>
      <w:r>
        <w:t>The time-varying Granger causality test is another way to analyze how commodities impact each other's returns and volatility over different time periods.</w:t>
      </w:r>
      <w:r w:rsidR="00131C4A">
        <w:t xml:space="preserve"> Similar to the Copula models, </w:t>
      </w:r>
      <w:r w:rsidR="008B0301">
        <w:t xml:space="preserve">the </w:t>
      </w:r>
      <w:r w:rsidR="00131C4A">
        <w:t xml:space="preserve">Granger causality test is also not efficient at dealing with volatility. </w:t>
      </w:r>
      <w:r>
        <w:t xml:space="preserve">To identify the time-varying causal relationships, </w:t>
      </w:r>
      <w:r w:rsidR="00B0055A">
        <w:fldChar w:fldCharType="begin"/>
      </w:r>
      <w:r w:rsidR="00B0055A">
        <w:instrText xml:space="preserve"> ADDIN ZOTERO_ITEM CSL_CITATION {"citationID":"iKIydeXk","properties":{"custom":"Mohamad and Fromentin (2023)","formattedCitation":"Mohamad and Fromentin (2023)","plainCitation":"Mohamad and Fromentin (2023)","noteIndex":0},"citationItems":[{"id":164,"uris":["http://zotero.org/users/13925666/items/557A2M52"],"itemData":{"id":164,"type":"article-journal","abstract":"This paper examines herd behaviour, causality dynamics and dynamic relationships among energy commodities, namely WTI, Brent, gasoline and natural gas, and ethical energy investment indices (S&amp;P Global clean energy, WilderHill clean energy and NASDAQ clean edge green energy) in different phases of the COVID-19 pandemic. Our dataset spans four and a half years of daily data, from August 2018 to February 2023. Unintentional herding behaviour is observed in about 20% between energy commodities and between 10 and 15% between ethical investment indices, and is spread across different phases of the pandemic. WTI is the largest source of time-varying Granger causality to other energy commodities and ethical investment indices at the beginning of the pandemic and remains so after the pandemic. Finally, our wavelet coherence analysis shows that natural gas is decoupled from crude oil and gasoline markets and is not affected by the pandemic.","container-title":"Energy Economics","DOI":"10.1016/j.eneco.2023.107001","ISSN":"0140-9883","journalAbbreviation":"Energy Economics","page":"107001","source":"ScienceDirect","title":"Herd and causality dynamics between energy commodities and ethical investment: Evidence from the different phases of the COVID-19 pandemic","title-short":"Herd and causality dynamics between energy commodities and ethical investment","volume":"126","author":[{"family":"Mohamad","given":"Azhar"},{"family":"Fromentin","given":"Vincent"}],"issued":{"date-parts":[["2023",10,1]]}}}],"schema":"https://github.com/citation-style-language/schema/raw/master/csl-citation.json"} </w:instrText>
      </w:r>
      <w:r w:rsidR="00B0055A">
        <w:fldChar w:fldCharType="separate"/>
      </w:r>
      <w:r w:rsidR="00B0055A" w:rsidRPr="00B0055A">
        <w:t>Mohamad and Fromentin (2023)</w:t>
      </w:r>
      <w:r w:rsidR="00B0055A">
        <w:fldChar w:fldCharType="end"/>
      </w:r>
      <w:r>
        <w:t xml:space="preserve"> apply the time-varying Granger causality methods to energy commodities and ethical investment indices. Additionally, in order to find the instability in causal relationships, forward expanding, rolling, and recursive evolving </w:t>
      </w:r>
      <w:r w:rsidR="00C118F4">
        <w:t>methods</w:t>
      </w:r>
      <w:r>
        <w:t xml:space="preserve"> are also employed to incorporate the recursive estimation of Wald statistics from the Vector Autoregressive model, which helps in detecting changes in the intensity and direction of causality over time. Similarly, </w:t>
      </w:r>
      <w:r w:rsidR="00B0055A">
        <w:fldChar w:fldCharType="begin"/>
      </w:r>
      <w:r w:rsidR="00797B55">
        <w:instrText xml:space="preserve"> ADDIN ZOTERO_ITEM CSL_CITATION {"citationID":"qbldfZGG","properties":{"formattedCitation":"(Shahzad et al., 2021)","plainCitation":"(Shahzad et al., 2021)","dontUpdate":true,"noteIndex":0},"citationItems":[{"id":"8uaVsHOq/YoK4ZaBU","uris":["http://zotero.org/users/13925666/items/T4H4YYCX"],"itemData":{"id":"uTOIEUZq/HBgEq9R0","type":"article-journal","container-title":"Resources Policy","DOI":"10.1016/j.resourpol.2021.102298","ISSN":"0301-4207","journalAbbreviation":"Resources Policy","page":"102298","source":"ScienceDirect","title":"Energy, agriculture, and precious metals: Evidence from time-varying Granger causal relationships for both return and volatility","title-short":"Energy, agriculture, and precious metals","volume":"74","author":[{"family":"Shahzad","given":"Farrukh"},{"family":"Bouri","given":"Elie"},{"family":"Mokni","given":"Khaled"},{"family":"Ajmi","given":"Ahdi Noomen"}],"issued":{"date-parts":[["2021",12,1]]}}}],"schema":"https://github.com/citation-style-language/schema/raw/master/csl-citation.json"} </w:instrText>
      </w:r>
      <w:r w:rsidR="00B0055A">
        <w:fldChar w:fldCharType="separate"/>
      </w:r>
      <w:r w:rsidR="00B0055A" w:rsidRPr="00B0055A">
        <w:t xml:space="preserve">Shahzad et al. </w:t>
      </w:r>
      <w:r w:rsidR="00DE5ED0">
        <w:t>(</w:t>
      </w:r>
      <w:r w:rsidR="00B0055A" w:rsidRPr="00B0055A">
        <w:t>2021)</w:t>
      </w:r>
      <w:r w:rsidR="00B0055A">
        <w:fldChar w:fldCharType="end"/>
      </w:r>
      <w:r>
        <w:t xml:space="preserve"> observe significant fluctuations in causal relationships as time changes and those variations are not always in line with stress time periods. Based on the basic Granger causality model, Meta-Granger addresses the heterogeneity by considering commodity type, sample period, and control variables </w:t>
      </w:r>
      <w:r w:rsidR="00B0055A">
        <w:fldChar w:fldCharType="begin"/>
      </w:r>
      <w:r w:rsidR="00B0055A">
        <w:instrText xml:space="preserve"> ADDIN ZOTERO_ITEM CSL_CITATION {"citationID":"chXNCNN6","properties":{"formattedCitation":"(Wimmer et al., 2021)","plainCitation":"(Wimmer et al., 2021)","noteIndex":0},"citationItems":[{"id":82,"uris":["http://zotero.org/users/13925666/items/DTT4DXF7"],"itemData":{"id":82,"type":"article-journal","abstract":"This paper uses Meta-Granger analysis to explain and summarize the mixed results in the literature on the impact of financial speculation on commodity prices. The sample covers 2106 manually collected p-values from Granger causality (GC) tests reported in 54 prior studies. Our results show that the heterogeneity in previous findings can be largely explained by the commodity type under examination, the sample period of the data, the measurement of the focus variables (return, volatility, or spread), and the inclusion of control variables in the GC model. Even after accounting for 23 observable differences in study and test design, our results indicate that studies published in higher ranked journals present significantly less evidence for speculation to drive commodity prices. Moreover, we use the Meta-Granger results to predict ‘best choice’ models considering preferred model setups. The results reveal that the hypothesis of Granger non-causality between speculation and commodity prices cannot be rejected at standard significance levels when assuming a best choice study design and various variations of it. We conclude that either there is no genuine overall speculation effect in agricultural, energy and metal markets, or the research design of the frequently applied GC testing is not powerful enough to detect those effects.","container-title":"Journal of Commodity Markets","DOI":"10.1016/j.jcomm.2020.100148","ISSN":"2405-8513","journalAbbreviation":"Journal of Commodity Markets","page":"100148","source":"ScienceDirect","title":"The impact of speculation on commodity prices: A Meta-Granger analysis","title-short":"The impact of speculation on commodity prices","volume":"22","author":[{"family":"Wimmer","given":"Thomas"},{"family":"Geyer-Klingeberg","given":"Jerome"},{"family":"Hütter","given":"Marie"},{"family":"Schmid","given":"Florian"},{"family":"Rathgeber","given":"Andreas"}],"issued":{"date-parts":[["2021",6,1]]}}}],"schema":"https://github.com/citation-style-language/schema/raw/master/csl-citation.json"} </w:instrText>
      </w:r>
      <w:r w:rsidR="00B0055A">
        <w:fldChar w:fldCharType="separate"/>
      </w:r>
      <w:r w:rsidR="00B0055A" w:rsidRPr="00B0055A">
        <w:t>(Wimmer et al., 2021)</w:t>
      </w:r>
      <w:r w:rsidR="00B0055A">
        <w:fldChar w:fldCharType="end"/>
      </w:r>
      <w:r>
        <w:t xml:space="preserve">. </w:t>
      </w:r>
      <w:r w:rsidR="005B138D">
        <w:t>Focusing</w:t>
      </w:r>
      <w:r>
        <w:t xml:space="preserve"> on the relationship between future and spot prices, </w:t>
      </w:r>
      <w:r w:rsidR="00B0055A">
        <w:fldChar w:fldCharType="begin"/>
      </w:r>
      <w:r w:rsidR="00797B55">
        <w:instrText xml:space="preserve"> ADDIN ZOTERO_ITEM CSL_CITATION {"citationID":"pZ01dLkt","properties":{"formattedCitation":"(Joseph et al., 2014)","plainCitation":"(Joseph et al., 2014)","dontUpdate":true,"noteIndex":0},"citationItems":[{"id":52,"uris":["http://zotero.org/users/13925666/items/PWGHR4NW"],"itemData":{"id":52,"type":"article-journal","abstract":"This paper examines the direction, strength and extent of causal relationship between futures and spot prices of Indian commodity markets using frequency domain approach of Breitung and Candelon (2006). Frequency domain analysis offers an effective alternative tool by examining the causality in frequency domain, whereas in traditional econometric causality analysis tools focus only on the time domain. Daily futures and spot price series on eight commodities from the Indian commodity exchanges (MCX and NCDEX) were examined for the period 3rd January, 2008 to 31st December, 2012. The results of frequency domain analysis suggest that there is a strong uni-directional relationship from futures to spot in almost all the selected commodities. This indicates that futures market has a powerful price discovery function in all the selected commodities; which in turn indicates the efficiency of Indian commodity futures market.","container-title":"Economic Modelling","DOI":"10.1016/j.econmod.2014.04.019","ISSN":"0264-9993","journalAbbreviation":"Economic Modelling","page":"250-258","source":"ScienceDirect","title":"A frequency domain causality investigation between futures and spot prices of Indian commodity markets","volume":"40","author":[{"family":"Joseph","given":"Anto"},{"family":"Sisodia","given":"Garima"},{"family":"Tiwari","given":"Aviral Kumar"}],"issued":{"date-parts":[["2014",6,1]]}}}],"schema":"https://github.com/citation-style-language/schema/raw/master/csl-citation.json"} </w:instrText>
      </w:r>
      <w:r w:rsidR="00B0055A">
        <w:fldChar w:fldCharType="separate"/>
      </w:r>
      <w:r w:rsidR="00B0055A" w:rsidRPr="00B0055A">
        <w:t xml:space="preserve">Joseph et al. </w:t>
      </w:r>
      <w:r w:rsidR="00180728">
        <w:t>(</w:t>
      </w:r>
      <w:r w:rsidR="00B0055A" w:rsidRPr="00B0055A">
        <w:t>2014)</w:t>
      </w:r>
      <w:r w:rsidR="00B0055A">
        <w:fldChar w:fldCharType="end"/>
      </w:r>
      <w:r>
        <w:t xml:space="preserve"> study the bi-directional causalities between futures and spot prices of </w:t>
      </w:r>
      <w:r w:rsidR="007D119D">
        <w:t>g</w:t>
      </w:r>
      <w:r>
        <w:t xml:space="preserve">old, </w:t>
      </w:r>
      <w:r w:rsidR="007D119D">
        <w:t>s</w:t>
      </w:r>
      <w:r>
        <w:t xml:space="preserve">ilver, and </w:t>
      </w:r>
      <w:r w:rsidR="007D119D">
        <w:t>c</w:t>
      </w:r>
      <w:r>
        <w:t xml:space="preserve">rude </w:t>
      </w:r>
      <w:r w:rsidR="007D119D">
        <w:t>o</w:t>
      </w:r>
      <w:r>
        <w:t>il commodities. They use the frequency domain analysis to decompose the causality across different frequencies to capture the dynamics of causality over short, medium, and long-term periods.</w:t>
      </w:r>
    </w:p>
    <w:p w14:paraId="4717DF91" w14:textId="77777777" w:rsidR="00D640F1" w:rsidRDefault="00000000" w:rsidP="005274E2">
      <w:pPr>
        <w:pStyle w:val="Heading3"/>
        <w:jc w:val="both"/>
      </w:pPr>
      <w:r>
        <w:t>2.2.4 Quantile Methods</w:t>
      </w:r>
    </w:p>
    <w:p w14:paraId="79E8AA3E" w14:textId="044CA801" w:rsidR="00D640F1" w:rsidRDefault="00000000" w:rsidP="005274E2">
      <w:pPr>
        <w:spacing w:after="240"/>
        <w:jc w:val="both"/>
      </w:pPr>
      <w:r>
        <w:t>Various quantile methods are available for assessing interconnectedness.</w:t>
      </w:r>
      <w:r w:rsidR="005A609D" w:rsidRPr="005A609D">
        <w:t xml:space="preserve"> </w:t>
      </w:r>
      <w:r w:rsidR="005A609D">
        <w:t>While the quantile method</w:t>
      </w:r>
      <w:r w:rsidR="000E5E51">
        <w:t>s</w:t>
      </w:r>
      <w:r w:rsidR="005A609D">
        <w:t xml:space="preserve"> </w:t>
      </w:r>
      <w:r w:rsidR="00326C1A">
        <w:t xml:space="preserve">can </w:t>
      </w:r>
      <w:r w:rsidR="00326C1A" w:rsidRPr="00326C1A">
        <w:t>capture nonlinearity in dependence between variables</w:t>
      </w:r>
      <w:r w:rsidR="00745219">
        <w:t xml:space="preserve"> </w:t>
      </w:r>
      <w:r w:rsidR="00FD7676">
        <w:fldChar w:fldCharType="begin"/>
      </w:r>
      <w:r w:rsidR="00FD7676">
        <w:instrText xml:space="preserve"> ADDIN ZOTERO_ITEM CSL_CITATION {"citationID":"8Fc4Buta","properties":{"formattedCitation":"(Shafiullah et al., 2021)","plainCitation":"(Shafiullah et al., 2021)","noteIndex":0},"citationItems":[{"id":56,"uris":["http://zotero.org/users/13925666/items/HF67UCZS"],"itemData":{"id":56,"type":"article-journal","abstract":"This paper examines long-run dependence and causality between oil and precious metal (gold, silver, platinum, palladium, steel, and titanium) prices across quantiles by exploiting their time series properties with the help of novel econometric techniques. The empirical results for the period 1990–2019 indicate that oil and metal prices are nonstationary across different quantiles and that cointegration patterns differ widely across quantiles. Causality running from oil to metal prices is quantile-dependent and differs according to the metal, whereas upward and downward movements in metal prices have no causal effect on oil prices. These results have implications for investors and policymakers in terms of portfolio and risk management decisions.","container-title":"International Journal of Finance &amp; Economics","DOI":"10.1002/ijfe.2119","ISSN":"1099-1158","issue":"4","language":"en","license":"© 2020 The Authors. International Journal of Finance &amp; Economics published by John Wiley &amp; Sons Ltd.","note":"_eprint: https://onlinelibrary.wiley.com/doi/pdf/10.1002/ijfe.2119","page":"6264-6280","source":"Wiley Online Library","title":"Quantile causality and dependence between crude oil and precious metal prices","volume":"26","author":[{"family":"Shafiullah","given":"Muhammad"},{"family":"Chaudhry","given":"Sajid M."},{"family":"Shahbaz","given":"Muhammad"},{"family":"Reboredo","given":"Juan C."}],"issued":{"date-parts":[["2021"]]}}}],"schema":"https://github.com/citation-style-language/schema/raw/master/csl-citation.json"} </w:instrText>
      </w:r>
      <w:r w:rsidR="00FD7676">
        <w:fldChar w:fldCharType="separate"/>
      </w:r>
      <w:r w:rsidR="00FD7676" w:rsidRPr="00FD7676">
        <w:t>(Shafiullah et al., 2021)</w:t>
      </w:r>
      <w:r w:rsidR="00FD7676">
        <w:fldChar w:fldCharType="end"/>
      </w:r>
      <w:r w:rsidR="005A609D">
        <w:t>, it</w:t>
      </w:r>
      <w:r w:rsidR="00576CCC">
        <w:t xml:space="preserve"> does not</w:t>
      </w:r>
      <w:r w:rsidR="005A609D" w:rsidRPr="005A609D">
        <w:t xml:space="preserve"> address the time-varying nature of volatility</w:t>
      </w:r>
      <w:r w:rsidR="00A92AB4">
        <w:t>.</w:t>
      </w:r>
      <w:r>
        <w:t xml:space="preserve"> In order to examine the directional influence between crude oil and precious metal prices across different quantiles, </w:t>
      </w:r>
      <w:r w:rsidR="00B0055A">
        <w:fldChar w:fldCharType="begin"/>
      </w:r>
      <w:r w:rsidR="00B0055A">
        <w:instrText xml:space="preserve"> ADDIN ZOTERO_ITEM CSL_CITATION {"citationID":"dSsC4XIV","properties":{"custom":"Shafiullah et al. (2021)","formattedCitation":"Shafiullah et al. (2021)","plainCitation":"Shafiullah et al. (2021)","noteIndex":0},"citationItems":[{"id":56,"uris":["http://zotero.org/users/13925666/items/HF67UCZS"],"itemData":{"id":56,"type":"article-journal","abstract":"This paper examines long-run dependence and causality between oil and precious metal (gold, silver, platinum, palladium, steel, and titanium) prices across quantiles by exploiting their time series properties with the help of novel econometric techniques. The empirical results for the period 1990–2019 indicate that oil and metal prices are nonstationary across different quantiles and that cointegration patterns differ widely across quantiles. Causality running from oil to metal prices is quantile-dependent and differs according to the metal, whereas upward and downward movements in metal prices have no causal effect on oil prices. These results have implications for investors and policymakers in terms of portfolio and risk management decisions.","container-title":"International Journal of Finance &amp; Economics","DOI":"10.1002/ijfe.2119","ISSN":"1099-1158","issue":"4","language":"en","license":"© 2020 The Authors. International Journal of Finance &amp; Economics published by John Wiley &amp; Sons Ltd.","note":"_eprint: https://onlinelibrary.wiley.com/doi/pdf/10.1002/ijfe.2119","page":"6264-6280","source":"Wiley Online Library","title":"Quantile causality and dependence between crude oil and precious metal prices","volume":"26","author":[{"family":"Shafiullah","given":"Muhammad"},{"family":"Chaudhry","given":"Sajid M."},{"family":"Shahbaz","given":"Muhammad"},{"family":"Reboredo","given":"Juan C."}],"issued":{"date-parts":[["2021"]]}}}],"schema":"https://github.com/citation-style-language/schema/raw/master/csl-citation.json"} </w:instrText>
      </w:r>
      <w:r w:rsidR="00B0055A">
        <w:fldChar w:fldCharType="separate"/>
      </w:r>
      <w:r w:rsidR="00B0055A" w:rsidRPr="00B0055A">
        <w:t>Shafiullah et al. (2021)</w:t>
      </w:r>
      <w:r w:rsidR="00B0055A">
        <w:fldChar w:fldCharType="end"/>
      </w:r>
      <w:r>
        <w:t xml:space="preserve"> combines the Granger </w:t>
      </w:r>
      <w:r w:rsidR="00144504">
        <w:t>causality</w:t>
      </w:r>
      <w:r>
        <w:t xml:space="preserve"> with </w:t>
      </w:r>
      <w:r w:rsidR="00144504">
        <w:t xml:space="preserve">the </w:t>
      </w:r>
      <w:r>
        <w:t xml:space="preserve">quantile method. The </w:t>
      </w:r>
      <w:r w:rsidR="00144504">
        <w:t>researchers</w:t>
      </w:r>
      <w:r>
        <w:t xml:space="preserve"> first test for unit roots using the quantile unit root test as introduced by </w:t>
      </w:r>
      <w:r w:rsidR="00B0055A">
        <w:fldChar w:fldCharType="begin"/>
      </w:r>
      <w:r w:rsidR="00B0055A">
        <w:instrText xml:space="preserve"> ADDIN ZOTERO_ITEM CSL_CITATION {"citationID":"VqYCY8wa","properties":{"custom":"Galvao (2009)","formattedCitation":"Galvao (2009)","plainCitation":"Galvao (2009)","noteIndex":0},"citationItems":[{"id":87,"uris":["http://zotero.org/users/13925666/items/XQYQ2KFB"],"itemData":{"id":87,"type":"article-journal","abstract":"This paper extends unit root tests based on quantile regression proposed by Koenker and Xiao [Koenker, R., Xiao, Z., 2004. Unit root quantile autoregression inference, Journal of the American Statistical Association 99, 775–787] to allow stationary covariates and a linear time trend. The limiting distribution of the test is a convex combination of Dickey–Fuller and standard normal distributions, with weight determined by the correlation between the equation error and the regression covariates. A simulation experiment is described, illustrating the finite sample performance of the unit root test for several types of distributions. The test based on quantile autoregression turns out to be especially advantageous when innovations are heavy-tailed. An application to the CPI-based real exchange rates using four different countries suggests that real exchange rates are not constant unit root processes.","collection-title":"Nonparametric and Robust Methods in Econometrics","container-title":"Journal of Econometrics","DOI":"10.1016/j.jeconom.2009.01.007","ISSN":"0304-4076","issue":"2","journalAbbreviation":"Journal of Econometrics","page":"165-178","source":"ScienceDirect","title":"Unit root quantile autoregression testing using covariates","volume":"152","author":[{"family":"Galvao","given":"Antonio F."}],"issued":{"date-parts":[["2009",10,1]]}}}],"schema":"https://github.com/citation-style-language/schema/raw/master/csl-citation.json"} </w:instrText>
      </w:r>
      <w:r w:rsidR="00B0055A">
        <w:fldChar w:fldCharType="separate"/>
      </w:r>
      <w:r w:rsidR="00B0055A" w:rsidRPr="00B0055A">
        <w:t>Galvao (2009)</w:t>
      </w:r>
      <w:r w:rsidR="00B0055A">
        <w:fldChar w:fldCharType="end"/>
      </w:r>
      <w:r>
        <w:t xml:space="preserve">, and then use the </w:t>
      </w:r>
      <w:r w:rsidR="00B0055A">
        <w:fldChar w:fldCharType="begin"/>
      </w:r>
      <w:r w:rsidR="00FD7676">
        <w:instrText xml:space="preserve"> ADDIN ZOTERO_ITEM CSL_CITATION {"citationID":"C6Em3wln","properties":{"formattedCitation":"(Kuriyama, 2016)","plainCitation":"(Kuriyama, 2016)","dontUpdate":true,"noteIndex":0},"citationItems":[{"id":92,"uris":["http://zotero.org/users/13925666/items/AJALC9NV"],"itemData":{"id":92,"type":"article-journal","abstract":"Abstract\n            This paper proposes a cumulated sum (CUSUM) test for the null hypothesis of quantile cointegration. A fully modified quantile estimator is adopted for serial correlation and endogeneity corrections. The CUSUM statistic is composed of the partial sums of the residuals from the fully modified quantile regression. Under the null, the test statistic converges to a functional of Brownian motions. In the application to US interest rates of different maturities, evidence in favor of the expectations hypothesis for the term structure is found in the central part of the distributions of the Treasury bill rate and financial commercial paper rate, but in the tails of the constant maturity rate distribution.","container-title":"Studies in Nonlinear Dynamics &amp; Econometrics","DOI":"10.1515/snde-2013-0107","ISSN":"1558-3708, 1081-1826","issue":"2","language":"en","page":"107-121","source":"DOI.org (Crossref)","title":"Testing cointegration in quantile regressions with an application to the term structure of interest rates","volume":"20","author":[{"family":"Kuriyama","given":"Nina"}],"issued":{"date-parts":[["2016",4,1]]}}}],"schema":"https://github.com/citation-style-language/schema/raw/master/csl-citation.json"} </w:instrText>
      </w:r>
      <w:r w:rsidR="00B0055A">
        <w:fldChar w:fldCharType="separate"/>
      </w:r>
      <w:r w:rsidR="00B0055A" w:rsidRPr="00B0055A">
        <w:t xml:space="preserve">Kuriyama </w:t>
      </w:r>
      <w:r w:rsidR="00BA41C7">
        <w:t>(</w:t>
      </w:r>
      <w:r w:rsidR="00B0055A" w:rsidRPr="00B0055A">
        <w:t>2016)</w:t>
      </w:r>
      <w:r w:rsidR="00B0055A">
        <w:fldChar w:fldCharType="end"/>
      </w:r>
      <w:r>
        <w:t xml:space="preserve"> test to analyze the distributional aspects of quantile cointegration. Finally, they apply the </w:t>
      </w:r>
      <w:r w:rsidR="00B0055A">
        <w:fldChar w:fldCharType="begin"/>
      </w:r>
      <w:r w:rsidR="00B0055A">
        <w:instrText xml:space="preserve"> ADDIN ZOTERO_ITEM CSL_CITATION {"citationID":"XfrLcplw","properties":{"custom":"Troster (2018)","formattedCitation":"Troster (2018)","plainCitation":"Troster (2018)","noteIndex":0},"citationItems":[{"id":85,"uris":["http://zotero.org/users/13925666/items/WXW5F66H"],"itemData":{"id":85,"type":"article-journal","abstract":"This paper proposes a consistent parametric test of Granger-causality in quantiles. Although the concept of Granger-causality is defined in terms of the conditional distribution, most articles have tested Granger-causality using conditional mean regression models in which the causal relations are linear. Rather than focusing on a single part of the conditional distribution, we develop a test that evaluates nonlinear causalities and possible causal relations in all conditional quantiles, which provides a sufficient condition for Granger-causality when all quantiles are considered. The proposed test statistic has correct asymptotic size, is consistent against fixed alternatives, and has power against Pitman deviations from the null hypothesis. As the proposed test statistic is asymptotically nonpivotal, we tabulate critical values via a subsampling approach. We present Monte Carlo evidence and an application considering the causal relation between the gold price, the USD/GBP exchange rate, and the oil price.","container-title":"Econometric Reviews","DOI":"10.1080/07474938.2016.1172400","ISSN":"0747-4938","issue":"8","note":"publisher: Taylor &amp; Francis\n_eprint: https://doi.org/10.1080/07474938.2016.1172400","page":"850–866","source":"Taylor and Francis+NEJM","title":"Testing for Granger-causality in quantiles","volume":"37","author":[{"family":"Troster","given":"Victor"}],"issued":{"date-parts":[["2018",9,14]]}}}],"schema":"https://github.com/citation-style-language/schema/raw/master/csl-citation.json"} </w:instrText>
      </w:r>
      <w:r w:rsidR="00B0055A">
        <w:fldChar w:fldCharType="separate"/>
      </w:r>
      <w:r w:rsidR="00B0055A" w:rsidRPr="00B0055A">
        <w:t>Troster (2018)</w:t>
      </w:r>
      <w:r w:rsidR="00B0055A">
        <w:fldChar w:fldCharType="end"/>
      </w:r>
      <w:r>
        <w:t xml:space="preserve"> method to examine Granger causality in quantiles. These series of qu</w:t>
      </w:r>
      <w:r w:rsidR="00CA2CA7">
        <w:t>a</w:t>
      </w:r>
      <w:r>
        <w:t>ntiles are helpful for enhancing robustness against outliers, nonlinearities, and distributional dynamics. Also, a widely used quantile method is</w:t>
      </w:r>
      <w:r w:rsidR="001C678C">
        <w:t xml:space="preserve"> the</w:t>
      </w:r>
      <w:r>
        <w:t xml:space="preserve"> quantile-on-quantile regression, which is useful for estimating correlation in divergent return quantiles </w:t>
      </w:r>
      <w:r w:rsidR="00B0055A">
        <w:fldChar w:fldCharType="begin"/>
      </w:r>
      <w:r w:rsidR="00B0055A">
        <w:instrText xml:space="preserve"> ADDIN ZOTERO_ITEM CSL_CITATION {"citationID":"lWtE6sEI","properties":{"formattedCitation":"(Duan et al., 2023; Naeem et al., 2022)","plainCitation":"(Duan et al., 2023; Naeem et al., 2022)","noteIndex":0},"citationItems":[{"id":94,"uris":["http://zotero.org/users/13925666/items/FTQMWD4S"],"itemData":{"id":94,"type":"article-journal","abstract":"This paper investigates the evolution of the information transmission between Chinese and international crude oil markets from the perspective of return and volatility spillovers through a quantile-based framework. Using a causality-in-quantiles test, we find the asymmetric and nonlinear transmission featured by uni-directional spillovers from international WTI to China’s Shanghai oil markets in different conditions of the two markets, but not the other way around. Moreover, the degree of the information transmission is estimated using a Quantile-on-Quantile approach. Through this, marginal impacts of return and volatility of the WTI oil benchmark on that of the Shanghai oil market in a full-distributional environment are respectively gauged. We find that both return and volatility spillovers demonstrate an overall positive and heightening intensity with increases in the corresponding quantiles of the Shanghai oil market. The spillovers would be weakened by extreme events in the China domestic market, suggesting an important role of internal innovations in governing the Chinese and international oil market relationship. Overall, our results do not support the ‘one great pool’ hypothesis in the global oil market, and possess important implications. A battery of robustness checks reassures our findings.","container-title":"Journal of Commodity Markets","DOI":"10.1016/j.jcomm.2022.100304","ISSN":"2405-8513","journalAbbreviation":"Journal of Commodity Markets","page":"100304","source":"ScienceDirect","title":"Evolution of the information transmission between Chinese and international oil markets: A quantile-based framework","title-short":"Evolution of the information transmission between Chinese and international oil markets","volume":"29","author":[{"family":"Duan","given":"Kun"},{"family":"Ren","given":"Xiaohang"},{"family":"Wen","given":"Fenghua"},{"family":"Chen","given":"Jinyu"}],"issued":{"date-parts":[["2023",3,1]]}}},{"id":12,"uris":["http://zotero.org/users/13925666/items/AKUME8PT"],"itemData":{"id":12,"type":"article-journal","abstract":"This paper examines the safe-haven and hedging potential of oil and gold against industrial metals and agricultural commodities using a novel approach of quantile-on-quantile regression (QQR). For empirical analysis, we use the data on these commodities from January 2000 to December 2018, which further splits up into two sub-periods based on the global financial crisis (GFC). The results from the time-varying correlation of oil (gold) with metals and agriculture commodities suggest that oil (gold) has a lower correlation with metals and agriculture in the pre-GFC period than post-GFC. Further, the QQR model for two time periods (pre-GFC and post-GFC) was used to examine whether oil (gold) serves as a hedge (safe-haven) during the two periods. We conclude that oil was a safe-haven for metals and agricultural commodities pre-GFC but lost that ability post-GFC. Finally, we analyze the hedge ratio and hedge effectiveness pre- and post-GFC and confirm that oil had higher hedge effectiveness than gold during the pre-GFC period.","container-title":"Energy Economics","DOI":"10.1016/j.eneco.2021.105758","ISSN":"0140-9883","journalAbbreviation":"Energy Economics","page":"105758","source":"ScienceDirect","title":"Oil and gold as a hedge and safe-haven for metals and agricultural commodities with portfolio implications","volume":"105","author":[{"family":"Naeem","given":"Muhammad Abubakr"},{"family":"Hasan","given":"Mudassar"},{"family":"Arif","given":"Muhammad"},{"family":"Suleman","given":"Muhammad Tahir"},{"family":"Kang","given":"Sang Hoon"}],"issued":{"date-parts":[["2022",1,1]]}}}],"schema":"https://github.com/citation-style-language/schema/raw/master/csl-citation.json"} </w:instrText>
      </w:r>
      <w:r w:rsidR="00B0055A">
        <w:fldChar w:fldCharType="separate"/>
      </w:r>
      <w:r w:rsidR="00B0055A" w:rsidRPr="00B0055A">
        <w:t>(Duan et al., 2023; Naeem et al., 2022)</w:t>
      </w:r>
      <w:r w:rsidR="00B0055A">
        <w:fldChar w:fldCharType="end"/>
      </w:r>
      <w:r>
        <w:t xml:space="preserve">. </w:t>
      </w:r>
      <w:r w:rsidR="00BC5B2C">
        <w:fldChar w:fldCharType="begin"/>
      </w:r>
      <w:r w:rsidR="00FD7676">
        <w:instrText xml:space="preserve"> ADDIN ZOTERO_ITEM CSL_CITATION {"citationID":"NRnw70jo","properties":{"formattedCitation":"(Duan et al., 2023)","plainCitation":"(Duan et al., 2023)","dontUpdate":true,"noteIndex":0},"citationItems":[{"id":94,"uris":["http://zotero.org/users/13925666/items/FTQMWD4S"],"itemData":{"id":94,"type":"article-journal","abstract":"This paper investigates the evolution of the information transmission between Chinese and international crude oil markets from the perspective of return and volatility spillovers through a quantile-based framework. Using a causality-in-quantiles test, we find the asymmetric and nonlinear transmission featured by uni-directional spillovers from international WTI to China’s Shanghai oil markets in different conditions of the two markets, but not the other way around. Moreover, the degree of the information transmission is estimated using a Quantile-on-Quantile approach. Through this, marginal impacts of return and volatility of the WTI oil benchmark on that of the Shanghai oil market in a full-distributional environment are respectively gauged. We find that both return and volatility spillovers demonstrate an overall positive and heightening intensity with increases in the corresponding quantiles of the Shanghai oil market. The spillovers would be weakened by extreme events in the China domestic market, suggesting an important role of internal innovations in governing the Chinese and international oil market relationship. Overall, our results do not support the ‘one great pool’ hypothesis in the global oil market, and possess important implications. A battery of robustness checks reassures our findings.","container-title":"Journal of Commodity Markets","DOI":"10.1016/j.jcomm.2022.100304","ISSN":"2405-8513","journalAbbreviation":"Journal of Commodity Markets","page":"100304","source":"ScienceDirect","title":"Evolution of the information transmission between Chinese and international oil markets: A quantile-based framework","title-short":"Evolution of the information transmission between Chinese and international oil markets","volume":"29","author":[{"family":"Duan","given":"Kun"},{"family":"Ren","given":"Xiaohang"},{"family":"Wen","given":"Fenghua"},{"family":"Chen","given":"Jinyu"}],"issued":{"date-parts":[["2023",3,1]]}}}],"schema":"https://github.com/citation-style-language/schema/raw/master/csl-citation.json"} </w:instrText>
      </w:r>
      <w:r w:rsidR="00BC5B2C">
        <w:fldChar w:fldCharType="separate"/>
      </w:r>
      <w:r w:rsidR="00BC5B2C" w:rsidRPr="00BC5B2C">
        <w:t xml:space="preserve">Duan et al. </w:t>
      </w:r>
      <w:r w:rsidR="002D77A0">
        <w:t>(</w:t>
      </w:r>
      <w:r w:rsidR="00BC5B2C" w:rsidRPr="00BC5B2C">
        <w:t>2023)</w:t>
      </w:r>
      <w:r w:rsidR="00BC5B2C">
        <w:fldChar w:fldCharType="end"/>
      </w:r>
      <w:r w:rsidR="00BC5B2C">
        <w:t xml:space="preserve"> </w:t>
      </w:r>
      <w:r>
        <w:t>investigate the linkage between Shanghai crude oil futures prices and WTI crude oil futures prices. The researchers use non</w:t>
      </w:r>
      <w:r w:rsidR="00872173">
        <w:t>-</w:t>
      </w:r>
      <w:r>
        <w:t xml:space="preserve">parametric estimation to examine how the quantiles of independent variables affect the conditional quantiles of dependent variables. This quantile-on-quantile regression approach incorporates cross-validation to find a suitable bandwidth, which helps balance the errors and variance during the estimation and thus increases the robustness to capture dynamic patterns of information transmission between markets. Similar to them, </w:t>
      </w:r>
      <w:r w:rsidR="0092502A">
        <w:fldChar w:fldCharType="begin"/>
      </w:r>
      <w:r w:rsidR="00FD7676">
        <w:instrText xml:space="preserve"> ADDIN ZOTERO_ITEM CSL_CITATION {"citationID":"GKpBYOLJ","properties":{"formattedCitation":"(Naeem et al., 2022)","plainCitation":"(Naeem et al., 2022)","dontUpdate":true,"noteIndex":0},"citationItems":[{"id":12,"uris":["http://zotero.org/users/13925666/items/AKUME8PT"],"itemData":{"id":12,"type":"article-journal","abstract":"This paper examines the safe-haven and hedging potential of oil and gold against industrial metals and agricultural commodities using a novel approach of quantile-on-quantile regression (QQR). For empirical analysis, we use the data on these commodities from January 2000 to December 2018, which further splits up into two sub-periods based on the global financial crisis (GFC). The results from the time-varying correlation of oil (gold) with metals and agriculture commodities suggest that oil (gold) has a lower correlation with metals and agriculture in the pre-GFC period than post-GFC. Further, the QQR model for two time periods (pre-GFC and post-GFC) was used to examine whether oil (gold) serves as a hedge (safe-haven) during the two periods. We conclude that oil was a safe-haven for metals and agricultural commodities pre-GFC but lost that ability post-GFC. Finally, we analyze the hedge ratio and hedge effectiveness pre- and post-GFC and confirm that oil had higher hedge effectiveness than gold during the pre-GFC period.","container-title":"Energy Economics","DOI":"10.1016/j.eneco.2021.105758","ISSN":"0140-9883","journalAbbreviation":"Energy Economics","page":"105758","source":"ScienceDirect","title":"Oil and gold as a hedge and safe-haven for metals and agricultural commodities with portfolio implications","volume":"105","author":[{"family":"Naeem","given":"Muhammad Abubakr"},{"family":"Hasan","given":"Mudassar"},{"family":"Arif","given":"Muhammad"},{"family":"Suleman","given":"Muhammad Tahir"},{"family":"Kang","given":"Sang Hoon"}],"issued":{"date-parts":[["2022",1,1]]}}}],"schema":"https://github.com/citation-style-language/schema/raw/master/csl-citation.json"} </w:instrText>
      </w:r>
      <w:r w:rsidR="0092502A">
        <w:fldChar w:fldCharType="separate"/>
      </w:r>
      <w:r w:rsidR="0092502A" w:rsidRPr="0092502A">
        <w:t xml:space="preserve">Naeem et al. </w:t>
      </w:r>
      <w:r w:rsidR="0092502A">
        <w:t>(</w:t>
      </w:r>
      <w:r w:rsidR="0092502A" w:rsidRPr="0092502A">
        <w:t>2022)</w:t>
      </w:r>
      <w:r w:rsidR="0092502A">
        <w:fldChar w:fldCharType="end"/>
      </w:r>
      <w:r w:rsidR="00862981">
        <w:t xml:space="preserve"> </w:t>
      </w:r>
      <w:r>
        <w:t>employ a bivariate quantile-on-quantile regression model to analyze the relationship between oil and gold prices on industrial metals and agricultural commodities across different time periods. The model captures the relationship during bearish, normal, and bullish market phases, representing lower, median, and higher quantiles</w:t>
      </w:r>
      <w:r w:rsidR="00F87484">
        <w:t>,</w:t>
      </w:r>
      <w:r>
        <w:t xml:space="preserve"> respectively.</w:t>
      </w:r>
    </w:p>
    <w:p w14:paraId="6EE95778" w14:textId="62AC7694" w:rsidR="00D73485" w:rsidRDefault="00D73485" w:rsidP="005274E2">
      <w:pPr>
        <w:pStyle w:val="Heading3"/>
      </w:pPr>
      <w:r>
        <w:t>2.2.</w:t>
      </w:r>
      <w:r w:rsidR="002159C6">
        <w:t>5</w:t>
      </w:r>
      <w:r>
        <w:t xml:space="preserve"> </w:t>
      </w:r>
      <w:r w:rsidR="009F002B">
        <w:t>Empirical</w:t>
      </w:r>
      <w:r w:rsidR="008B3262">
        <w:t xml:space="preserve"> </w:t>
      </w:r>
      <w:r>
        <w:t xml:space="preserve">Model </w:t>
      </w:r>
      <w:r w:rsidR="00602DA4">
        <w:t>Summary and</w:t>
      </w:r>
      <w:r w:rsidR="00A73414">
        <w:t xml:space="preserve"> </w:t>
      </w:r>
      <w:r w:rsidR="001B2396">
        <w:t>Choice</w:t>
      </w:r>
    </w:p>
    <w:p w14:paraId="3AEC4BEC" w14:textId="7D08870B" w:rsidR="00212FE5" w:rsidRDefault="005D70E3" w:rsidP="005274E2">
      <w:pPr>
        <w:spacing w:after="240"/>
        <w:jc w:val="both"/>
      </w:pPr>
      <w:r>
        <w:t xml:space="preserve">For the models </w:t>
      </w:r>
      <w:r w:rsidR="00B31EED">
        <w:t>studying</w:t>
      </w:r>
      <w:r>
        <w:t xml:space="preserve"> the dependence structure</w:t>
      </w:r>
      <w:r w:rsidR="00AE2101">
        <w:t xml:space="preserve"> among different </w:t>
      </w:r>
      <w:r w:rsidR="00F11B07">
        <w:t>variables</w:t>
      </w:r>
      <w:r w:rsidR="00AE2101">
        <w:t xml:space="preserve">, they have different </w:t>
      </w:r>
      <w:r w:rsidR="00F11B07">
        <w:t>benefits</w:t>
      </w:r>
      <w:r w:rsidR="00AE2101">
        <w:t xml:space="preserve"> and </w:t>
      </w:r>
      <w:r w:rsidR="002606E2">
        <w:t>limits</w:t>
      </w:r>
      <w:r>
        <w:t xml:space="preserve">. </w:t>
      </w:r>
      <w:r w:rsidR="005201D4">
        <w:t xml:space="preserve">The </w:t>
      </w:r>
      <w:r w:rsidR="00CF60D4">
        <w:t xml:space="preserve">GARCH models </w:t>
      </w:r>
      <w:r w:rsidR="002B1463">
        <w:t xml:space="preserve">can </w:t>
      </w:r>
      <w:r w:rsidR="005E75BE" w:rsidRPr="005E75BE">
        <w:t>model and forecast the volatility of time</w:t>
      </w:r>
      <w:r w:rsidR="006F4B72">
        <w:t>-varying</w:t>
      </w:r>
      <w:r w:rsidR="005E75BE" w:rsidRPr="005E75BE">
        <w:t xml:space="preserve"> data</w:t>
      </w:r>
      <w:r w:rsidR="00E02604">
        <w:t xml:space="preserve">, and </w:t>
      </w:r>
      <w:r w:rsidR="00591B53">
        <w:t>n</w:t>
      </w:r>
      <w:r w:rsidR="00591B53" w:rsidRPr="00591B53">
        <w:t>umerous empirical studies have demonstrated the effectiveness of GARCH models</w:t>
      </w:r>
      <w:r w:rsidR="004B2F8A">
        <w:t xml:space="preserve"> for modeling the </w:t>
      </w:r>
      <w:r w:rsidR="00A96647">
        <w:t>dependence</w:t>
      </w:r>
      <w:r w:rsidR="004B2F8A">
        <w:t xml:space="preserve"> structure. </w:t>
      </w:r>
      <w:r w:rsidR="005201D4">
        <w:t xml:space="preserve">The Copula </w:t>
      </w:r>
      <w:r w:rsidR="006E24C9">
        <w:t>models</w:t>
      </w:r>
      <w:r w:rsidR="005201D4">
        <w:t xml:space="preserve"> </w:t>
      </w:r>
      <w:r w:rsidR="006E24C9">
        <w:t>are</w:t>
      </w:r>
      <w:r w:rsidR="005201D4">
        <w:t xml:space="preserve"> also good at </w:t>
      </w:r>
      <w:r w:rsidR="002474BE">
        <w:t>modeling different types of dependencies</w:t>
      </w:r>
      <w:r w:rsidR="004E035D">
        <w:t>,</w:t>
      </w:r>
      <w:r w:rsidR="00F6368F" w:rsidRPr="00F6368F">
        <w:t xml:space="preserve"> especially non-linear dependencies and tail dependence</w:t>
      </w:r>
      <w:r w:rsidR="00F6368F">
        <w:t>,</w:t>
      </w:r>
      <w:r w:rsidR="006E24C9">
        <w:t xml:space="preserve"> but </w:t>
      </w:r>
      <w:r w:rsidR="0087164B">
        <w:t>they are</w:t>
      </w:r>
      <w:r w:rsidR="0027254B">
        <w:t xml:space="preserve"> not </w:t>
      </w:r>
      <w:r w:rsidR="00F525FB">
        <w:t>designed</w:t>
      </w:r>
      <w:r w:rsidR="0027254B">
        <w:t xml:space="preserve"> for </w:t>
      </w:r>
      <w:r w:rsidR="00F525FB">
        <w:t>modeling</w:t>
      </w:r>
      <w:r w:rsidR="0027254B">
        <w:t xml:space="preserve"> volatility and </w:t>
      </w:r>
      <w:r w:rsidR="00F525FB">
        <w:t xml:space="preserve">can not be </w:t>
      </w:r>
      <w:r w:rsidR="0027254B">
        <w:t>used for forecasting purposes</w:t>
      </w:r>
      <w:r w:rsidR="008C30B3">
        <w:t>.</w:t>
      </w:r>
      <w:r w:rsidR="006E24C9">
        <w:t xml:space="preserve"> </w:t>
      </w:r>
      <w:r w:rsidR="00B5615A">
        <w:t xml:space="preserve">Similarly, </w:t>
      </w:r>
      <w:r w:rsidR="009220E9">
        <w:t xml:space="preserve">while </w:t>
      </w:r>
      <w:r w:rsidR="00B5615A">
        <w:t xml:space="preserve">the Granger </w:t>
      </w:r>
      <w:r w:rsidR="00047F2A">
        <w:t>causality test</w:t>
      </w:r>
      <w:r w:rsidR="00B5615A">
        <w:t xml:space="preserve"> and quantile method</w:t>
      </w:r>
      <w:r w:rsidR="00C81F26">
        <w:t>s</w:t>
      </w:r>
      <w:r w:rsidR="00B5615A">
        <w:t xml:space="preserve"> </w:t>
      </w:r>
      <w:r w:rsidR="007A39D8">
        <w:t xml:space="preserve">can </w:t>
      </w:r>
      <w:r w:rsidR="00FB7547">
        <w:t xml:space="preserve">model the time-varying </w:t>
      </w:r>
      <w:r w:rsidR="00047F2A">
        <w:t>dependence</w:t>
      </w:r>
      <w:r w:rsidR="00FB7547">
        <w:t xml:space="preserve">, the </w:t>
      </w:r>
      <w:r w:rsidR="006462E4">
        <w:t>volatility</w:t>
      </w:r>
      <w:r w:rsidR="00FB7547">
        <w:t xml:space="preserve"> pattern can not be </w:t>
      </w:r>
      <w:r w:rsidR="006462E4">
        <w:t>captured</w:t>
      </w:r>
      <w:r w:rsidR="00FB7547">
        <w:t xml:space="preserve"> by these two models</w:t>
      </w:r>
      <w:r w:rsidR="004B4C54">
        <w:t>.</w:t>
      </w:r>
      <w:r w:rsidR="00CF60D4">
        <w:t xml:space="preserve"> </w:t>
      </w:r>
      <w:r w:rsidR="00EC35BB">
        <w:t xml:space="preserve"> </w:t>
      </w:r>
      <w:r w:rsidR="00AB13B7">
        <w:t>As a result, w</w:t>
      </w:r>
      <w:r w:rsidR="0005505E">
        <w:t xml:space="preserve">hile there are various </w:t>
      </w:r>
      <w:r w:rsidR="00264C6E">
        <w:t xml:space="preserve">models for studying the </w:t>
      </w:r>
      <w:r w:rsidR="00B62DAF">
        <w:t>interconnected</w:t>
      </w:r>
      <w:r w:rsidR="00AD73F9">
        <w:t xml:space="preserve">ness </w:t>
      </w:r>
      <w:r w:rsidR="00F92E40">
        <w:t>among</w:t>
      </w:r>
      <w:r w:rsidR="00AD73F9">
        <w:t xml:space="preserve"> commodities</w:t>
      </w:r>
      <w:r w:rsidR="009F2E56">
        <w:t xml:space="preserve">, </w:t>
      </w:r>
      <w:r w:rsidR="00F92E40">
        <w:t xml:space="preserve">this </w:t>
      </w:r>
      <w:r w:rsidR="000C51C1">
        <w:t>study</w:t>
      </w:r>
      <w:r w:rsidR="009F2E56">
        <w:t xml:space="preserve"> </w:t>
      </w:r>
      <w:r w:rsidR="003B206F">
        <w:t>chooses</w:t>
      </w:r>
      <w:r w:rsidR="009F2E56">
        <w:t xml:space="preserve"> </w:t>
      </w:r>
      <w:r w:rsidR="00FB5A29">
        <w:t xml:space="preserve">multivariate </w:t>
      </w:r>
      <w:r w:rsidR="009F2E56">
        <w:t>GARCH model</w:t>
      </w:r>
      <w:r w:rsidR="00197561">
        <w:t>s</w:t>
      </w:r>
      <w:r w:rsidR="00ED7FF7">
        <w:t>,</w:t>
      </w:r>
      <w:r w:rsidR="00C275E6">
        <w:t xml:space="preserve"> </w:t>
      </w:r>
      <w:r w:rsidR="008635A3">
        <w:t>rather than Copula, Granger causality, and quantile models</w:t>
      </w:r>
      <w:r w:rsidR="000D0E36">
        <w:t>,</w:t>
      </w:r>
      <w:r w:rsidR="009F2E56">
        <w:t xml:space="preserve"> for modeling the </w:t>
      </w:r>
      <w:r w:rsidR="006C6551" w:rsidRPr="006C6551">
        <w:t xml:space="preserve">clustering </w:t>
      </w:r>
      <w:r w:rsidR="004872AA">
        <w:t>volatility</w:t>
      </w:r>
      <w:r w:rsidR="00E539CB">
        <w:t xml:space="preserve"> pattern of the commodities</w:t>
      </w:r>
      <w:r w:rsidR="00962C91">
        <w:t xml:space="preserve">. </w:t>
      </w:r>
      <w:r w:rsidR="00FB28FF">
        <w:t xml:space="preserve">This is due to the </w:t>
      </w:r>
      <w:r w:rsidR="00B57C96">
        <w:t>intrinsic</w:t>
      </w:r>
      <w:r w:rsidR="000C6AB9">
        <w:t xml:space="preserve"> characteristics of the commodity market,</w:t>
      </w:r>
      <w:r w:rsidR="00EA6558">
        <w:t xml:space="preserve"> </w:t>
      </w:r>
      <w:r w:rsidR="00C77486">
        <w:t>as the commodity product</w:t>
      </w:r>
      <w:r w:rsidR="0039459F">
        <w:t>s</w:t>
      </w:r>
      <w:r w:rsidR="00EA6558">
        <w:t xml:space="preserve"> </w:t>
      </w:r>
      <w:r w:rsidR="005E7258">
        <w:t>are</w:t>
      </w:r>
      <w:r w:rsidR="00EA6558">
        <w:t xml:space="preserve"> sensitive to </w:t>
      </w:r>
      <w:r w:rsidR="0093421F">
        <w:t xml:space="preserve">big events </w:t>
      </w:r>
      <w:r w:rsidR="004263D8">
        <w:t>or</w:t>
      </w:r>
      <w:r w:rsidR="0093421F">
        <w:t xml:space="preserve"> </w:t>
      </w:r>
      <w:r w:rsidR="00E4035A">
        <w:t>seasonal</w:t>
      </w:r>
      <w:r w:rsidR="00EA6558">
        <w:t xml:space="preserve"> </w:t>
      </w:r>
      <w:r w:rsidR="00E9218F">
        <w:t>changes</w:t>
      </w:r>
      <w:r w:rsidR="00FB28FF">
        <w:t xml:space="preserve">. </w:t>
      </w:r>
      <w:r w:rsidR="00962C91">
        <w:t xml:space="preserve">Details of the </w:t>
      </w:r>
      <w:r w:rsidR="00384616">
        <w:t xml:space="preserve">chosen </w:t>
      </w:r>
      <w:r w:rsidR="00B522C1">
        <w:t>multivariate</w:t>
      </w:r>
      <w:r w:rsidR="00962C91">
        <w:t xml:space="preserve"> GARCH models are </w:t>
      </w:r>
      <w:r w:rsidR="00B522C1">
        <w:t>described</w:t>
      </w:r>
      <w:r w:rsidR="00962C91">
        <w:t xml:space="preserve"> in the </w:t>
      </w:r>
      <w:r w:rsidR="00B522C1">
        <w:t>methodology</w:t>
      </w:r>
      <w:r w:rsidR="00054E37">
        <w:t xml:space="preserve"> part</w:t>
      </w:r>
      <w:r w:rsidR="00737C3C">
        <w:t>.</w:t>
      </w:r>
      <w:r w:rsidR="00481ED1">
        <w:t xml:space="preserve"> </w:t>
      </w:r>
    </w:p>
    <w:p w14:paraId="2D58BA58" w14:textId="4FA2AEFB" w:rsidR="00C91EAE" w:rsidRDefault="00C91EAE" w:rsidP="005274E2">
      <w:pPr>
        <w:pStyle w:val="Heading2"/>
        <w:jc w:val="both"/>
      </w:pPr>
      <w:bookmarkStart w:id="6" w:name="_Toc167478285"/>
      <w:r>
        <w:t>2.</w:t>
      </w:r>
      <w:r w:rsidR="00A16B34">
        <w:t>3</w:t>
      </w:r>
      <w:r>
        <w:t xml:space="preserve"> </w:t>
      </w:r>
      <w:r w:rsidR="00DB1868">
        <w:t xml:space="preserve">Time-varying </w:t>
      </w:r>
      <w:r w:rsidR="00553147">
        <w:t>P</w:t>
      </w:r>
      <w:r w:rsidR="00DB1868">
        <w:t xml:space="preserve">ortfolio </w:t>
      </w:r>
      <w:r w:rsidR="00EC0B9A">
        <w:t>O</w:t>
      </w:r>
      <w:r w:rsidR="00553147">
        <w:t>ptimization</w:t>
      </w:r>
      <w:bookmarkEnd w:id="6"/>
    </w:p>
    <w:p w14:paraId="57B05D76" w14:textId="6615A2DF" w:rsidR="003C7894" w:rsidRDefault="00D46A77" w:rsidP="005274E2">
      <w:pPr>
        <w:spacing w:after="240"/>
        <w:jc w:val="both"/>
      </w:pPr>
      <w:r w:rsidRPr="00D46A77">
        <w:t>GARCH models are widely used for portfolio optimization due to their effectiveness in modeling and forecasting volatility</w:t>
      </w:r>
      <w:r w:rsidR="007B51F9">
        <w:t xml:space="preserve">. </w:t>
      </w:r>
      <w:r w:rsidR="00DB708C">
        <w:t xml:space="preserve">Applying </w:t>
      </w:r>
      <w:r w:rsidR="0076743D">
        <w:t xml:space="preserve">conditional </w:t>
      </w:r>
      <w:r w:rsidR="00060262">
        <w:t>statistics</w:t>
      </w:r>
      <w:r w:rsidR="0076743D">
        <w:t xml:space="preserve"> to </w:t>
      </w:r>
      <w:r w:rsidR="001310C8">
        <w:t xml:space="preserve">the </w:t>
      </w:r>
      <w:r w:rsidR="00DB708C">
        <w:t>p</w:t>
      </w:r>
      <w:r w:rsidR="00017D02">
        <w:t>ortfolio optimization</w:t>
      </w:r>
      <w:r w:rsidR="000A6D7A">
        <w:t xml:space="preserve"> process</w:t>
      </w:r>
      <w:r w:rsidR="00017D02">
        <w:t xml:space="preserve"> </w:t>
      </w:r>
      <w:r w:rsidR="00EF7B3D">
        <w:t xml:space="preserve">can help </w:t>
      </w:r>
      <w:r w:rsidR="001310C8">
        <w:t>obtain</w:t>
      </w:r>
      <w:r w:rsidR="00017D02">
        <w:t xml:space="preserve"> the time-varying weights of </w:t>
      </w:r>
      <w:r w:rsidR="009F1DAD">
        <w:t>different</w:t>
      </w:r>
      <w:r w:rsidR="00017D02">
        <w:t xml:space="preserve"> portfolio strategies</w:t>
      </w:r>
      <w:r w:rsidR="001310C8">
        <w:t>, which is useful for rebalancing the portfolios over time.</w:t>
      </w:r>
      <w:r w:rsidR="00017D02">
        <w:t xml:space="preserve"> </w:t>
      </w:r>
      <w:r w:rsidR="001574C4">
        <w:t xml:space="preserve">Some articles use the conditional covariance </w:t>
      </w:r>
      <w:r w:rsidR="006524E2">
        <w:t>matrix</w:t>
      </w:r>
      <w:r w:rsidR="001574C4">
        <w:t xml:space="preserve"> as the input for the portfolio </w:t>
      </w:r>
      <w:r w:rsidR="006524E2">
        <w:t>optimization</w:t>
      </w:r>
      <w:r w:rsidR="00552E89">
        <w:t xml:space="preserve"> process</w:t>
      </w:r>
      <w:r w:rsidR="00364D71">
        <w:t xml:space="preserve"> </w:t>
      </w:r>
      <w:r w:rsidR="002C09F4">
        <w:fldChar w:fldCharType="begin"/>
      </w:r>
      <w:r w:rsidR="00E90B0A">
        <w:instrText xml:space="preserve"> ADDIN ZOTERO_ITEM CSL_CITATION {"citationID":"JPacCzne","properties":{"formattedCitation":"(Abdul Aziz et al., 2019; Siaw et al., 2017)","plainCitation":"(Abdul Aziz et al., 2019; Siaw et al., 2017)","noteIndex":0},"citationItems":[{"id":180,"uris":["http://zotero.org/users/13925666/items/6NW38DHP"],"itemData":{"id":180,"type":"article-journal","abstract":"This paper analyses plethora of advanced multivariate econometric models, which forecast the mean and variance-covariance of the asset returns to create optimal asset allocation models. Most existing studies use a limited number of Generalized Autoregressive Conditional Heteroscedasticity (GARCH) models. In this study, we provide an in-depth knowledge of large asset modeling and optimization strategies for solving a portfolio selection problem involving the dynamic conditional correlation models (DCC). Specifically, we use symmetric GARCH models and an asymmetric version of it (GJR-GARCH). Several studies have also tried to examine the effectiveness of using parametric copula in estimating portfolio risk measures but their results have been inconclusive. We are interested in evaluating if Copula-GARCH could be an optimal model for assessing the performance of a portfolio. This study, therefore, implemented various Copula-GARCH based models using the static and dynamic estimation of the correlation. By employing different model specifications, we are able to explore the empirical applicability of the multivariate GARCH models when estimating large conditional covariance matrices. In constructing the optimal portfolios, we evaluate the minimum variance, mean-variance, maximising Sharpe ratio, mean-CVaR, and maximization of Sortino ratio. We compare the out-of-sample performance for each of the models based on the risk-adjusted performance for a portfolio with and without short sales, consisting eight stocks and four bond indices of 10 years maturity, in the United States (US), United Kingdom (UK), Germany, Japan, Netherlands, Canada and Hong Kong. Our results suggest that the dynamic models are more capable of delivering better performance gains than the static models. These models reduce portfolio risk and improve the realized return in the out-of-sample period. This paper concludes that by adding copula functions to the model, it does not give a better performance model when compared to the dynamic correlation model.","container-title":"The North American Journal of Economics and Finance","DOI":"10.1016/j.najef.2018.06.012","ISSN":"1062-9408","journalAbbreviation":"The North American Journal of Economics and Finance","page":"568-596","source":"ScienceDirect","title":"Evaluation of multivariate GARCH models in an optimal asset allocation framework","volume":"47","author":[{"family":"Abdul Aziz","given":"Nor Syahilla"},{"family":"Vrontos","given":"Spyridon"},{"family":"M. Hasim","given":"Haslifah"}],"issued":{"date-parts":[["2019",1,1]]}}},{"id":182,"uris":["http://zotero.org/users/13925666/items/22CYY86N"],"itemData":{"id":182,"type":"article","abstract":"Since the introduction of the Markowitz mean-variance optimization model, several extensions have been made to improve optimality. This study examines the application of two models - the ARMA-GARCH model and the ARMA- DCC GARCH model - for the Mean-VaR optimization of funds managed by HFC Investment Limited. Weekly prices of the above mentioned funds from 2009 to 2012 were examined. The funds analyzed were the Equity Trust Fund, the Future Plan Fund and the Unit Trust Fund. The returns of the funds are modelled with the Autoregressive Moving Average (ARMA) whiles volatility was modelled with the univariate Generalized Autoregressive Conditional Heteroskedasti city (GARCH) as well as the multivariate Dynamic Conditional Correlation GARCH (DCC GARCH). This was based on the assumption of non-constant mean and volatility of fund returns. In this study, the risk of a portfolio is measured using the value-at-risk. A single constrained Mean-VaR optimization problem was obtained based on the assumption that investors’ preference is solely based on risk and return. The optimization process was performed using the Lagrange Multiplier approach and the solution was obtained by the Kuhn-Tucker theorems. Conclusions which were drawn based on the results pointed to the fact that a more efficient portfolio is obtained when the value-at-risk (VaR) is modelled with a multivariate GARCH.","event-place":"Rochester, NY","genre":"SSRN Scholarly Paper","language":"en","number":"2987932","publisher-place":"Rochester, NY","source":"Social Science Research Network","title":"Investment Portfolio Optimization with GARCH Models","URL":"https://papers.ssrn.com/abstract=2987932","author":[{"family":"Siaw","given":"Richmond"},{"family":"Ofosu-Hene","given":"Eric"},{"family":"Tee","given":"Evans"}],"accessed":{"date-parts":[["2024",5,20]]},"issued":{"date-parts":[["2017",4,28]]}}}],"schema":"https://github.com/citation-style-language/schema/raw/master/csl-citation.json"} </w:instrText>
      </w:r>
      <w:r w:rsidR="002C09F4">
        <w:fldChar w:fldCharType="separate"/>
      </w:r>
      <w:r w:rsidR="00E90B0A" w:rsidRPr="00E90B0A">
        <w:t>(Abdul Aziz et al., 2019; Siaw et al., 2017)</w:t>
      </w:r>
      <w:r w:rsidR="002C09F4">
        <w:fldChar w:fldCharType="end"/>
      </w:r>
      <w:r w:rsidR="00364D71">
        <w:t xml:space="preserve">. </w:t>
      </w:r>
      <w:r w:rsidR="00E77354">
        <w:t>According</w:t>
      </w:r>
      <w:r w:rsidR="00B33385">
        <w:t xml:space="preserve"> to </w:t>
      </w:r>
      <w:r w:rsidR="00E77354">
        <w:fldChar w:fldCharType="begin"/>
      </w:r>
      <w:r w:rsidR="00897412">
        <w:instrText xml:space="preserve"> ADDIN ZOTERO_ITEM CSL_CITATION {"citationID":"nieKeHOo","properties":{"formattedCitation":"(Siaw et al., 2017)","plainCitation":"(Siaw et al., 2017)","dontUpdate":true,"noteIndex":0},"citationItems":[{"id":182,"uris":["http://zotero.org/users/13925666/items/22CYY86N"],"itemData":{"id":182,"type":"article","abstract":"Since the introduction of the Markowitz mean-variance optimization model, several extensions have been made to improve optimality. This study examines the application of two models - the ARMA-GARCH model and the ARMA- DCC GARCH model - for the Mean-VaR optimization of funds managed by HFC Investment Limited. Weekly prices of the above mentioned funds from 2009 to 2012 were examined. The funds analyzed were the Equity Trust Fund, the Future Plan Fund and the Unit Trust Fund. The returns of the funds are modelled with the Autoregressive Moving Average (ARMA) whiles volatility was modelled with the univariate Generalized Autoregressive Conditional Heteroskedasti city (GARCH) as well as the multivariate Dynamic Conditional Correlation GARCH (DCC GARCH). This was based on the assumption of non-constant mean and volatility of fund returns. In this study, the risk of a portfolio is measured using the value-at-risk. A single constrained Mean-VaR optimization problem was obtained based on the assumption that investors’ preference is solely based on risk and return. The optimization process was performed using the Lagrange Multiplier approach and the solution was obtained by the Kuhn-Tucker theorems. Conclusions which were drawn based on the results pointed to the fact that a more efficient portfolio is obtained when the value-at-risk (VaR) is modelled with a multivariate GARCH.","event-place":"Rochester, NY","genre":"SSRN Scholarly Paper","language":"en","number":"2987932","publisher-place":"Rochester, NY","source":"Social Science Research Network","title":"Investment Portfolio Optimization with GARCH Models","URL":"https://papers.ssrn.com/abstract=2987932","author":[{"family":"Siaw","given":"Richmond"},{"family":"Ofosu-Hene","given":"Eric"},{"family":"Tee","given":"Evans"}],"accessed":{"date-parts":[["2024",5,20]]},"issued":{"date-parts":[["2017",4,28]]}}}],"schema":"https://github.com/citation-style-language/schema/raw/master/csl-citation.json"} </w:instrText>
      </w:r>
      <w:r w:rsidR="00E77354">
        <w:fldChar w:fldCharType="separate"/>
      </w:r>
      <w:r w:rsidR="00E77354" w:rsidRPr="00E77354">
        <w:t xml:space="preserve">Siaw et al. </w:t>
      </w:r>
      <w:r w:rsidR="00CF5D4C">
        <w:t>(</w:t>
      </w:r>
      <w:r w:rsidR="00E77354" w:rsidRPr="00E77354">
        <w:t>2017)</w:t>
      </w:r>
      <w:r w:rsidR="00E77354">
        <w:fldChar w:fldCharType="end"/>
      </w:r>
      <w:r w:rsidR="00B33385">
        <w:t>, t</w:t>
      </w:r>
      <w:r w:rsidR="002B416A">
        <w:t xml:space="preserve">he covariance matrix is used to </w:t>
      </w:r>
      <w:r w:rsidR="00E77354">
        <w:t>optimize</w:t>
      </w:r>
      <w:r w:rsidR="00A03504">
        <w:t xml:space="preserve"> the</w:t>
      </w:r>
      <w:r w:rsidR="002B416A">
        <w:t xml:space="preserve"> asset weight</w:t>
      </w:r>
      <w:r w:rsidR="00425FA0">
        <w:t>s</w:t>
      </w:r>
      <w:r w:rsidR="002B416A">
        <w:t xml:space="preserve"> in</w:t>
      </w:r>
      <w:r w:rsidR="00E77354">
        <w:t xml:space="preserve"> </w:t>
      </w:r>
      <w:r w:rsidR="002B416A">
        <w:t>portfolio</w:t>
      </w:r>
      <w:r w:rsidR="00601BD2">
        <w:t>s</w:t>
      </w:r>
      <w:r w:rsidR="002B416A">
        <w:t>. This includes forecasting the assets' one-day conditional standard deviations and dynamic correlation matrix.</w:t>
      </w:r>
      <w:r w:rsidR="00AB5C73">
        <w:t xml:space="preserve"> </w:t>
      </w:r>
      <w:r w:rsidR="000027B9">
        <w:t>Similarly</w:t>
      </w:r>
      <w:r w:rsidR="00AB5C73">
        <w:t xml:space="preserve">, </w:t>
      </w:r>
      <w:r w:rsidR="003546DA">
        <w:t>b</w:t>
      </w:r>
      <w:r w:rsidR="00C035E8">
        <w:t xml:space="preserve">y </w:t>
      </w:r>
      <w:r w:rsidR="00C035E8" w:rsidRPr="00C9729E">
        <w:t>taking into account the time-varying nature of market volatility</w:t>
      </w:r>
      <w:r w:rsidR="00C035E8">
        <w:t>,</w:t>
      </w:r>
      <w:r w:rsidR="00BD7955">
        <w:t xml:space="preserve"> </w:t>
      </w:r>
      <w:r w:rsidR="00BD7955">
        <w:fldChar w:fldCharType="begin"/>
      </w:r>
      <w:r w:rsidR="00897412">
        <w:instrText xml:space="preserve"> ADDIN ZOTERO_ITEM CSL_CITATION {"citationID":"zbgy8aad","properties":{"formattedCitation":"(Abdul Aziz et al., 2019)","plainCitation":"(Abdul Aziz et al., 2019)","dontUpdate":true,"noteIndex":0},"citationItems":[{"id":180,"uris":["http://zotero.org/users/13925666/items/6NW38DHP"],"itemData":{"id":180,"type":"article-journal","abstract":"This paper analyses plethora of advanced multivariate econometric models, which forecast the mean and variance-covariance of the asset returns to create optimal asset allocation models. Most existing studies use a limited number of Generalized Autoregressive Conditional Heteroscedasticity (GARCH) models. In this study, we provide an in-depth knowledge of large asset modeling and optimization strategies for solving a portfolio selection problem involving the dynamic conditional correlation models (DCC). Specifically, we use symmetric GARCH models and an asymmetric version of it (GJR-GARCH). Several studies have also tried to examine the effectiveness of using parametric copula in estimating portfolio risk measures but their results have been inconclusive. We are interested in evaluating if Copula-GARCH could be an optimal model for assessing the performance of a portfolio. This study, therefore, implemented various Copula-GARCH based models using the static and dynamic estimation of the correlation. By employing different model specifications, we are able to explore the empirical applicability of the multivariate GARCH models when estimating large conditional covariance matrices. In constructing the optimal portfolios, we evaluate the minimum variance, mean-variance, maximising Sharpe ratio, mean-CVaR, and maximization of Sortino ratio. We compare the out-of-sample performance for each of the models based on the risk-adjusted performance for a portfolio with and without short sales, consisting eight stocks and four bond indices of 10 years maturity, in the United States (US), United Kingdom (UK), Germany, Japan, Netherlands, Canada and Hong Kong. Our results suggest that the dynamic models are more capable of delivering better performance gains than the static models. These models reduce portfolio risk and improve the realized return in the out-of-sample period. This paper concludes that by adding copula functions to the model, it does not give a better performance model when compared to the dynamic correlation model.","container-title":"The North American Journal of Economics and Finance","DOI":"10.1016/j.najef.2018.06.012","ISSN":"1062-9408","journalAbbreviation":"The North American Journal of Economics and Finance","page":"568-596","source":"ScienceDirect","title":"Evaluation of multivariate GARCH models in an optimal asset allocation framework","volume":"47","author":[{"family":"Abdul Aziz","given":"Nor Syahilla"},{"family":"Vrontos","given":"Spyridon"},{"family":"M. Hasim","given":"Haslifah"}],"issued":{"date-parts":[["2019",1,1]]}}}],"schema":"https://github.com/citation-style-language/schema/raw/master/csl-citation.json"} </w:instrText>
      </w:r>
      <w:r w:rsidR="00BD7955">
        <w:fldChar w:fldCharType="separate"/>
      </w:r>
      <w:r w:rsidR="00BD7955" w:rsidRPr="00BD7955">
        <w:t xml:space="preserve">Abdul Aziz et al. </w:t>
      </w:r>
      <w:r w:rsidR="00A0469D">
        <w:t>(</w:t>
      </w:r>
      <w:r w:rsidR="00BD7955" w:rsidRPr="00BD7955">
        <w:t>2019)</w:t>
      </w:r>
      <w:r w:rsidR="00BD7955">
        <w:fldChar w:fldCharType="end"/>
      </w:r>
      <w:r w:rsidR="00C035E8">
        <w:t xml:space="preserve"> </w:t>
      </w:r>
      <w:r w:rsidR="00BC0111">
        <w:t xml:space="preserve">build </w:t>
      </w:r>
      <w:r w:rsidR="00BD7955" w:rsidRPr="00BD7955">
        <w:t>five different optimization strategies: mean-variance, maximizing Sharpe ratio, mean-CVaR, and maximizing Sortino ratio</w:t>
      </w:r>
      <w:r w:rsidR="00DF053E">
        <w:t>.</w:t>
      </w:r>
      <w:r w:rsidR="00DD3931">
        <w:t xml:space="preserve"> </w:t>
      </w:r>
      <w:r w:rsidR="00037250">
        <w:t xml:space="preserve">Additionally, </w:t>
      </w:r>
      <w:r w:rsidR="00DD3931">
        <w:t xml:space="preserve">The </w:t>
      </w:r>
      <w:r w:rsidR="00EF1C1B">
        <w:t>researchers</w:t>
      </w:r>
      <w:r w:rsidR="00DD3931">
        <w:t xml:space="preserve"> </w:t>
      </w:r>
      <w:r w:rsidR="00B059CB">
        <w:t xml:space="preserve">also </w:t>
      </w:r>
      <w:r w:rsidR="00DD3931">
        <w:t xml:space="preserve">conduct </w:t>
      </w:r>
      <w:r w:rsidR="00BA35ED">
        <w:t>out-of-sample</w:t>
      </w:r>
      <w:r w:rsidR="004C3CB9">
        <w:t xml:space="preserve"> </w:t>
      </w:r>
      <w:r w:rsidR="00BA35ED">
        <w:t>diagnosis</w:t>
      </w:r>
      <w:r w:rsidR="004C3CB9">
        <w:t xml:space="preserve">, and the </w:t>
      </w:r>
      <w:r w:rsidR="00BA35ED">
        <w:t>result</w:t>
      </w:r>
      <w:r w:rsidR="004C3CB9">
        <w:t xml:space="preserve"> shows that</w:t>
      </w:r>
      <w:r w:rsidR="00DD3931">
        <w:t xml:space="preserve"> </w:t>
      </w:r>
      <w:r w:rsidR="00991CBE" w:rsidRPr="00991CBE">
        <w:t xml:space="preserve">the dynamic models </w:t>
      </w:r>
      <w:r w:rsidR="00FC58CC">
        <w:t>outperform</w:t>
      </w:r>
      <w:r w:rsidR="00991CBE" w:rsidRPr="00991CBE">
        <w:t xml:space="preserve"> the static models.</w:t>
      </w:r>
      <w:r w:rsidR="009E0C11">
        <w:t xml:space="preserve"> </w:t>
      </w:r>
      <w:r w:rsidR="007261F8">
        <w:t>Different from them,</w:t>
      </w:r>
      <w:r w:rsidR="006740F6">
        <w:t xml:space="preserve"> </w:t>
      </w:r>
      <w:r w:rsidR="006740F6">
        <w:fldChar w:fldCharType="begin"/>
      </w:r>
      <w:r w:rsidR="00897412">
        <w:instrText xml:space="preserve"> ADDIN ZOTERO_ITEM CSL_CITATION {"citationID":"0tvLbCpR","properties":{"formattedCitation":"(Specht &amp; Winker, 2008)","plainCitation":"(Specht &amp; Winker, 2008)","dontUpdate":true,"noteIndex":0},"citationItems":[{"id":184,"uris":["http://zotero.org/users/13925666/items/2Q6URQ7T"],"itemData":{"id":184,"type":"chapter","abstract":"The concept of Value at Risk (VaR) is eminently intuitive and easy to interpret. However, there are two major problems in its practical application: reliable estimations are difficult to perform and using the VaR as a constraint in portfolio optimization causes computational problems. Both problems are taken into account in the present application. First, the VaR based on estimates of the conditional covariance matrix with the ”Principal Components GARCH model” (PC GARCH model) is calculated. Second, recent advances in heuristic optimization (a modified version of Memetic Algorithms) are applied in order to deal with the computational problems. The computational study indicates that the proposed method for estimating the conditional covariance matrix, the PC GARCH model, results in much better approximations of the conditional volatility structure than a simple historical estimate. This advantage in modelling is exploited by the optimization algorithm to identify portfolios with higher expected return given a fixed VaR constraint. However, adjusting the portfolio to the dynamic approximations of the conditional volatility structure also results in some overconfidence with regard to the risk constraint.","container-title":"Computational Methods in Financial Engineering: Essays in Honour of Manfred Gilli","event-place":"Berlin, Heidelberg","ISBN":"978-3-540-77958-2","language":"en","note":"DOI: 10.1007/978-3-540-77958-2_4","page":"73-94","publisher":"Springer","publisher-place":"Berlin, Heidelberg","source":"Springer Link","title":"Portfolio Optimization under VaR Constraints Based on Dynamic Estimates of the Variance-Covariance Matrix","URL":"https://doi.org/10.1007/978-3-540-77958-2_4","author":[{"family":"Specht","given":"Katja"},{"family":"Winker","given":"Peter"}],"editor":[{"family":"Kontoghiorghes","given":"Erricos J."},{"family":"Rustem","given":"Berç"},{"family":"Winker","given":"Peter"}],"accessed":{"date-parts":[["2024",5,21]]},"issued":{"date-parts":[["2008"]]}}}],"schema":"https://github.com/citation-style-language/schema/raw/master/csl-citation.json"} </w:instrText>
      </w:r>
      <w:r w:rsidR="006740F6">
        <w:fldChar w:fldCharType="separate"/>
      </w:r>
      <w:r w:rsidR="006740F6" w:rsidRPr="006740F6">
        <w:t xml:space="preserve">Specht </w:t>
      </w:r>
      <w:r w:rsidR="00492E31">
        <w:t>and</w:t>
      </w:r>
      <w:r w:rsidR="006740F6" w:rsidRPr="006740F6">
        <w:t xml:space="preserve"> Winke </w:t>
      </w:r>
      <w:r w:rsidR="00492E31">
        <w:t>(</w:t>
      </w:r>
      <w:r w:rsidR="006740F6" w:rsidRPr="006740F6">
        <w:t>2008)</w:t>
      </w:r>
      <w:r w:rsidR="006740F6">
        <w:fldChar w:fldCharType="end"/>
      </w:r>
      <w:r w:rsidR="00365839">
        <w:t xml:space="preserve"> </w:t>
      </w:r>
      <w:r w:rsidR="00F245A9" w:rsidRPr="00F245A9">
        <w:t>estimate the conditional covariance matrix with the Principal Components GARCH model</w:t>
      </w:r>
      <w:r w:rsidR="00BC4D62">
        <w:t xml:space="preserve"> and then </w:t>
      </w:r>
      <w:r w:rsidR="00D868FF">
        <w:t>calculate</w:t>
      </w:r>
      <w:r w:rsidR="009E4EF7">
        <w:t xml:space="preserve"> the VaR based on </w:t>
      </w:r>
      <w:r w:rsidR="00F07EC8">
        <w:t>the</w:t>
      </w:r>
      <w:r w:rsidR="009E4EF7">
        <w:t xml:space="preserve"> time-varying statistics. </w:t>
      </w:r>
      <w:r w:rsidR="00C65789">
        <w:t>B</w:t>
      </w:r>
      <w:r w:rsidR="001E1086">
        <w:t xml:space="preserve">ased on the </w:t>
      </w:r>
      <w:r w:rsidR="00C61B15">
        <w:t xml:space="preserve">estimation </w:t>
      </w:r>
      <w:r w:rsidR="00AD296D">
        <w:t xml:space="preserve">of </w:t>
      </w:r>
      <w:r w:rsidR="002452C1">
        <w:t xml:space="preserve">conditional volatility and the </w:t>
      </w:r>
      <w:r w:rsidR="00865089" w:rsidRPr="00865089">
        <w:t>resulting VaR</w:t>
      </w:r>
      <w:r w:rsidR="00F17B81">
        <w:t xml:space="preserve">, they </w:t>
      </w:r>
      <w:r w:rsidR="00327749">
        <w:t xml:space="preserve">can </w:t>
      </w:r>
      <w:r w:rsidR="00F17B81">
        <w:t xml:space="preserve">get the optimized portfolio </w:t>
      </w:r>
      <w:r w:rsidR="00544C5E">
        <w:t>weights</w:t>
      </w:r>
      <w:r w:rsidR="00D33F3F">
        <w:t>.</w:t>
      </w:r>
      <w:r w:rsidR="009907B9">
        <w:t xml:space="preserve"> Apart </w:t>
      </w:r>
      <w:r w:rsidR="00140F6E">
        <w:t>from</w:t>
      </w:r>
      <w:r w:rsidR="009907B9">
        <w:t xml:space="preserve"> analyzing the </w:t>
      </w:r>
      <w:r w:rsidR="009907B9" w:rsidRPr="009907B9">
        <w:t xml:space="preserve">heteroscedastic conditional variances </w:t>
      </w:r>
      <w:r w:rsidR="00A5623A">
        <w:t>for</w:t>
      </w:r>
      <w:r w:rsidR="009907B9" w:rsidRPr="009907B9">
        <w:t xml:space="preserve"> the optimal portfolios</w:t>
      </w:r>
      <w:r w:rsidR="00140F6E">
        <w:t xml:space="preserve">, </w:t>
      </w:r>
      <w:r w:rsidR="00064F54">
        <w:fldChar w:fldCharType="begin"/>
      </w:r>
      <w:r w:rsidR="00897412">
        <w:instrText xml:space="preserve"> ADDIN ZOTERO_ITEM CSL_CITATION {"citationID":"cn7IP36I","properties":{"formattedCitation":"(Moreno * et al., 2005)","plainCitation":"(Moreno * et al., 2005)","dontUpdate":true,"noteIndex":0},"citationItems":[{"id":186,"uris":["http://zotero.org/users/13925666/items/89HCHLVA"],"itemData":{"id":186,"type":"article-journal","container-title":"Applied Economics","DOI":"10.1080/00036840500109142","ISSN":"0003-6846","issue":"11","note":"publisher: Routledge","page":"1267-1281","source":"tandfonline.com (Atypon)","title":"Risk forecasting models and optimal portfolio selection","volume":"37","author":[{"family":"Moreno *","given":"David"},{"family":"Marco","given":"Paulina"},{"family":"Olmeda","given":"Ignacio"}],"issued":{"date-parts":[["2005",6,20]]}}}],"schema":"https://github.com/citation-style-language/schema/raw/master/csl-citation.json"} </w:instrText>
      </w:r>
      <w:r w:rsidR="00064F54">
        <w:fldChar w:fldCharType="separate"/>
      </w:r>
      <w:r w:rsidR="00064F54" w:rsidRPr="00064F54">
        <w:t xml:space="preserve">Moreno et al. </w:t>
      </w:r>
      <w:r w:rsidR="00F505A4">
        <w:t>(</w:t>
      </w:r>
      <w:r w:rsidR="00064F54" w:rsidRPr="00064F54">
        <w:t>2005)</w:t>
      </w:r>
      <w:r w:rsidR="00064F54">
        <w:fldChar w:fldCharType="end"/>
      </w:r>
      <w:r w:rsidR="00F505A4">
        <w:t xml:space="preserve"> also </w:t>
      </w:r>
      <w:r w:rsidR="006438A0" w:rsidRPr="006438A0">
        <w:t xml:space="preserve">use </w:t>
      </w:r>
      <w:r w:rsidR="00863421">
        <w:t xml:space="preserve">time-varying </w:t>
      </w:r>
      <w:r w:rsidR="006438A0" w:rsidRPr="006438A0">
        <w:t xml:space="preserve">risk measures that help avoid returns below a </w:t>
      </w:r>
      <w:r w:rsidR="00307571">
        <w:t xml:space="preserve">certain </w:t>
      </w:r>
      <w:r w:rsidR="006438A0" w:rsidRPr="006438A0">
        <w:t>target and accept returns above it</w:t>
      </w:r>
      <w:r w:rsidR="00277859">
        <w:t>.</w:t>
      </w:r>
      <w:r w:rsidR="0059639B">
        <w:t xml:space="preserve"> </w:t>
      </w:r>
      <w:r w:rsidR="00092F4E">
        <w:t>The applied risk mea</w:t>
      </w:r>
      <w:r w:rsidR="002259AD">
        <w:t>s</w:t>
      </w:r>
      <w:r w:rsidR="00092F4E">
        <w:t xml:space="preserve">ure is the </w:t>
      </w:r>
      <w:r w:rsidR="00092F4E" w:rsidRPr="00092F4E">
        <w:t>Lower Partial Moment</w:t>
      </w:r>
      <w:r w:rsidR="001E5F91">
        <w:t xml:space="preserve">, which </w:t>
      </w:r>
      <w:r w:rsidR="00541E8C">
        <w:t xml:space="preserve">typically </w:t>
      </w:r>
      <w:r w:rsidR="00541E8C" w:rsidRPr="00ED0EFA">
        <w:t xml:space="preserve">involves downside risk </w:t>
      </w:r>
      <w:r w:rsidR="00624F20">
        <w:t>assessment</w:t>
      </w:r>
      <w:r w:rsidR="00B229A0">
        <w:t xml:space="preserve"> </w:t>
      </w:r>
      <w:r w:rsidR="00B9580C">
        <w:fldChar w:fldCharType="begin"/>
      </w:r>
      <w:r w:rsidR="00B9580C">
        <w:instrText xml:space="preserve"> ADDIN ZOTERO_ITEM CSL_CITATION {"citationID":"mcaTVMug","properties":{"formattedCitation":"(Price et al., 1982)","plainCitation":"(Price et al., 1982)","noteIndex":0},"citationItems":[{"id":188,"uris":["http://zotero.org/users/13925666/items/NN5K6MZY"],"itemData":{"id":188,"type":"article-journal","abstract":"ABSTRACT\n            As a measure of systematic risk, the lower partial moment measure requires fewer restrictive assumptions than does the variance measure. However, the latter enjoys far wider usage than the former, perhaps because of its familiarity and the fact that two measures of systematic risk are equivalent when return distributions are normal. This paper shows analytically that there are systematic differences in the two risk measures when return distributions are lognormal. Results of empirical tests show that there are indeed systematic differences in measured values of the two risk measures for securities with above average and with below average systematic risk.","container-title":"The Journal of Finance","DOI":"10.1111/j.1540-6261.1982.tb02227.x","ISSN":"0022-1082, 1540-6261","issue":"3","journalAbbreviation":"The Journal of Finance","language":"en","page":"843-855","source":"DOI.org (Crossref)","title":"Variance and Lower Partial Moment Measures of Systematic Risk: Some Analytical and Empirical Results","title-short":"Variance and Lower Partial Moment Measures of Systematic Risk","volume":"37","author":[{"family":"Price","given":"Kelly"},{"family":"Price","given":"Barbara"},{"family":"Nantell","given":"Timothy J."}],"issued":{"date-parts":[["1982",6]]}}}],"schema":"https://github.com/citation-style-language/schema/raw/master/csl-citation.json"} </w:instrText>
      </w:r>
      <w:r w:rsidR="00B9580C">
        <w:fldChar w:fldCharType="separate"/>
      </w:r>
      <w:r w:rsidR="00B9580C" w:rsidRPr="00B9580C">
        <w:t>(Price et al., 1982)</w:t>
      </w:r>
      <w:r w:rsidR="00B9580C">
        <w:fldChar w:fldCharType="end"/>
      </w:r>
      <w:r w:rsidR="00637749">
        <w:t>.</w:t>
      </w:r>
      <w:r w:rsidR="00432AE8">
        <w:t xml:space="preserve"> </w:t>
      </w:r>
    </w:p>
    <w:p w14:paraId="29FDCE61" w14:textId="3D9EF199" w:rsidR="00224FFC" w:rsidRDefault="00224FFC" w:rsidP="00F30813">
      <w:pPr>
        <w:spacing w:after="240"/>
        <w:jc w:val="both"/>
      </w:pPr>
      <w:r>
        <w:t xml:space="preserve">Apart from portfolio </w:t>
      </w:r>
      <w:r w:rsidR="006F6B1B">
        <w:t>optimization</w:t>
      </w:r>
      <w:r>
        <w:t>, researchers also use conditional</w:t>
      </w:r>
      <w:r w:rsidR="006F6B1B">
        <w:t xml:space="preserve"> statistics</w:t>
      </w:r>
      <w:r>
        <w:t xml:space="preserve"> for calculating hedge ratios</w:t>
      </w:r>
      <w:r w:rsidR="003D2C82">
        <w:t xml:space="preserve">, </w:t>
      </w:r>
      <w:r w:rsidR="000B1D66">
        <w:t>especially</w:t>
      </w:r>
      <w:r w:rsidR="003D2C82">
        <w:t xml:space="preserve"> usi</w:t>
      </w:r>
      <w:r w:rsidR="001B66E7">
        <w:t>n</w:t>
      </w:r>
      <w:r w:rsidR="003D2C82">
        <w:t xml:space="preserve">g the </w:t>
      </w:r>
      <w:r w:rsidR="000B1D66">
        <w:t>conditional</w:t>
      </w:r>
      <w:r w:rsidR="003D2C82">
        <w:t xml:space="preserve"> </w:t>
      </w:r>
      <w:r w:rsidR="000B1D66">
        <w:t>volatility</w:t>
      </w:r>
      <w:r w:rsidR="00797B55">
        <w:t xml:space="preserve"> </w:t>
      </w:r>
      <w:r w:rsidR="00797B55">
        <w:fldChar w:fldCharType="begin"/>
      </w:r>
      <w:r w:rsidR="001B66E7">
        <w:instrText xml:space="preserve"> ADDIN ZOTERO_ITEM CSL_CITATION {"citationID":"nFNLvnbA","properties":{"formattedCitation":"(Kroner &amp; Sultan, 1993; Sadorsky, 2012)","plainCitation":"(Kroner &amp; Sultan, 1993; Sadorsky, 2012)","noteIndex":0},"citationItems":[{"id":171,"uris":["http://zotero.org/users/13925666/items/92YJFVLH"],"itemData":{"id":171,"type":"article-journal","container-title":"Journal of financial and quantitative analysis","issue":"4","note":"publisher: Cambridge University Press","page":"535–551","source":"Google Scholar","title":"Time-varying distributions and dynamic hedging with foreign currency futures","volume":"28","author":[{"family":"Kroner","given":"Kenneth F."},{"family":"Sultan","given":"Jahangir"}],"issued":{"date-parts":[["1993"]]}}},{"id":190,"uris":["http://zotero.org/users/13925666/items/FWQUR2DG"],"itemData":{"id":190,"type":"article-journal","abstract":"In this paper, multivariate GARCH models are used to model conditional correlations and to analyze the volatility spillovers between oil prices and the stock prices of clean energy companies and technology companies. Four different multivariate GARCH models (BEKK, diagonal, constant conditional correlation, and dynamic conditional correlation) are compared and contrasted. The dynamic conditional correlation model is found to fit the data the best and generates results showing that the stock prices of clean energy companies correlate more highly with technology stock prices than with oil prices. On average, a $1 long position in clean energy companies can be hedged for 20cents with a short position in the crude oil futures market.","container-title":"Energy Economics","DOI":"10.1016/j.eneco.2011.03.006","ISSN":"0140-9883","issue":"1","journalAbbreviation":"Energy Economics","page":"248-255","source":"ScienceDirect","title":"Correlations and volatility spillovers between oil prices and the stock prices of clean energy and technology companies","volume":"34","author":[{"family":"Sadorsky","given":"Perry"}],"issued":{"date-parts":[["2012",1,1]]}}}],"schema":"https://github.com/citation-style-language/schema/raw/master/csl-citation.json"} </w:instrText>
      </w:r>
      <w:r w:rsidR="00797B55">
        <w:fldChar w:fldCharType="separate"/>
      </w:r>
      <w:r w:rsidR="001B66E7" w:rsidRPr="001B66E7">
        <w:t>(Kroner &amp; Sultan, 1993; Sadorsky, 2012)</w:t>
      </w:r>
      <w:r w:rsidR="00797B55">
        <w:fldChar w:fldCharType="end"/>
      </w:r>
      <w:r>
        <w:t xml:space="preserve">. </w:t>
      </w:r>
      <w:r w:rsidR="00F17584">
        <w:t>Different from the traditional static</w:t>
      </w:r>
      <w:r w:rsidR="00F17584" w:rsidRPr="00F17584">
        <w:t xml:space="preserve"> hedging models</w:t>
      </w:r>
      <w:r w:rsidR="00370039">
        <w:t xml:space="preserve">, </w:t>
      </w:r>
      <w:r w:rsidR="00370039">
        <w:fldChar w:fldCharType="begin"/>
      </w:r>
      <w:r w:rsidR="00370039">
        <w:instrText xml:space="preserve"> ADDIN ZOTERO_ITEM CSL_CITATION {"citationID":"VIVKI49X","properties":{"formattedCitation":"(Kroner &amp; Sultan, 1993)","plainCitation":"(Kroner &amp; Sultan, 1993)","noteIndex":0},"citationItems":[{"id":171,"uris":["http://zotero.org/users/13925666/items/92YJFVLH"],"itemData":{"id":171,"type":"article-journal","container-title":"Journal of financial and quantitative analysis","issue":"4","note":"publisher: Cambridge University Press","page":"535–551","source":"Google Scholar","title":"Time-varying distributions and dynamic hedging with foreign currency futures","volume":"28","author":[{"family":"Kroner","given":"Kenneth F."},{"family":"Sultan","given":"Jahangir"}],"issued":{"date-parts":[["1993"]]}}}],"schema":"https://github.com/citation-style-language/schema/raw/master/csl-citation.json"} </w:instrText>
      </w:r>
      <w:r w:rsidR="00370039">
        <w:fldChar w:fldCharType="separate"/>
      </w:r>
      <w:r w:rsidR="00370039" w:rsidRPr="00370039">
        <w:t xml:space="preserve">Kroner </w:t>
      </w:r>
      <w:r w:rsidR="00370039">
        <w:t>and</w:t>
      </w:r>
      <w:r w:rsidR="00370039" w:rsidRPr="00370039">
        <w:t xml:space="preserve"> Sultan </w:t>
      </w:r>
      <w:r w:rsidR="00370039">
        <w:t>(</w:t>
      </w:r>
      <w:r w:rsidR="00370039" w:rsidRPr="00370039">
        <w:t>1993)</w:t>
      </w:r>
      <w:r w:rsidR="00370039">
        <w:fldChar w:fldCharType="end"/>
      </w:r>
      <w:r w:rsidR="00742948">
        <w:t xml:space="preserve"> account for the d</w:t>
      </w:r>
      <w:r w:rsidR="00742948" w:rsidRPr="00742948">
        <w:t xml:space="preserve">ynamic </w:t>
      </w:r>
      <w:r w:rsidR="00742948">
        <w:t>n</w:t>
      </w:r>
      <w:r w:rsidR="00742948" w:rsidRPr="00742948">
        <w:t xml:space="preserve">ature of </w:t>
      </w:r>
      <w:r w:rsidR="00742948">
        <w:t>a</w:t>
      </w:r>
      <w:r w:rsidR="00742948" w:rsidRPr="00742948">
        <w:t xml:space="preserve">sset </w:t>
      </w:r>
      <w:r w:rsidR="00742948">
        <w:t>d</w:t>
      </w:r>
      <w:r w:rsidR="00742948" w:rsidRPr="00742948">
        <w:t>istributions</w:t>
      </w:r>
      <w:r w:rsidR="00545C93">
        <w:t xml:space="preserve">, </w:t>
      </w:r>
      <w:r w:rsidR="00545C93" w:rsidRPr="00545C93">
        <w:t>which</w:t>
      </w:r>
      <w:r w:rsidR="005341EE">
        <w:t xml:space="preserve"> typically</w:t>
      </w:r>
      <w:r w:rsidR="00545C93" w:rsidRPr="00545C93">
        <w:t xml:space="preserve"> involves continuously adjusting the hedge</w:t>
      </w:r>
      <w:r w:rsidR="00DD2F28">
        <w:t xml:space="preserve"> ratios</w:t>
      </w:r>
      <w:r w:rsidR="00545C93" w:rsidRPr="00545C93">
        <w:t xml:space="preserve"> </w:t>
      </w:r>
      <w:r w:rsidR="00537C84">
        <w:t xml:space="preserve">based on the </w:t>
      </w:r>
      <w:r w:rsidR="00545C93" w:rsidRPr="00545C93">
        <w:t>changing market conditions.</w:t>
      </w:r>
      <w:r w:rsidR="000F2C39">
        <w:t xml:space="preserve"> This is achi</w:t>
      </w:r>
      <w:r w:rsidR="00F32A0D">
        <w:t>e</w:t>
      </w:r>
      <w:r w:rsidR="000F2C39">
        <w:t xml:space="preserve">ved by </w:t>
      </w:r>
      <w:r w:rsidR="000B1D66">
        <w:t>utilizing</w:t>
      </w:r>
      <w:r w:rsidR="000F2C39">
        <w:t xml:space="preserve"> the </w:t>
      </w:r>
      <w:r w:rsidR="0042249E">
        <w:t xml:space="preserve">conditional volatility derived from </w:t>
      </w:r>
      <w:r w:rsidR="00D95D76">
        <w:t xml:space="preserve">the </w:t>
      </w:r>
      <w:r w:rsidR="000F2C39" w:rsidRPr="000F2C39">
        <w:t>multivariate GARCH models</w:t>
      </w:r>
      <w:r w:rsidR="000F2C39">
        <w:t>.</w:t>
      </w:r>
      <w:r w:rsidR="0077263D">
        <w:t xml:space="preserve"> </w:t>
      </w:r>
      <w:r w:rsidR="00F30813">
        <w:t xml:space="preserve">The optimal hedge ratio </w:t>
      </w:r>
      <w:r w:rsidR="000C0F7E">
        <w:t xml:space="preserve">is </w:t>
      </w:r>
      <w:r w:rsidR="007604F9">
        <w:t>represented as the divisor form of the</w:t>
      </w:r>
      <w:r w:rsidR="00F30813">
        <w:t xml:space="preserve"> </w:t>
      </w:r>
      <w:r w:rsidR="009B5307">
        <w:t xml:space="preserve">numerator of </w:t>
      </w:r>
      <w:r w:rsidR="00F30813">
        <w:t xml:space="preserve">covariance between the </w:t>
      </w:r>
      <w:r w:rsidR="000B1D66">
        <w:t>primary</w:t>
      </w:r>
      <w:r w:rsidR="00F30813">
        <w:t xml:space="preserve"> asset and the </w:t>
      </w:r>
      <w:r w:rsidR="000B1D66">
        <w:t>hedging</w:t>
      </w:r>
      <w:r w:rsidR="00F30813">
        <w:t xml:space="preserve"> asset and </w:t>
      </w:r>
      <w:r w:rsidR="00D2198D">
        <w:t xml:space="preserve">the </w:t>
      </w:r>
      <w:r w:rsidR="007B41E4">
        <w:t xml:space="preserve">denominator of </w:t>
      </w:r>
      <w:r w:rsidR="00D2198D">
        <w:t xml:space="preserve">the </w:t>
      </w:r>
      <w:r w:rsidR="00F30813">
        <w:t>hedging asset</w:t>
      </w:r>
      <w:r w:rsidR="00CD4333">
        <w:t>’s variance</w:t>
      </w:r>
      <w:r w:rsidR="00F30813">
        <w:t xml:space="preserve">. </w:t>
      </w:r>
      <w:r w:rsidR="0077263D">
        <w:t xml:space="preserve">Based on their study, </w:t>
      </w:r>
      <w:r w:rsidR="0077263D">
        <w:fldChar w:fldCharType="begin"/>
      </w:r>
      <w:r w:rsidR="0077263D">
        <w:instrText xml:space="preserve"> ADDIN ZOTERO_ITEM CSL_CITATION {"citationID":"1wwFvE5w","properties":{"formattedCitation":"(Sadorsky, 2012)","plainCitation":"(Sadorsky, 2012)","noteIndex":0},"citationItems":[{"id":190,"uris":["http://zotero.org/users/13925666/items/FWQUR2DG"],"itemData":{"id":190,"type":"article-journal","abstract":"In this paper, multivariate GARCH models are used to model conditional correlations and to analyze the volatility spillovers between oil prices and the stock prices of clean energy companies and technology companies. Four different multivariate GARCH models (BEKK, diagonal, constant conditional correlation, and dynamic conditional correlation) are compared and contrasted. The dynamic conditional correlation model is found to fit the data the best and generates results showing that the stock prices of clean energy companies correlate more highly with technology stock prices than with oil prices. On average, a $1 long position in clean energy companies can be hedged for 20cents with a short position in the crude oil futures market.","container-title":"Energy Economics","DOI":"10.1016/j.eneco.2011.03.006","ISSN":"0140-9883","issue":"1","journalAbbreviation":"Energy Economics","page":"248-255","source":"ScienceDirect","title":"Correlations and volatility spillovers between oil prices and the stock prices of clean energy and technology companies","volume":"34","author":[{"family":"Sadorsky","given":"Perry"}],"issued":{"date-parts":[["2012",1,1]]}}}],"schema":"https://github.com/citation-style-language/schema/raw/master/csl-citation.json"} </w:instrText>
      </w:r>
      <w:r w:rsidR="0077263D">
        <w:fldChar w:fldCharType="separate"/>
      </w:r>
      <w:r w:rsidR="0077263D" w:rsidRPr="0077263D">
        <w:t xml:space="preserve">Sadorsky </w:t>
      </w:r>
      <w:r w:rsidR="0077263D">
        <w:t>(</w:t>
      </w:r>
      <w:r w:rsidR="0077263D" w:rsidRPr="0077263D">
        <w:t>2012)</w:t>
      </w:r>
      <w:r w:rsidR="0077263D">
        <w:fldChar w:fldCharType="end"/>
      </w:r>
      <w:r w:rsidR="0077263D">
        <w:t xml:space="preserve"> applies the same hedge ratio calculation method for </w:t>
      </w:r>
      <w:r w:rsidR="00D2198D">
        <w:t>analyzing</w:t>
      </w:r>
      <w:r w:rsidR="0077263D">
        <w:t xml:space="preserve"> the </w:t>
      </w:r>
      <w:r w:rsidR="009F30E5">
        <w:t>c</w:t>
      </w:r>
      <w:r w:rsidR="0077263D" w:rsidRPr="0077263D">
        <w:t>orrelations and volatility spillovers between</w:t>
      </w:r>
      <w:r w:rsidR="00D7201D">
        <w:t xml:space="preserve"> </w:t>
      </w:r>
      <w:r w:rsidR="00EC5C69">
        <w:t>commodity markets and stock market</w:t>
      </w:r>
      <w:r w:rsidR="00B61E64">
        <w:t>s</w:t>
      </w:r>
      <w:r w:rsidR="00EC5C69">
        <w:t>.</w:t>
      </w:r>
      <w:r w:rsidR="00BC3DE4">
        <w:t xml:space="preserve"> </w:t>
      </w:r>
      <w:r w:rsidR="00D2198D">
        <w:t>To</w:t>
      </w:r>
      <w:r w:rsidR="00C102CE">
        <w:t xml:space="preserve"> improve the</w:t>
      </w:r>
      <w:r w:rsidR="003B5D0D">
        <w:t xml:space="preserve"> dynamic hedging </w:t>
      </w:r>
      <w:r w:rsidR="00D2198D">
        <w:t>efficiency</w:t>
      </w:r>
      <w:r w:rsidR="00C8335E">
        <w:t>,</w:t>
      </w:r>
      <w:r w:rsidR="003B5D0D">
        <w:t xml:space="preserve"> </w:t>
      </w:r>
      <w:r w:rsidR="00C102CE">
        <w:fldChar w:fldCharType="begin"/>
      </w:r>
      <w:r w:rsidR="00C102CE">
        <w:instrText xml:space="preserve"> ADDIN ZOTERO_ITEM CSL_CITATION {"citationID":"Vq7nXHla","properties":{"formattedCitation":"(Kim &amp; Park, 2016)","plainCitation":"(Kim &amp; Park, 2016)","noteIndex":0},"citationItems":[{"id":192,"uris":["http://zotero.org/users/13925666/items/HC6UR6AS"],"itemData":{"id":192,"type":"article-journal","abstract":"A number of recent studies adopt bivariate generalized autoregressive conditional heteroskedasticity (BGARCH) models to estimate the optimal conditional hedge ratio. Since the optimal hedge ratio can be expressed by the ratio of variance of futures returns to the covariance of spot and futures, the BGARCH model is quite useful to estimate the conditional hedge ratio. However, it is well known that high variability of an estimated conditional hedge ratio results in lower hedge effectiveness. In this study, we consider a simple shrinkage method to deal with this inverse relationship between volatility of the conditional hedge ratio and hedging effectiveness. Our main idea is that the shrinkage version of the optimal hedge ratio can be obtained from a convex combination of unconditional sample covariance matrix and conditional covariance matrices of a conventional BGARCH model. Our empirical results show the usefulness of our proposed model.","container-title":"Journal of Empirical Finance","DOI":"10.1016/j.jempfin.2016.06.002","ISSN":"0927-5398","journalAbbreviation":"Journal of Empirical Finance","page":"139-156","source":"ScienceDirect","title":"Optimal conditional hedge ratio: A simple shrinkage estimation approach","title-short":"Optimal conditional hedge ratio","volume":"38","author":[{"family":"Kim","given":"Myeong Jun"},{"family":"Park","given":"Sung Y."}],"issued":{"date-parts":[["2016",9,1]]}}}],"schema":"https://github.com/citation-style-language/schema/raw/master/csl-citation.json"} </w:instrText>
      </w:r>
      <w:r w:rsidR="00C102CE">
        <w:fldChar w:fldCharType="separate"/>
      </w:r>
      <w:r w:rsidR="00C102CE" w:rsidRPr="00C102CE">
        <w:t xml:space="preserve">Kim </w:t>
      </w:r>
      <w:r w:rsidR="00C102CE">
        <w:t>and</w:t>
      </w:r>
      <w:r w:rsidR="00C102CE" w:rsidRPr="00C102CE">
        <w:t xml:space="preserve"> Park </w:t>
      </w:r>
      <w:r w:rsidR="00C102CE">
        <w:t>(</w:t>
      </w:r>
      <w:r w:rsidR="00C102CE" w:rsidRPr="00C102CE">
        <w:t>2016)</w:t>
      </w:r>
      <w:r w:rsidR="00C102CE">
        <w:fldChar w:fldCharType="end"/>
      </w:r>
      <w:r w:rsidR="00C102CE">
        <w:t xml:space="preserve"> build </w:t>
      </w:r>
      <w:r w:rsidR="00AF064F">
        <w:t xml:space="preserve">the </w:t>
      </w:r>
      <w:r w:rsidR="00C102CE" w:rsidRPr="00C102CE">
        <w:t>conditional shrinkage hedge ratio,</w:t>
      </w:r>
      <w:r w:rsidR="00E44BD3">
        <w:t xml:space="preserve"> which is the </w:t>
      </w:r>
      <w:r w:rsidR="00E44BD3" w:rsidRPr="00E44BD3">
        <w:t xml:space="preserve">convex combination of the conditional hedge ratio from </w:t>
      </w:r>
      <w:r w:rsidR="00817EDF">
        <w:t>bivariate GARCH</w:t>
      </w:r>
      <w:r w:rsidR="00E44BD3" w:rsidRPr="00E44BD3">
        <w:t xml:space="preserve"> model</w:t>
      </w:r>
      <w:r w:rsidR="004F4E18">
        <w:t>s</w:t>
      </w:r>
      <w:r w:rsidR="00E44BD3" w:rsidRPr="00E44BD3">
        <w:t xml:space="preserve"> and unconditional hedge ratio</w:t>
      </w:r>
      <w:r w:rsidR="000A2C8C">
        <w:t>s</w:t>
      </w:r>
      <w:r w:rsidR="00E44BD3" w:rsidRPr="00E44BD3">
        <w:t>.</w:t>
      </w:r>
      <w:r w:rsidR="00C24C96">
        <w:t xml:space="preserve"> </w:t>
      </w:r>
      <w:r w:rsidR="00A036D7">
        <w:t xml:space="preserve">This improvement can </w:t>
      </w:r>
      <w:r w:rsidR="00947039" w:rsidRPr="00947039">
        <w:t xml:space="preserve">provide </w:t>
      </w:r>
      <w:r w:rsidR="00947039">
        <w:t>better</w:t>
      </w:r>
      <w:r w:rsidR="00947039" w:rsidRPr="00947039">
        <w:t xml:space="preserve"> risk reduction compared to traditional methods</w:t>
      </w:r>
      <w:r w:rsidR="00C25A71">
        <w:t xml:space="preserve"> and </w:t>
      </w:r>
      <w:r w:rsidR="00D2198D">
        <w:t>provide</w:t>
      </w:r>
      <w:r w:rsidR="00543DF8">
        <w:t xml:space="preserve"> more </w:t>
      </w:r>
      <w:r w:rsidR="00D2198D">
        <w:t>adaptability</w:t>
      </w:r>
      <w:r w:rsidR="00543DF8">
        <w:t xml:space="preserve"> to</w:t>
      </w:r>
      <w:r w:rsidR="002D3C45" w:rsidRPr="002D3C45">
        <w:t xml:space="preserve"> </w:t>
      </w:r>
      <w:r w:rsidR="00C25A71" w:rsidRPr="00C25A71">
        <w:t>fluctuating market conditions.</w:t>
      </w:r>
      <w:r w:rsidR="003C30C6">
        <w:t xml:space="preserve"> </w:t>
      </w:r>
      <w:r w:rsidR="00D2198D">
        <w:t>Additionally</w:t>
      </w:r>
      <w:r w:rsidR="00301E0D">
        <w:t xml:space="preserve">, </w:t>
      </w:r>
      <w:r w:rsidR="00AF742A">
        <w:fldChar w:fldCharType="begin"/>
      </w:r>
      <w:r w:rsidR="00AF742A">
        <w:instrText xml:space="preserve"> ADDIN ZOTERO_ITEM CSL_CITATION {"citationID":"UFUVonIb","properties":{"formattedCitation":"(Harris &amp; Shen, 2003)","plainCitation":"(Harris &amp; Shen, 2003)","noteIndex":0},"citationItems":[{"id":195,"uris":["http://zotero.org/users/13925666/items/CVUAPT46"],"itemData":{"id":195,"type":"article-journal","abstract":"Abstract\n            When using derivative instruments such as futures to hedge a portfolio of risky assets, the primary objective\nis to estimate the optimal hedge ratio (OHR). When agents have mean‐variance utility and the\nfutures price follows a martingale, the OHR is equivalent to the minimum variance hedge ratio,which can be\nestimated by regressing the spot market return on the futures market return using ordinary least squares. To\naccommodate time‐varying volatility in asset returns, estimators based on rolling windows, GARCH, or EWMA\nmodels are commonly employed. However, all of these approaches are based on the sample variance and covariance\nestimators of returns, which, while consistent irrespective of the underlying distribution of the data, are not\nin general efficient. In particular, when the distribution of the data is leptokurtic, as is commonly found for\nshort horizon asset returns, these estimators will attach too much weight to extreme observations. This article\nproposes an alternative to the standard approach to the estimation of the OHR that is robust to the\nleptokurtosis of returns. We use the robust OHR to construct a dynamic hedging strategy for daily returns on the\nFTSE100 index using index futures. We estimate the robust OHR using both the rolling window approach and the\nEWMA approach, and compare our results to those based on the standard rolling window and EWMA estimators. It is\nshown that the robust OHR yields a hedged portfolio variance that is marginally lower than that based on the\nstandard estimator. Moreover, the variance of the robust OHR is as much as 70% lower than the variance of\nthe standard OHR, substantially reducing the transaction costs that are associated with dynamic hedging\nstrategies. © 2003 Wiley Periodicals, Inc. Jrl Fut Mark 23:799–816, 2003","container-title":"Journal of Futures Markets","DOI":"10.1002/fut.10085","ISSN":"0270-7314, 1096-9934","issue":"8","journalAbbreviation":"Journal of Futures Markets","language":"en","license":"http://onlinelibrary.wiley.com/termsAndConditions#vor","page":"799-816","source":"DOI.org (Crossref)","title":"Robust estimation of the optimal hedge ratio","volume":"23","author":[{"family":"Harris","given":"Richard D. F."},{"family":"Shen","given":"Jian"}],"issued":{"date-parts":[["2003",8]]}}}],"schema":"https://github.com/citation-style-language/schema/raw/master/csl-citation.json"} </w:instrText>
      </w:r>
      <w:r w:rsidR="00AF742A">
        <w:fldChar w:fldCharType="separate"/>
      </w:r>
      <w:r w:rsidR="00AF742A" w:rsidRPr="00AF742A">
        <w:t xml:space="preserve">Harris </w:t>
      </w:r>
      <w:r w:rsidR="00AF742A">
        <w:t>and</w:t>
      </w:r>
      <w:r w:rsidR="00AF742A" w:rsidRPr="00AF742A">
        <w:t xml:space="preserve"> Shen </w:t>
      </w:r>
      <w:r w:rsidR="00AF742A">
        <w:t>(</w:t>
      </w:r>
      <w:r w:rsidR="00AF742A" w:rsidRPr="00AF742A">
        <w:t>2003)</w:t>
      </w:r>
      <w:r w:rsidR="00AF742A">
        <w:fldChar w:fldCharType="end"/>
      </w:r>
      <w:r w:rsidR="00AF742A">
        <w:t xml:space="preserve"> </w:t>
      </w:r>
      <w:r w:rsidR="00301E0D">
        <w:t xml:space="preserve">also make </w:t>
      </w:r>
      <w:r w:rsidR="00D2198D">
        <w:t>improvements</w:t>
      </w:r>
      <w:r w:rsidR="00301E0D">
        <w:t xml:space="preserve"> for the optimal hedge ratios.</w:t>
      </w:r>
      <w:r w:rsidR="003C04C5">
        <w:t xml:space="preserve"> </w:t>
      </w:r>
      <w:r w:rsidR="00235E90">
        <w:t>Th</w:t>
      </w:r>
      <w:r w:rsidR="00D2198D">
        <w:t>eir</w:t>
      </w:r>
      <w:r w:rsidR="00235E90">
        <w:t xml:space="preserve"> robust optimal hedge ratio</w:t>
      </w:r>
      <w:r w:rsidR="00AF742A">
        <w:t xml:space="preserve"> </w:t>
      </w:r>
      <w:r w:rsidR="005F33EC" w:rsidRPr="005F33EC">
        <w:t>us</w:t>
      </w:r>
      <w:r w:rsidR="005F33EC">
        <w:t xml:space="preserve">es </w:t>
      </w:r>
      <w:r w:rsidR="005F33EC" w:rsidRPr="005F33EC">
        <w:t xml:space="preserve">both the rolling window approach and the </w:t>
      </w:r>
      <w:r w:rsidR="006B6089">
        <w:t>e</w:t>
      </w:r>
      <w:r w:rsidR="006B6089" w:rsidRPr="006B6089">
        <w:t xml:space="preserve">xponentially </w:t>
      </w:r>
      <w:r w:rsidR="006B6089">
        <w:t>w</w:t>
      </w:r>
      <w:r w:rsidR="006B6089" w:rsidRPr="006B6089">
        <w:t xml:space="preserve">eighted </w:t>
      </w:r>
      <w:r w:rsidR="006B6089">
        <w:t>m</w:t>
      </w:r>
      <w:r w:rsidR="006B6089" w:rsidRPr="006B6089">
        <w:t xml:space="preserve">oving </w:t>
      </w:r>
      <w:r w:rsidR="006B6089">
        <w:t>a</w:t>
      </w:r>
      <w:r w:rsidR="006B6089" w:rsidRPr="006B6089">
        <w:t>verage</w:t>
      </w:r>
      <w:r w:rsidR="005F33EC" w:rsidRPr="005F33EC">
        <w:t xml:space="preserve"> approach</w:t>
      </w:r>
      <w:r w:rsidR="005F33EC">
        <w:t xml:space="preserve">, </w:t>
      </w:r>
      <w:r w:rsidR="001B6A9A">
        <w:t>which</w:t>
      </w:r>
      <w:r w:rsidR="005F33EC">
        <w:t xml:space="preserve"> can take into account the</w:t>
      </w:r>
      <w:r w:rsidR="005F33EC" w:rsidRPr="003B2393">
        <w:t xml:space="preserve"> leptokurtosis of returns</w:t>
      </w:r>
      <w:r w:rsidR="0039599D">
        <w:t xml:space="preserve">. </w:t>
      </w:r>
      <w:r w:rsidR="00924327">
        <w:t>Also, th</w:t>
      </w:r>
      <w:r w:rsidR="001B6A9A">
        <w:t>is</w:t>
      </w:r>
      <w:r w:rsidR="00924327">
        <w:t xml:space="preserve"> robust optimal hedge ratio can lower the variance of </w:t>
      </w:r>
      <w:r w:rsidR="00622D94">
        <w:t xml:space="preserve">the </w:t>
      </w:r>
      <w:r w:rsidR="00924327">
        <w:t xml:space="preserve">standard hedge ratio, </w:t>
      </w:r>
      <w:r w:rsidR="00622D94">
        <w:t>which</w:t>
      </w:r>
      <w:r w:rsidR="00924327">
        <w:t xml:space="preserve"> is useful for reducing </w:t>
      </w:r>
      <w:r w:rsidR="00924327" w:rsidRPr="00924327">
        <w:t xml:space="preserve">transaction costs </w:t>
      </w:r>
      <w:r w:rsidR="00924327">
        <w:t>within</w:t>
      </w:r>
      <w:r w:rsidR="00924327" w:rsidRPr="00924327">
        <w:t xml:space="preserve"> dynamic hedging strategies.</w:t>
      </w:r>
      <w:r w:rsidR="00924327">
        <w:t xml:space="preserve"> </w:t>
      </w:r>
      <w:r w:rsidR="00A962E5">
        <w:t xml:space="preserve">As for the </w:t>
      </w:r>
      <w:r w:rsidR="00622D94">
        <w:t>evaluation</w:t>
      </w:r>
      <w:r w:rsidR="00A962E5">
        <w:t xml:space="preserve"> of the</w:t>
      </w:r>
      <w:r w:rsidR="00C50282">
        <w:t xml:space="preserve"> efficiency of the</w:t>
      </w:r>
      <w:r w:rsidR="00A962E5">
        <w:t xml:space="preserve"> hedge ratios, </w:t>
      </w:r>
      <w:r w:rsidR="0086142B">
        <w:t>the performance</w:t>
      </w:r>
      <w:r w:rsidR="00584B1F">
        <w:t xml:space="preserve"> is </w:t>
      </w:r>
      <w:r w:rsidR="00584B1F" w:rsidRPr="00584B1F">
        <w:t>estimated</w:t>
      </w:r>
      <w:r w:rsidR="00584B1F">
        <w:t xml:space="preserve"> by using the </w:t>
      </w:r>
      <w:r w:rsidR="00584B1F" w:rsidRPr="00584B1F">
        <w:t xml:space="preserve">minimum variance hedge ratio framework </w:t>
      </w:r>
      <w:r w:rsidR="002E2646">
        <w:t>introduced</w:t>
      </w:r>
      <w:r w:rsidR="00584B1F" w:rsidRPr="00584B1F">
        <w:t xml:space="preserve"> by</w:t>
      </w:r>
      <w:r w:rsidR="00584B1F">
        <w:t xml:space="preserve"> </w:t>
      </w:r>
      <w:r w:rsidR="00F854D1">
        <w:fldChar w:fldCharType="begin"/>
      </w:r>
      <w:r w:rsidR="00F854D1">
        <w:instrText xml:space="preserve"> ADDIN ZOTERO_ITEM CSL_CITATION {"citationID":"XDvc2YFq","properties":{"formattedCitation":"(Ederington, 1979)","plainCitation":"(Ederington, 1979)","noteIndex":0},"citationItems":[{"id":193,"uris":["http://zotero.org/users/13925666/items/UIF7M99N"],"itemData":{"id":193,"type":"article-journal","container-title":"The journal of finance","issue":"1","note":"publisher: JSTOR","page":"157–170","source":"Google Scholar","title":"The hedging performance of the new futures markets","volume":"34","author":[{"family":"Ederington","given":"Louis H."}],"issued":{"date-parts":[["1979"]]}}}],"schema":"https://github.com/citation-style-language/schema/raw/master/csl-citation.json"} </w:instrText>
      </w:r>
      <w:r w:rsidR="00F854D1">
        <w:fldChar w:fldCharType="separate"/>
      </w:r>
      <w:r w:rsidR="00F854D1" w:rsidRPr="00F854D1">
        <w:t xml:space="preserve">Ederington </w:t>
      </w:r>
      <w:r w:rsidR="00F854D1">
        <w:t>(</w:t>
      </w:r>
      <w:r w:rsidR="00F854D1" w:rsidRPr="00F854D1">
        <w:t>1979)</w:t>
      </w:r>
      <w:r w:rsidR="00F854D1">
        <w:fldChar w:fldCharType="end"/>
      </w:r>
      <w:r w:rsidR="00AB1B2C">
        <w:t xml:space="preserve">, </w:t>
      </w:r>
      <w:r w:rsidR="00622D94">
        <w:t>which</w:t>
      </w:r>
      <w:r w:rsidR="00AB1B2C">
        <w:t xml:space="preserve"> is the same performance </w:t>
      </w:r>
      <w:r w:rsidR="00622D94">
        <w:t>evaluation</w:t>
      </w:r>
      <w:r w:rsidR="00AB1B2C">
        <w:t xml:space="preserve"> method as the </w:t>
      </w:r>
      <w:r w:rsidR="00622D94">
        <w:t>traditional</w:t>
      </w:r>
      <w:r w:rsidR="00AB1B2C">
        <w:t xml:space="preserve"> static hedge ratios</w:t>
      </w:r>
      <w:r w:rsidR="00DD5FBF">
        <w:t>.</w:t>
      </w:r>
      <w:r w:rsidR="00622D94">
        <w:t xml:space="preserve"> </w:t>
      </w:r>
    </w:p>
    <w:p w14:paraId="6DD8144B" w14:textId="77777777" w:rsidR="00D640F1" w:rsidRDefault="00000000">
      <w:pPr>
        <w:jc w:val="both"/>
      </w:pPr>
      <w:r>
        <w:br w:type="page"/>
      </w:r>
    </w:p>
    <w:p w14:paraId="3869A3F2" w14:textId="77777777" w:rsidR="00D640F1" w:rsidRDefault="00000000" w:rsidP="00D145BD">
      <w:pPr>
        <w:pStyle w:val="Heading1"/>
        <w:jc w:val="both"/>
      </w:pPr>
      <w:bookmarkStart w:id="7" w:name="_Toc167478286"/>
      <w:r>
        <w:t>3. Methodology</w:t>
      </w:r>
      <w:bookmarkEnd w:id="7"/>
    </w:p>
    <w:p w14:paraId="47C34F95" w14:textId="0DA6D3A9" w:rsidR="00D640F1" w:rsidRDefault="00723C1D" w:rsidP="00D145BD">
      <w:pPr>
        <w:spacing w:after="240"/>
        <w:jc w:val="both"/>
      </w:pPr>
      <w:r>
        <w:t>This section present</w:t>
      </w:r>
      <w:r w:rsidR="00B772D8">
        <w:t>s</w:t>
      </w:r>
      <w:r>
        <w:t xml:space="preserve"> </w:t>
      </w:r>
      <w:r w:rsidR="00F45740">
        <w:t>the</w:t>
      </w:r>
      <w:r>
        <w:t xml:space="preserve"> methodologies. First, </w:t>
      </w:r>
      <w:r w:rsidR="005D4272">
        <w:t xml:space="preserve">this </w:t>
      </w:r>
      <w:r w:rsidR="00AD3DC8">
        <w:t>study</w:t>
      </w:r>
      <w:r>
        <w:t xml:space="preserve"> </w:t>
      </w:r>
      <w:r w:rsidR="00617C98">
        <w:t>considers</w:t>
      </w:r>
      <w:r>
        <w:t xml:space="preserve"> using the normal and student</w:t>
      </w:r>
      <w:r w:rsidR="004C79F3">
        <w:t xml:space="preserve"> </w:t>
      </w:r>
      <w:r>
        <w:t xml:space="preserve">t distribution to take into account the error features. Second, </w:t>
      </w:r>
      <w:r w:rsidR="00CE1849">
        <w:t>the</w:t>
      </w:r>
      <w:r>
        <w:t xml:space="preserve"> multivariate GARCH models of diagonal VECH, diagonal BEKK, and CCC</w:t>
      </w:r>
      <w:r w:rsidR="001C23A7">
        <w:t xml:space="preserve"> are constructed</w:t>
      </w:r>
      <w:r w:rsidR="00F81853">
        <w:t xml:space="preserve"> by using Eviews</w:t>
      </w:r>
      <w:r>
        <w:t xml:space="preserve">, which can model the time-varying volatility. </w:t>
      </w:r>
      <w:r w:rsidR="00C9373B">
        <w:t>Next</w:t>
      </w:r>
      <w:r>
        <w:t xml:space="preserve">, </w:t>
      </w:r>
      <w:r w:rsidR="00522631">
        <w:t>th</w:t>
      </w:r>
      <w:r w:rsidR="002E0097">
        <w:t>is</w:t>
      </w:r>
      <w:r w:rsidR="00522631">
        <w:t xml:space="preserve"> </w:t>
      </w:r>
      <w:r w:rsidR="000D2992">
        <w:t>study</w:t>
      </w:r>
      <w:r>
        <w:t xml:space="preserve"> </w:t>
      </w:r>
      <w:r w:rsidR="00522631">
        <w:t>optimizes the</w:t>
      </w:r>
      <w:r>
        <w:t xml:space="preserve"> investment weight</w:t>
      </w:r>
      <w:r w:rsidR="00352F82">
        <w:t>s</w:t>
      </w:r>
      <w:r>
        <w:t xml:space="preserve"> based on seven portfolios</w:t>
      </w:r>
      <w:r w:rsidR="00B672DD">
        <w:t xml:space="preserve"> by </w:t>
      </w:r>
      <w:r w:rsidR="006430D5">
        <w:t xml:space="preserve">using </w:t>
      </w:r>
      <w:r w:rsidR="00B672DD">
        <w:t>Python</w:t>
      </w:r>
      <w:r w:rsidR="004A7B5F">
        <w:t>. The selected</w:t>
      </w:r>
      <w:r w:rsidR="00A43CFD">
        <w:t xml:space="preserve"> seven</w:t>
      </w:r>
      <w:r w:rsidR="004A7B5F">
        <w:t xml:space="preserve"> portfolio strategies are</w:t>
      </w:r>
      <w:r>
        <w:t xml:space="preserve"> equal weight, mean-variance, minimum variance, minimum correlation, maximum </w:t>
      </w:r>
      <w:r w:rsidR="004F508B">
        <w:t>S</w:t>
      </w:r>
      <w:r>
        <w:t xml:space="preserve">harpe ratio, maximum </w:t>
      </w:r>
      <w:r w:rsidR="004F508B">
        <w:t>S</w:t>
      </w:r>
      <w:r>
        <w:t xml:space="preserve">ortino ratio, </w:t>
      </w:r>
      <w:r w:rsidR="0045029A">
        <w:t xml:space="preserve">and </w:t>
      </w:r>
      <w:r w:rsidR="00592AD3">
        <w:t xml:space="preserve">minimum </w:t>
      </w:r>
      <w:r>
        <w:t>C</w:t>
      </w:r>
      <w:r w:rsidR="00272652">
        <w:t>V</w:t>
      </w:r>
      <w:r>
        <w:t xml:space="preserve">aR. By analyzing their performance, the fittest portfolio </w:t>
      </w:r>
      <w:r w:rsidR="009D2B36">
        <w:t xml:space="preserve">strategies </w:t>
      </w:r>
      <w:r w:rsidR="00383D91">
        <w:t>over time</w:t>
      </w:r>
      <w:r w:rsidR="002D58D9">
        <w:t xml:space="preserve"> can be found</w:t>
      </w:r>
      <w:r>
        <w:t>.</w:t>
      </w:r>
      <w:r w:rsidR="00DC06F3">
        <w:t xml:space="preserve"> </w:t>
      </w:r>
      <w:r w:rsidR="00C9373B">
        <w:t xml:space="preserve">Finally, </w:t>
      </w:r>
      <w:r w:rsidR="00504C3A">
        <w:t>w</w:t>
      </w:r>
      <w:r w:rsidR="0080568B">
        <w:t>ith the goal of reducing risk</w:t>
      </w:r>
      <w:r w:rsidR="002608B1">
        <w:t xml:space="preserve"> </w:t>
      </w:r>
      <w:r w:rsidR="00E51BE7">
        <w:t xml:space="preserve">within </w:t>
      </w:r>
      <w:r w:rsidR="00436214">
        <w:t xml:space="preserve">the </w:t>
      </w:r>
      <w:r w:rsidR="002608B1" w:rsidRPr="002608B1">
        <w:t xml:space="preserve">commodity </w:t>
      </w:r>
      <w:r w:rsidR="00005F1C">
        <w:t>market</w:t>
      </w:r>
      <w:r w:rsidR="00C443B2">
        <w:t xml:space="preserve">, </w:t>
      </w:r>
      <w:r w:rsidR="00F266E7">
        <w:t xml:space="preserve">the hedge ratios between commodity pairs </w:t>
      </w:r>
      <w:r w:rsidR="00562DDC">
        <w:t>are</w:t>
      </w:r>
      <w:r w:rsidR="00F266E7">
        <w:t xml:space="preserve"> calculated. </w:t>
      </w:r>
    </w:p>
    <w:p w14:paraId="2AD0EAB6" w14:textId="77777777" w:rsidR="00D640F1" w:rsidRDefault="00000000" w:rsidP="00D145BD">
      <w:pPr>
        <w:pStyle w:val="Heading2"/>
        <w:jc w:val="both"/>
      </w:pPr>
      <w:bookmarkStart w:id="8" w:name="_Toc167478287"/>
      <w:r>
        <w:t>3.1 Data</w:t>
      </w:r>
      <w:bookmarkEnd w:id="8"/>
    </w:p>
    <w:p w14:paraId="2BC90AF4" w14:textId="31A8B6CE" w:rsidR="00D640F1" w:rsidRDefault="00000000" w:rsidP="00D145BD">
      <w:pPr>
        <w:spacing w:after="240"/>
        <w:jc w:val="both"/>
      </w:pPr>
      <w:r>
        <w:t>This study uses the daily</w:t>
      </w:r>
      <w:r w:rsidR="00440420">
        <w:t xml:space="preserve"> commodity</w:t>
      </w:r>
      <w:r>
        <w:t xml:space="preserve"> closing price</w:t>
      </w:r>
      <w:r w:rsidR="00CE21F2">
        <w:t xml:space="preserve"> </w:t>
      </w:r>
      <w:r>
        <w:t xml:space="preserve">groups of metal, energy, and </w:t>
      </w:r>
      <w:r w:rsidR="00E52C14">
        <w:t>agriculture</w:t>
      </w:r>
      <w:r>
        <w:t xml:space="preserve"> from 1991 to 2023 as shown in </w:t>
      </w:r>
      <w:r w:rsidR="00170D4F" w:rsidRPr="00C84CA2">
        <w:fldChar w:fldCharType="begin"/>
      </w:r>
      <w:r w:rsidR="00170D4F" w:rsidRPr="00C84CA2">
        <w:instrText xml:space="preserve"> REF _Ref167229621 \h </w:instrText>
      </w:r>
      <w:r w:rsidR="00C84CA2">
        <w:instrText xml:space="preserve"> \* MERGEFORMAT </w:instrText>
      </w:r>
      <w:r w:rsidR="00170D4F" w:rsidRPr="00C84CA2">
        <w:fldChar w:fldCharType="separate"/>
      </w:r>
      <w:r w:rsidR="002E6614" w:rsidRPr="002E6614">
        <w:t xml:space="preserve">Appendix </w:t>
      </w:r>
      <w:r w:rsidR="002E6614" w:rsidRPr="002E6614">
        <w:rPr>
          <w:noProof/>
        </w:rPr>
        <w:t>A</w:t>
      </w:r>
      <w:r w:rsidR="00170D4F" w:rsidRPr="00C84CA2">
        <w:fldChar w:fldCharType="end"/>
      </w:r>
      <w:r w:rsidR="007E66FA">
        <w:t xml:space="preserve"> of </w:t>
      </w:r>
      <w:r>
        <w:t xml:space="preserve">Table </w:t>
      </w:r>
      <w:r w:rsidR="007E66FA">
        <w:t>A</w:t>
      </w:r>
      <w:r>
        <w:t>1. There are 14 individual commodities</w:t>
      </w:r>
      <w:r w:rsidR="00FB382C">
        <w:t>, each</w:t>
      </w:r>
      <w:r w:rsidR="00A40D22">
        <w:t xml:space="preserve"> with 6329 days of </w:t>
      </w:r>
      <w:r w:rsidR="00493AE7">
        <w:t>observations</w:t>
      </w:r>
      <w:r>
        <w:t xml:space="preserve">, including gold, silver, palladium, platinum, copper, WTI crude oil, Brent crude oil, natural gas, corn, cocoa, cotton, coffee, lean hogs, and soybeans. The price data is obtained from Refinitiv Eikon. The commodity products are traded on different commodity markets and each market has its own unique focus. The New York Mercantile Exchange serves as the primary trading market for </w:t>
      </w:r>
      <w:r w:rsidR="003A43DC">
        <w:t>p</w:t>
      </w:r>
      <w:r>
        <w:t xml:space="preserve">alladium, </w:t>
      </w:r>
      <w:r w:rsidR="003A43DC">
        <w:t>p</w:t>
      </w:r>
      <w:r>
        <w:t xml:space="preserve">latinum, WTI </w:t>
      </w:r>
      <w:r w:rsidR="003A43DC">
        <w:t>c</w:t>
      </w:r>
      <w:r>
        <w:t xml:space="preserve">rude </w:t>
      </w:r>
      <w:r w:rsidR="003A43DC">
        <w:t>o</w:t>
      </w:r>
      <w:r>
        <w:t xml:space="preserve">il, and </w:t>
      </w:r>
      <w:r w:rsidR="003A43DC">
        <w:t>n</w:t>
      </w:r>
      <w:r>
        <w:t xml:space="preserve">atural </w:t>
      </w:r>
      <w:r w:rsidR="003A43DC">
        <w:t>g</w:t>
      </w:r>
      <w:r>
        <w:t xml:space="preserve">as, focusing on </w:t>
      </w:r>
      <w:r w:rsidR="00BE5BEA">
        <w:t xml:space="preserve">the </w:t>
      </w:r>
      <w:r w:rsidR="006511B1">
        <w:t>metal</w:t>
      </w:r>
      <w:r>
        <w:t xml:space="preserve"> and </w:t>
      </w:r>
      <w:r w:rsidR="006511B1">
        <w:t>energy</w:t>
      </w:r>
      <w:r>
        <w:t xml:space="preserve"> sectors. Meanwhile, the Intercontinental Exchange mainly exchanges Brent </w:t>
      </w:r>
      <w:r w:rsidR="00BE5BEA">
        <w:t>c</w:t>
      </w:r>
      <w:r>
        <w:t xml:space="preserve">rude </w:t>
      </w:r>
      <w:r w:rsidR="00077DBA">
        <w:t>o</w:t>
      </w:r>
      <w:r>
        <w:t xml:space="preserve">il, </w:t>
      </w:r>
      <w:r w:rsidR="006E4209">
        <w:t>c</w:t>
      </w:r>
      <w:r>
        <w:t xml:space="preserve">ocoa, </w:t>
      </w:r>
      <w:r w:rsidR="006E4209">
        <w:t>c</w:t>
      </w:r>
      <w:r>
        <w:t xml:space="preserve">otton, and </w:t>
      </w:r>
      <w:r w:rsidR="006E4209">
        <w:t>c</w:t>
      </w:r>
      <w:r>
        <w:t xml:space="preserve">offee, which is related to the global energy and agricultural markets. </w:t>
      </w:r>
      <w:r w:rsidR="00E665E6">
        <w:t>C</w:t>
      </w:r>
      <w:r>
        <w:t xml:space="preserve">orn and </w:t>
      </w:r>
      <w:r w:rsidR="0013489A">
        <w:t>s</w:t>
      </w:r>
      <w:r>
        <w:t xml:space="preserve">oybeans are the center products </w:t>
      </w:r>
      <w:r w:rsidR="00D0769C">
        <w:t>of</w:t>
      </w:r>
      <w:r>
        <w:t xml:space="preserve"> the Chicago Board of Trade, which focuses on food</w:t>
      </w:r>
      <w:r w:rsidR="007860B9">
        <w:t xml:space="preserve"> </w:t>
      </w:r>
      <w:r>
        <w:t xml:space="preserve">industries. Additionally, the Chicago Mercantile Exchange concentrates on the </w:t>
      </w:r>
      <w:r w:rsidR="00B92EB2">
        <w:t>l</w:t>
      </w:r>
      <w:r>
        <w:t xml:space="preserve">ean </w:t>
      </w:r>
      <w:r w:rsidR="00DC6A11">
        <w:t>h</w:t>
      </w:r>
      <w:r>
        <w:t>ogs trading</w:t>
      </w:r>
      <w:r w:rsidR="00AD460A">
        <w:t xml:space="preserve"> </w:t>
      </w:r>
      <w:r w:rsidR="00AD460A">
        <w:fldChar w:fldCharType="begin"/>
      </w:r>
      <w:r w:rsidR="00797B55">
        <w:instrText xml:space="preserve"> ADDIN ZOTERO_ITEM CSL_CITATION {"citationID":"quFdKczJ","properties":{"formattedCitation":"(Haar &amp; Gregoriou, 2021)","plainCitation":"(Haar &amp; Gregoriou, 2021)","dontUpdate":true,"noteIndex":0},"citationItems":[{"id":189,"uris":["http://zotero.org/users/13925666/items/C329F62N"],"itemData":{"id":189,"type":"article-journal","abstract":"In this paper, we investigate the relation between hedging activity by commercial/merchant/producers to commodity prices and commodity market volatility using Commitments of Traders reports from commodity futures markets exchanges. Qualifying the body of literature which attributes hedging activity to departures from Modigliani-Miller theory, market imperfections and transactions cost, we address the paradoxes of hedging which is not value creating and the absence of hedging when firms might benefit, arguing that it may be related to the market conditions and risk appetite. We discover that prices and volatility are generally statistically significant contributors to hedging activity by commercial/merchant/producers’ users but with marked differences in their elasticities. For some commodities, price levels alone and not volatility are significant. We demonstrate that analysis of hedging in commodity markets should take cognisance of conditions and the degree of risk aversion, otherwise the implicit assumption is that hedging is invariant to such matters. Through considering both market conditions and the degree of risk aversion, understanding the motivation for hedging may be enhanced.","container-title":"International Review of Financial Analysis","DOI":"10.1016/j.irfa.2021.101959","ISSN":"1057-5219","journalAbbreviation":"International Review of Financial Analysis","page":"101959","source":"ScienceDirect","title":"Risk management and market conditions","volume":"78","author":[{"family":"Haar","given":"Lawrence"},{"family":"Gregoriou","given":"Andros"}],"issued":{"date-parts":[["2021",11,1]]}}}],"schema":"https://github.com/citation-style-language/schema/raw/master/csl-citation.json"} </w:instrText>
      </w:r>
      <w:r w:rsidR="00AD460A">
        <w:fldChar w:fldCharType="separate"/>
      </w:r>
      <w:r w:rsidR="00AD460A" w:rsidRPr="00AD460A">
        <w:t>(</w:t>
      </w:r>
      <w:r w:rsidR="00AD460A">
        <w:t xml:space="preserve">see </w:t>
      </w:r>
      <w:r w:rsidR="00AD460A" w:rsidRPr="00AD460A">
        <w:t>Haar &amp; Gregoriou, 2021)</w:t>
      </w:r>
      <w:r w:rsidR="00AD460A">
        <w:fldChar w:fldCharType="end"/>
      </w:r>
      <w:r>
        <w:t>.</w:t>
      </w:r>
      <w:r w:rsidR="00AB12F0">
        <w:t xml:space="preserve"> </w:t>
      </w:r>
    </w:p>
    <w:p w14:paraId="41FEEC9C" w14:textId="0C499DB8" w:rsidR="00D640F1" w:rsidRDefault="00000000" w:rsidP="00D145BD">
      <w:pPr>
        <w:spacing w:after="240"/>
        <w:jc w:val="both"/>
      </w:pPr>
      <w:r>
        <w:t xml:space="preserve">There are high correlations between commodity futures and spot prices </w:t>
      </w:r>
      <w:r w:rsidR="00B0055A">
        <w:fldChar w:fldCharType="begin"/>
      </w:r>
      <w:r w:rsidR="00B0055A">
        <w:instrText xml:space="preserve"> ADDIN ZOTERO_ITEM CSL_CITATION {"citationID":"h2OhrkT3","properties":{"formattedCitation":"(Gulley &amp; Tilton, 2014)","plainCitation":"(Gulley &amp; Tilton, 2014)","noteIndex":0},"citationItems":[{"id":54,"uris":["http://zotero.org/users/13925666/items/6VEXJ2X7"],"itemData":{"id":54,"type":"article-journal","abstract":"In their recent article, Tilton et al. (2011, Resour. Policy, 36, 187–195) contend on the basis of conceptual and theoretical arguments that spot and futures prices for metals and other commodities should be closely correlated during periods of strong contango and much less correlated during periods of backwardation or weak contango. If true, this hypothesis implies that speculation and investor demand, most of which takes place on futures markets, should affect spot prices much less or not at all during periods of backwardation or weak contango. This study provides an empirical test of this hypothesis using daily changes in LME average copper prices over the 1994–2011 period. It finds that the correlation coefficients between day-to-day changes in spot and futures prices are quite close to 1 during periods of strong contango. During periods of backwardation and weak contango, the correlations are positive but lower. These findings provide empirical support for the hypothesis advanced by Tilton et al. that investor demand on futures markets affects spot and futures prices similarly when the markets are in strong contango but somewhat less so when they are in weak contango or backwardation.","container-title":"Resources Policy","DOI":"10.1016/j.resourpol.2014.03.005","ISSN":"0301-4207","journalAbbreviation":"Resources Policy","page":"109-112","source":"ScienceDirect","title":"The relationship between spot and futures prices: An empirical analysis","title-short":"The relationship between spot and futures prices","volume":"41","author":[{"family":"Gulley","given":"Andrew"},{"family":"Tilton","given":"John E."}],"issued":{"date-parts":[["2014",9,1]]}}}],"schema":"https://github.com/citation-style-language/schema/raw/master/csl-citation.json"} </w:instrText>
      </w:r>
      <w:r w:rsidR="00B0055A">
        <w:fldChar w:fldCharType="separate"/>
      </w:r>
      <w:r w:rsidR="00B0055A" w:rsidRPr="00B0055A">
        <w:t>(Gulley &amp; Tilton, 2014)</w:t>
      </w:r>
      <w:r w:rsidR="00B0055A">
        <w:fldChar w:fldCharType="end"/>
      </w:r>
      <w:r>
        <w:t xml:space="preserve">, and particularly a strong unidirectional relationship from futures to spots for both metal and agricultural commodities </w:t>
      </w:r>
      <w:r w:rsidR="00B0055A">
        <w:fldChar w:fldCharType="begin"/>
      </w:r>
      <w:r w:rsidR="00B0055A">
        <w:instrText xml:space="preserve"> ADDIN ZOTERO_ITEM CSL_CITATION {"citationID":"OXFZzOt0","properties":{"formattedCitation":"(Joseph et al., 2014)","plainCitation":"(Joseph et al., 2014)","noteIndex":0},"citationItems":[{"id":52,"uris":["http://zotero.org/users/13925666/items/PWGHR4NW"],"itemData":{"id":52,"type":"article-journal","abstract":"This paper examines the direction, strength and extent of causal relationship between futures and spot prices of Indian commodity markets using frequency domain approach of Breitung and Candelon (2006). Frequency domain analysis offers an effective alternative tool by examining the causality in frequency domain, whereas in traditional econometric causality analysis tools focus only on the time domain. Daily futures and spot price series on eight commodities from the Indian commodity exchanges (MCX and NCDEX) were examined for the period 3rd January, 2008 to 31st December, 2012. The results of frequency domain analysis suggest that there is a strong uni-directional relationship from futures to spot in almost all the selected commodities. This indicates that futures market has a powerful price discovery function in all the selected commodities; which in turn indicates the efficiency of Indian commodity futures market.","container-title":"Economic Modelling","DOI":"10.1016/j.econmod.2014.04.019","ISSN":"0264-9993","journalAbbreviation":"Economic Modelling","page":"250-258","source":"ScienceDirect","title":"A frequency domain causality investigation between futures and spot prices of Indian commodity markets","volume":"40","author":[{"family":"Joseph","given":"Anto"},{"family":"Sisodia","given":"Garima"},{"family":"Tiwari","given":"Aviral Kumar"}],"issued":{"date-parts":[["2014",6,1]]}}}],"schema":"https://github.com/citation-style-language/schema/raw/master/csl-citation.json"} </w:instrText>
      </w:r>
      <w:r w:rsidR="00B0055A">
        <w:fldChar w:fldCharType="separate"/>
      </w:r>
      <w:r w:rsidR="00B0055A" w:rsidRPr="00B0055A">
        <w:t>(Joseph et al., 2014)</w:t>
      </w:r>
      <w:r w:rsidR="00B0055A">
        <w:fldChar w:fldCharType="end"/>
      </w:r>
      <w:r>
        <w:t xml:space="preserve">. However, the choice of commodity price is often the commodity futures rather than the spot price considering the absence of arbitrage </w:t>
      </w:r>
      <w:r w:rsidR="00B0055A">
        <w:fldChar w:fldCharType="begin"/>
      </w:r>
      <w:r w:rsidR="00B0055A">
        <w:instrText xml:space="preserve"> ADDIN ZOTERO_ITEM CSL_CITATION {"citationID":"xkQnKKKD","properties":{"formattedCitation":"(Rad et al., 2022)","plainCitation":"(Rad et al., 2022)","noteIndex":0},"citationItems":[{"id":49,"uris":["http://zotero.org/users/13925666/items/GWNSC42G"],"itemData":{"id":49,"type":"article-journal","abstract":"Our study lies at the intersection of the literature on the diversification benefits of commodity futures and the literature on style integration. It augments the traditional asset mix of investors with a long–short portfolio that integrates the styles that matter to the pricing of commodity futures. Treating the style-integrated portfolio of commodities as part of the strategic mix of investors is found to enhance out-of-sample performance and reduce crash risk compared to the alternatives considered thus far. The conclusion holds across traditional asset mix, portfolio allocation methods, integration strategies, and sub-periods. The diversification benefits of style integration also persist, albeit lower, in a long-only setting.","container-title":"Journal of Commodity Markets","DOI":"10.1016/j.jcomm.2022.100259","ISSN":"2405-8513","journalAbbreviation":"Journal of Commodity Markets","page":"100259","source":"ScienceDirect","title":"The strategic allocation to style-integrated portfolios of commodity futures","volume":"28","author":[{"family":"Rad","given":"Hossein"},{"family":"Low","given":"Rand Kwong Yew"},{"family":"Miffre","given":"Joëlle"},{"family":"Faff","given":"Robert"}],"issued":{"date-parts":[["2022",12,1]]}}}],"schema":"https://github.com/citation-style-language/schema/raw/master/csl-citation.json"} </w:instrText>
      </w:r>
      <w:r w:rsidR="00B0055A">
        <w:fldChar w:fldCharType="separate"/>
      </w:r>
      <w:r w:rsidR="00B0055A" w:rsidRPr="00B0055A">
        <w:t>(Rad et al., 2022)</w:t>
      </w:r>
      <w:r w:rsidR="00B0055A">
        <w:fldChar w:fldCharType="end"/>
      </w:r>
      <w:r>
        <w:t>. After acquiring the daily prices of the commodities of the chosen period,  the continuously compounded daily returns</w:t>
      </w:r>
      <w:r w:rsidR="001F4EC1">
        <w:t xml:space="preserve"> are obtained</w:t>
      </w:r>
      <w:r>
        <w:t xml:space="preserve"> by taking the difference in the log of two consecutive prices. The log returns can provide us with a normalized measure of returns and can help reduce the problem of non-stationarity or unit roots during the estimation. The daily return of the commodities is defined as: </w:t>
      </w:r>
    </w:p>
    <w:p w14:paraId="7A69AB32" w14:textId="1ECA175C" w:rsidR="00DC0D32" w:rsidRDefault="00000000" w:rsidP="00EF12C4">
      <w:pPr>
        <w:pStyle w:val="Caption"/>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m:t>
                      </m:r>
                    </m:sub>
                  </m:sSub>
                </m:num>
                <m:den>
                  <m:sSub>
                    <m:sSubPr>
                      <m:ctrlPr>
                        <w:rPr>
                          <w:rFonts w:ascii="Cambria Math" w:hAnsi="Cambria Math"/>
                        </w:rPr>
                      </m:ctrlPr>
                    </m:sSubPr>
                    <m:e>
                      <m:r>
                        <w:rPr>
                          <w:rFonts w:ascii="Cambria Math" w:hAnsi="Cambria Math"/>
                        </w:rPr>
                        <m:t>P</m:t>
                      </m:r>
                    </m:e>
                    <m:sub>
                      <m:r>
                        <w:rPr>
                          <w:rFonts w:ascii="Cambria Math" w:hAnsi="Cambria Math"/>
                        </w:rPr>
                        <m:t>t-1</m:t>
                      </m:r>
                    </m:sub>
                  </m:sSub>
                </m:den>
              </m:f>
              <m:r>
                <w:rPr>
                  <w:rFonts w:ascii="Cambria Math" w:hAnsi="Cambria Math"/>
                </w:rPr>
                <m:t>=</m:t>
              </m:r>
              <m:sSub>
                <m:sSubPr>
                  <m:ctrlPr>
                    <w:rPr>
                      <w:rFonts w:ascii="Cambria Math" w:hAnsi="Cambria Math"/>
                    </w:rPr>
                  </m:ctrlPr>
                </m:sSubPr>
                <m:e>
                  <m:r>
                    <w:rPr>
                      <w:rFonts w:ascii="Cambria Math" w:hAnsi="Cambria Math"/>
                    </w:rPr>
                    <m:t>lnP</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lnP</m:t>
                  </m:r>
                </m:e>
                <m:sub>
                  <m:r>
                    <w:rPr>
                      <w:rFonts w:ascii="Cambria Math" w:hAnsi="Cambria Math"/>
                    </w:rPr>
                    <m:t>t-1</m:t>
                  </m:r>
                </m:sub>
              </m:sSub>
              <m:r>
                <w:rPr>
                  <w:rFonts w:ascii="Cambria Math" w:hAnsi="Cambria Math"/>
                </w:rPr>
                <m:t xml:space="preserve"> #</m:t>
              </m:r>
              <m:d>
                <m:dPr>
                  <m:ctrlPr>
                    <w:rPr>
                      <w:rFonts w:ascii="Cambria Math" w:hAnsi="Cambria Math"/>
                      <w:i/>
                    </w:rPr>
                  </m:ctrlPr>
                </m:dPr>
                <m:e>
                  <m:r>
                    <m:rPr>
                      <m:sty m:val="p"/>
                    </m:rPr>
                    <w:rPr>
                      <w:rFonts w:ascii="Cambria Math" w:hAnsi="Cambria Math"/>
                    </w:rPr>
                    <w:fldChar w:fldCharType="begin"/>
                  </m:r>
                  <m:r>
                    <m:rPr>
                      <m:sty m:val="p"/>
                    </m:rPr>
                    <w:rPr>
                      <w:rFonts w:ascii="Cambria Math" w:hAnsi="Cambria Math"/>
                    </w:rPr>
                    <m:t xml:space="preserve"> SEQ </m:t>
                  </m:r>
                  <m:r>
                    <m:rPr>
                      <m:sty m:val="p"/>
                    </m:rPr>
                    <w:rPr>
                      <w:rFonts w:ascii="宋体" w:eastAsia="宋体" w:hAnsi="宋体" w:cs="宋体" w:hint="eastAsia"/>
                    </w:rPr>
                    <m:t>公式</m:t>
                  </m:r>
                  <m:r>
                    <m:rPr>
                      <m:sty m:val="p"/>
                    </m:rPr>
                    <w:rPr>
                      <w:rFonts w:ascii="Cambria Math" w:hAnsi="Cambria Math"/>
                    </w:rPr>
                    <m:t xml:space="preserve"> \* ARABIC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e>
              </m:d>
            </m:e>
          </m:eqArr>
        </m:oMath>
      </m:oMathPara>
    </w:p>
    <w:p w14:paraId="6E6332A0" w14:textId="532AACCC" w:rsidR="00D640F1" w:rsidRDefault="00DC0D32" w:rsidP="00D145BD">
      <w:pPr>
        <w:spacing w:after="240"/>
        <w:jc w:val="both"/>
      </w:pPr>
      <w:r>
        <w:t xml:space="preserve">where </w:t>
      </w:r>
      <m:oMath>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is the closing price at time t. By taking the </w:t>
      </w:r>
      <w:r w:rsidR="003E4185">
        <w:t xml:space="preserve">equally weighted </w:t>
      </w:r>
      <w:r>
        <w:t xml:space="preserve">average of the individual metal, energy, and agricultural products, the </w:t>
      </w:r>
      <w:r w:rsidR="00BB752E">
        <w:t>three</w:t>
      </w:r>
      <w:r>
        <w:t xml:space="preserve"> groups of return data for different commodity markets</w:t>
      </w:r>
      <w:r w:rsidR="000D1AA4">
        <w:t xml:space="preserve"> are </w:t>
      </w:r>
      <w:r w:rsidR="00F67DC3">
        <w:t>obtained</w:t>
      </w:r>
      <w:r w:rsidR="000D1AA4">
        <w:t xml:space="preserve"> for analysis</w:t>
      </w:r>
      <w:r>
        <w:t xml:space="preserve">. Through grouping, </w:t>
      </w:r>
      <w:r w:rsidR="005575E5">
        <w:t xml:space="preserve">it </w:t>
      </w:r>
      <w:r w:rsidR="00377A29">
        <w:t xml:space="preserve">is helpful </w:t>
      </w:r>
      <w:r w:rsidR="000B338B">
        <w:t>to</w:t>
      </w:r>
      <w:r>
        <w:t xml:space="preserve"> </w:t>
      </w:r>
      <w:r w:rsidR="00322BA9">
        <w:t>capture</w:t>
      </w:r>
      <w:r>
        <w:t xml:space="preserve"> different market dynamics by studying the interconnectedness among these sectors using the multivariate GARCH models. T</w:t>
      </w:r>
      <w:r w:rsidR="00E91D68">
        <w:t>he grouping</w:t>
      </w:r>
      <w:r>
        <w:t xml:space="preserve"> approach </w:t>
      </w:r>
      <w:r w:rsidR="007F4818">
        <w:t xml:space="preserve">can </w:t>
      </w:r>
      <w:r w:rsidR="00945B0D">
        <w:t xml:space="preserve">also </w:t>
      </w:r>
      <w:r>
        <w:t xml:space="preserve">identify common dependencies and risk factors across related commodities, which is useful for building optimal portfolios. </w:t>
      </w:r>
    </w:p>
    <w:p w14:paraId="55E90FAB" w14:textId="73D25C66" w:rsidR="001C3699" w:rsidRDefault="00000000" w:rsidP="00D145BD">
      <w:pPr>
        <w:pStyle w:val="Heading2"/>
        <w:jc w:val="both"/>
      </w:pPr>
      <w:bookmarkStart w:id="9" w:name="_Toc167478288"/>
      <w:r>
        <w:t>3.2 Descriptive Statistic</w:t>
      </w:r>
      <w:bookmarkEnd w:id="9"/>
    </w:p>
    <w:p w14:paraId="28BB8FEC" w14:textId="2BFB74BF" w:rsidR="00D640F1" w:rsidRDefault="009C1960" w:rsidP="00D145BD">
      <w:pPr>
        <w:spacing w:after="240"/>
        <w:jc w:val="both"/>
      </w:pPr>
      <w:r>
        <w:t xml:space="preserve">The data includes metal, energy, and agricultural commodity groups. </w:t>
      </w:r>
      <w:r w:rsidR="00024F33">
        <w:fldChar w:fldCharType="begin"/>
      </w:r>
      <w:r w:rsidR="00024F33">
        <w:instrText xml:space="preserve"> REF _Ref167227327 \h </w:instrText>
      </w:r>
      <w:r w:rsidR="00024F33">
        <w:fldChar w:fldCharType="separate"/>
      </w:r>
      <w:r w:rsidR="002E6614">
        <w:t xml:space="preserve">Figure </w:t>
      </w:r>
      <w:r w:rsidR="002E6614">
        <w:rPr>
          <w:noProof/>
        </w:rPr>
        <w:t>2</w:t>
      </w:r>
      <w:r w:rsidR="00024F33">
        <w:fldChar w:fldCharType="end"/>
      </w:r>
      <w:r>
        <w:t xml:space="preserve"> shows the daily returns of the metal, energy, and agriculture commodities. Metal commodities experienced </w:t>
      </w:r>
      <w:r w:rsidR="00B272A1">
        <w:t>significant fluctuations</w:t>
      </w:r>
      <w:r>
        <w:t xml:space="preserve"> </w:t>
      </w:r>
      <w:r w:rsidR="004D6E5F">
        <w:t>around</w:t>
      </w:r>
      <w:r>
        <w:t xml:space="preserve"> 200</w:t>
      </w:r>
      <w:r w:rsidR="007938CB">
        <w:t>5</w:t>
      </w:r>
      <w:r w:rsidR="00C21614">
        <w:t>. This</w:t>
      </w:r>
      <w:r>
        <w:t xml:space="preserve"> might be caused by the</w:t>
      </w:r>
      <w:r w:rsidR="00F41D79">
        <w:t xml:space="preserve"> development of emerging </w:t>
      </w:r>
      <w:r w:rsidR="002B543A">
        <w:t xml:space="preserve">markets, such as China and India, </w:t>
      </w:r>
      <w:r w:rsidR="006E5B14">
        <w:t xml:space="preserve">which </w:t>
      </w:r>
      <w:r w:rsidR="00385C6A">
        <w:t>require</w:t>
      </w:r>
      <w:r w:rsidR="00D20D18">
        <w:t xml:space="preserve"> </w:t>
      </w:r>
      <w:r w:rsidR="00D20D18" w:rsidRPr="00D20D18">
        <w:t>a surge in demand</w:t>
      </w:r>
      <w:r w:rsidR="00904BD4">
        <w:t xml:space="preserve"> </w:t>
      </w:r>
      <w:r w:rsidR="00993DC9">
        <w:t>for</w:t>
      </w:r>
      <w:r w:rsidR="00904BD4">
        <w:t xml:space="preserve"> metals</w:t>
      </w:r>
      <w:r w:rsidR="00211E25">
        <w:t>, especially copper,</w:t>
      </w:r>
      <w:r w:rsidR="00D20D18" w:rsidRPr="00D20D18">
        <w:t xml:space="preserve"> due to </w:t>
      </w:r>
      <w:r w:rsidR="00993DC9">
        <w:t>their</w:t>
      </w:r>
      <w:r w:rsidR="00D20D18" w:rsidRPr="00D20D18">
        <w:t xml:space="preserve"> </w:t>
      </w:r>
      <w:r w:rsidR="00993DC9">
        <w:t>industrial</w:t>
      </w:r>
      <w:r w:rsidR="00D20D18" w:rsidRPr="00D20D18">
        <w:t xml:space="preserve"> construction</w:t>
      </w:r>
      <w:r>
        <w:t xml:space="preserve">. For the energy commodities, the variations at the beginning of 1991 and 2020 might be due to the early 1990s recession and the COVID-19 pandemic, respectively. Additionally, the energy commodities show </w:t>
      </w:r>
      <w:r w:rsidR="009566C6">
        <w:t xml:space="preserve">other </w:t>
      </w:r>
      <w:r>
        <w:t xml:space="preserve">significant variations around 2022. These are most likely attributed to the economic impact of the Russia-Ukraine War. The war's influence on global energy supplies, especially oil and natural gas, caused volatility in the energy markets. The agricultural commodities show a pattern of seasonal volatility. These variations are caused by seasonal factors such as weather conditions, which can have a significant impact on agricultural yields. </w:t>
      </w:r>
      <w:r w:rsidR="00E97DF0">
        <w:t xml:space="preserve">In general, </w:t>
      </w:r>
      <w:r w:rsidR="00E7197A" w:rsidRPr="00E7197A">
        <w:t xml:space="preserve">metal and agricultural commodities </w:t>
      </w:r>
      <w:r w:rsidR="00BA4620">
        <w:t>show</w:t>
      </w:r>
      <w:r w:rsidR="00E7197A" w:rsidRPr="00E7197A">
        <w:t xml:space="preserve"> more </w:t>
      </w:r>
      <w:r w:rsidR="00BA4620" w:rsidRPr="00BA4620">
        <w:t xml:space="preserve">stability </w:t>
      </w:r>
      <w:r w:rsidR="00E7197A" w:rsidRPr="00E7197A">
        <w:t>compared to energy commodities</w:t>
      </w:r>
      <w:r w:rsidR="003F1FF6">
        <w:t xml:space="preserve">, while metal and energy </w:t>
      </w:r>
      <w:r w:rsidR="00182711">
        <w:t>commodities</w:t>
      </w:r>
      <w:r w:rsidR="003F1FF6">
        <w:t xml:space="preserve"> exhibit more outliers. </w:t>
      </w:r>
    </w:p>
    <w:p w14:paraId="15E08B29" w14:textId="77777777" w:rsidR="002E0E1C" w:rsidRDefault="00DB34D7" w:rsidP="002E0E1C">
      <w:pPr>
        <w:keepNext/>
        <w:spacing w:after="240"/>
        <w:ind w:left="360"/>
        <w:jc w:val="center"/>
      </w:pPr>
      <w:r>
        <w:rPr>
          <w:noProof/>
        </w:rPr>
        <w:drawing>
          <wp:inline distT="0" distB="0" distL="0" distR="0" wp14:anchorId="31AF9DD6" wp14:editId="1EF2F7D7">
            <wp:extent cx="5943600" cy="2945765"/>
            <wp:effectExtent l="0" t="0" r="0" b="6985"/>
            <wp:docPr id="1290179941" name="Picture 2"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79941" name="Picture 2" descr="A graph of different colored line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2945765"/>
                    </a:xfrm>
                    <a:prstGeom prst="rect">
                      <a:avLst/>
                    </a:prstGeom>
                  </pic:spPr>
                </pic:pic>
              </a:graphicData>
            </a:graphic>
          </wp:inline>
        </w:drawing>
      </w:r>
    </w:p>
    <w:p w14:paraId="3E8D1764" w14:textId="0333812E" w:rsidR="00D640F1" w:rsidRDefault="002E0E1C" w:rsidP="00955401">
      <w:pPr>
        <w:pStyle w:val="Caption"/>
      </w:pPr>
      <w:bookmarkStart w:id="10" w:name="_Ref167227327"/>
      <w:r>
        <w:t xml:space="preserve">Figure </w:t>
      </w:r>
      <w:r>
        <w:fldChar w:fldCharType="begin"/>
      </w:r>
      <w:r>
        <w:instrText xml:space="preserve"> SEQ Figure \* ARABIC </w:instrText>
      </w:r>
      <w:r>
        <w:fldChar w:fldCharType="separate"/>
      </w:r>
      <w:r w:rsidR="002E6614">
        <w:rPr>
          <w:noProof/>
        </w:rPr>
        <w:t>2</w:t>
      </w:r>
      <w:r>
        <w:fldChar w:fldCharType="end"/>
      </w:r>
      <w:bookmarkEnd w:id="10"/>
      <w:r>
        <w:t xml:space="preserve">: </w:t>
      </w:r>
      <w:r w:rsidRPr="00C95F74">
        <w:t>Commodity Return from 1991 to 2023</w:t>
      </w:r>
    </w:p>
    <w:p w14:paraId="075C9D49" w14:textId="09F2858A" w:rsidR="00D640F1" w:rsidRDefault="00AA1503" w:rsidP="00D145BD">
      <w:pPr>
        <w:spacing w:after="240"/>
        <w:jc w:val="both"/>
      </w:pPr>
      <w:r>
        <w:fldChar w:fldCharType="begin"/>
      </w:r>
      <w:r>
        <w:instrText xml:space="preserve"> REF _Ref167227461 \h </w:instrText>
      </w:r>
      <w:r>
        <w:fldChar w:fldCharType="separate"/>
      </w:r>
      <w:r w:rsidR="002E6614">
        <w:t xml:space="preserve">Table </w:t>
      </w:r>
      <w:r w:rsidR="002E6614">
        <w:rPr>
          <w:noProof/>
        </w:rPr>
        <w:t>1</w:t>
      </w:r>
      <w:r>
        <w:fldChar w:fldCharType="end"/>
      </w:r>
      <w:r w:rsidR="00CC5F04">
        <w:t xml:space="preserve"> </w:t>
      </w:r>
      <w:r>
        <w:t xml:space="preserve">presents descriptive statistics for the </w:t>
      </w:r>
      <w:r w:rsidR="00C16C5E">
        <w:t>three</w:t>
      </w:r>
      <w:r>
        <w:t xml:space="preserve"> commodity groups</w:t>
      </w:r>
      <w:r w:rsidR="00F645ED">
        <w:t xml:space="preserve"> of metal, energy, and agriculture</w:t>
      </w:r>
      <w:r>
        <w:t xml:space="preserve">. For the </w:t>
      </w:r>
      <w:r w:rsidR="00C44762">
        <w:t xml:space="preserve">three </w:t>
      </w:r>
      <w:r>
        <w:t xml:space="preserve">commodity groups, metal and energy commodities </w:t>
      </w:r>
      <w:r w:rsidR="00163C94">
        <w:t>display</w:t>
      </w:r>
      <w:r>
        <w:t xml:space="preserve"> higher returns, with </w:t>
      </w:r>
      <w:r w:rsidR="008A26B5">
        <w:t>energy</w:t>
      </w:r>
      <w:r>
        <w:t xml:space="preserve"> having the highest at 0.02%, followed by metal at 0.01%, and agricultural with the lowest at 0.00%. Additionally, energy commodity shows the highest standard deviation of 2.07%, which corresponds to its highest mean return. Conversely, agricultural commodity displays the lowest volatility at 0.94%. All the commodities groups exhibit slightly negative skewness, which indicates that </w:t>
      </w:r>
      <w:r w:rsidR="00C26891">
        <w:t>the</w:t>
      </w:r>
      <w:r>
        <w:t xml:space="preserve"> data is left-skewed and has asymmetry features. Also, the metal commodity shows an extremely high kurtosis of 44.61, which suggests the presence of heavy tails and implies a higher risk of extreme values. Energy also has a high kurtosis of 11.27. Different from metal and energy commodities, agricultural commodities have a kurtosis of 2.63, which indicates that it </w:t>
      </w:r>
      <w:r w:rsidR="00E87637">
        <w:t xml:space="preserve">is </w:t>
      </w:r>
      <w:r w:rsidR="009F6D76">
        <w:t xml:space="preserve">likely well </w:t>
      </w:r>
      <w:r>
        <w:t>approximate</w:t>
      </w:r>
      <w:r w:rsidR="009F6D76">
        <w:t>d by</w:t>
      </w:r>
      <w:r>
        <w:t xml:space="preserve"> a normal distribution.</w:t>
      </w:r>
      <w:r w:rsidR="005A67BD">
        <w:t xml:space="preserve"> </w:t>
      </w:r>
    </w:p>
    <w:p w14:paraId="027E9C7F" w14:textId="20888089" w:rsidR="00B41EA2" w:rsidRDefault="00B41EA2" w:rsidP="00955401">
      <w:pPr>
        <w:pStyle w:val="Caption"/>
      </w:pPr>
      <w:bookmarkStart w:id="11" w:name="_Ref167227461"/>
      <w:r>
        <w:t xml:space="preserve">Table </w:t>
      </w:r>
      <w:r>
        <w:fldChar w:fldCharType="begin"/>
      </w:r>
      <w:r>
        <w:instrText xml:space="preserve"> SEQ Table \* ARABIC </w:instrText>
      </w:r>
      <w:r>
        <w:fldChar w:fldCharType="separate"/>
      </w:r>
      <w:r w:rsidR="002E6614">
        <w:rPr>
          <w:noProof/>
        </w:rPr>
        <w:t>1</w:t>
      </w:r>
      <w:r>
        <w:fldChar w:fldCharType="end"/>
      </w:r>
      <w:bookmarkEnd w:id="11"/>
      <w:r>
        <w:t xml:space="preserve">: </w:t>
      </w:r>
      <w:r w:rsidRPr="002E4CD5">
        <w:t>Descriptive Statistics</w:t>
      </w:r>
    </w:p>
    <w:tbl>
      <w:tblPr>
        <w:tblStyle w:val="a0"/>
        <w:tblW w:w="0" w:type="auto"/>
        <w:tblBorders>
          <w:top w:val="nil"/>
          <w:left w:val="nil"/>
          <w:bottom w:val="nil"/>
          <w:right w:val="nil"/>
          <w:insideH w:val="nil"/>
          <w:insideV w:val="nil"/>
        </w:tblBorders>
        <w:tblLook w:val="0600" w:firstRow="0" w:lastRow="0" w:firstColumn="0" w:lastColumn="0" w:noHBand="1" w:noVBand="1"/>
      </w:tblPr>
      <w:tblGrid>
        <w:gridCol w:w="1757"/>
        <w:gridCol w:w="986"/>
        <w:gridCol w:w="1246"/>
        <w:gridCol w:w="1298"/>
        <w:gridCol w:w="1246"/>
        <w:gridCol w:w="1479"/>
        <w:gridCol w:w="1348"/>
      </w:tblGrid>
      <w:tr w:rsidR="00D640F1" w14:paraId="00066261" w14:textId="77777777" w:rsidTr="00B44B85">
        <w:trPr>
          <w:trHeight w:val="345"/>
        </w:trPr>
        <w:tc>
          <w:tcPr>
            <w:tcW w:w="0" w:type="auto"/>
            <w:tcBorders>
              <w:top w:val="single" w:sz="4" w:space="0" w:color="000000"/>
              <w:left w:val="nil"/>
              <w:bottom w:val="single" w:sz="4" w:space="0" w:color="000000"/>
              <w:right w:val="nil"/>
            </w:tcBorders>
            <w:tcMar>
              <w:top w:w="40" w:type="dxa"/>
              <w:left w:w="40" w:type="dxa"/>
              <w:bottom w:w="40" w:type="dxa"/>
              <w:right w:w="40" w:type="dxa"/>
            </w:tcMar>
            <w:vAlign w:val="center"/>
          </w:tcPr>
          <w:p w14:paraId="40BDD73F" w14:textId="77777777" w:rsidR="00D640F1" w:rsidRDefault="00D640F1" w:rsidP="007323FD">
            <w:pPr>
              <w:widowControl w:val="0"/>
              <w:spacing w:line="276" w:lineRule="auto"/>
              <w:rPr>
                <w:rFonts w:ascii="Arial" w:eastAsia="Arial" w:hAnsi="Arial" w:cs="Arial"/>
                <w:sz w:val="20"/>
                <w:szCs w:val="20"/>
              </w:rPr>
            </w:pPr>
          </w:p>
        </w:tc>
        <w:tc>
          <w:tcPr>
            <w:tcW w:w="0" w:type="auto"/>
            <w:tcBorders>
              <w:top w:val="single" w:sz="4" w:space="0" w:color="000000"/>
              <w:left w:val="nil"/>
              <w:bottom w:val="single" w:sz="4" w:space="0" w:color="000000"/>
              <w:right w:val="nil"/>
            </w:tcBorders>
            <w:tcMar>
              <w:top w:w="40" w:type="dxa"/>
              <w:left w:w="40" w:type="dxa"/>
              <w:bottom w:w="40" w:type="dxa"/>
              <w:right w:w="40" w:type="dxa"/>
            </w:tcMar>
            <w:vAlign w:val="center"/>
          </w:tcPr>
          <w:p w14:paraId="4DF76B0C" w14:textId="77777777" w:rsidR="00D640F1" w:rsidRDefault="00000000" w:rsidP="007323FD">
            <w:pPr>
              <w:widowControl w:val="0"/>
              <w:spacing w:line="276" w:lineRule="auto"/>
              <w:jc w:val="center"/>
              <w:rPr>
                <w:rFonts w:ascii="Arial" w:eastAsia="Arial" w:hAnsi="Arial" w:cs="Arial"/>
                <w:sz w:val="20"/>
                <w:szCs w:val="20"/>
              </w:rPr>
            </w:pPr>
            <w:r>
              <w:rPr>
                <w:b/>
                <w:sz w:val="22"/>
                <w:szCs w:val="22"/>
              </w:rPr>
              <w:t>Mean</w:t>
            </w:r>
          </w:p>
        </w:tc>
        <w:tc>
          <w:tcPr>
            <w:tcW w:w="0" w:type="auto"/>
            <w:tcBorders>
              <w:top w:val="single" w:sz="4" w:space="0" w:color="000000"/>
              <w:left w:val="nil"/>
              <w:bottom w:val="single" w:sz="4" w:space="0" w:color="000000"/>
              <w:right w:val="nil"/>
            </w:tcBorders>
            <w:tcMar>
              <w:top w:w="40" w:type="dxa"/>
              <w:left w:w="40" w:type="dxa"/>
              <w:bottom w:w="40" w:type="dxa"/>
              <w:right w:w="40" w:type="dxa"/>
            </w:tcMar>
            <w:vAlign w:val="center"/>
          </w:tcPr>
          <w:p w14:paraId="27D27910" w14:textId="73ABA2F9" w:rsidR="00D640F1" w:rsidRDefault="00000000" w:rsidP="007323FD">
            <w:pPr>
              <w:widowControl w:val="0"/>
              <w:spacing w:line="276" w:lineRule="auto"/>
              <w:jc w:val="center"/>
              <w:rPr>
                <w:rFonts w:ascii="Arial" w:eastAsia="Arial" w:hAnsi="Arial" w:cs="Arial"/>
                <w:sz w:val="20"/>
                <w:szCs w:val="20"/>
              </w:rPr>
            </w:pPr>
            <w:r>
              <w:rPr>
                <w:b/>
                <w:sz w:val="22"/>
                <w:szCs w:val="22"/>
              </w:rPr>
              <w:t>Std.</w:t>
            </w:r>
            <w:r w:rsidR="00C57FDB">
              <w:rPr>
                <w:b/>
                <w:sz w:val="22"/>
                <w:szCs w:val="22"/>
              </w:rPr>
              <w:t>Dev</w:t>
            </w:r>
          </w:p>
        </w:tc>
        <w:tc>
          <w:tcPr>
            <w:tcW w:w="0" w:type="auto"/>
            <w:tcBorders>
              <w:top w:val="single" w:sz="4" w:space="0" w:color="000000"/>
              <w:left w:val="nil"/>
              <w:bottom w:val="single" w:sz="4" w:space="0" w:color="000000"/>
              <w:right w:val="nil"/>
            </w:tcBorders>
            <w:tcMar>
              <w:top w:w="40" w:type="dxa"/>
              <w:left w:w="40" w:type="dxa"/>
              <w:bottom w:w="40" w:type="dxa"/>
              <w:right w:w="40" w:type="dxa"/>
            </w:tcMar>
            <w:vAlign w:val="center"/>
          </w:tcPr>
          <w:p w14:paraId="507B1C26" w14:textId="77777777" w:rsidR="00D640F1" w:rsidRDefault="00000000" w:rsidP="007323FD">
            <w:pPr>
              <w:widowControl w:val="0"/>
              <w:spacing w:line="276" w:lineRule="auto"/>
              <w:jc w:val="center"/>
              <w:rPr>
                <w:rFonts w:ascii="Arial" w:eastAsia="Arial" w:hAnsi="Arial" w:cs="Arial"/>
                <w:sz w:val="20"/>
                <w:szCs w:val="20"/>
              </w:rPr>
            </w:pPr>
            <w:r>
              <w:rPr>
                <w:b/>
                <w:sz w:val="22"/>
                <w:szCs w:val="22"/>
              </w:rPr>
              <w:t>Min.</w:t>
            </w:r>
          </w:p>
        </w:tc>
        <w:tc>
          <w:tcPr>
            <w:tcW w:w="0" w:type="auto"/>
            <w:tcBorders>
              <w:top w:val="single" w:sz="4" w:space="0" w:color="000000"/>
              <w:left w:val="nil"/>
              <w:bottom w:val="single" w:sz="4" w:space="0" w:color="000000"/>
              <w:right w:val="nil"/>
            </w:tcBorders>
            <w:tcMar>
              <w:top w:w="40" w:type="dxa"/>
              <w:left w:w="40" w:type="dxa"/>
              <w:bottom w:w="40" w:type="dxa"/>
              <w:right w:w="40" w:type="dxa"/>
            </w:tcMar>
            <w:vAlign w:val="center"/>
          </w:tcPr>
          <w:p w14:paraId="1DF3C6A2" w14:textId="77777777" w:rsidR="00D640F1" w:rsidRDefault="00000000" w:rsidP="007323FD">
            <w:pPr>
              <w:widowControl w:val="0"/>
              <w:spacing w:line="276" w:lineRule="auto"/>
              <w:jc w:val="center"/>
              <w:rPr>
                <w:rFonts w:ascii="Arial" w:eastAsia="Arial" w:hAnsi="Arial" w:cs="Arial"/>
                <w:sz w:val="20"/>
                <w:szCs w:val="20"/>
              </w:rPr>
            </w:pPr>
            <w:r>
              <w:rPr>
                <w:b/>
                <w:sz w:val="22"/>
                <w:szCs w:val="22"/>
              </w:rPr>
              <w:t>Max.</w:t>
            </w:r>
          </w:p>
        </w:tc>
        <w:tc>
          <w:tcPr>
            <w:tcW w:w="0" w:type="auto"/>
            <w:tcBorders>
              <w:top w:val="single" w:sz="4" w:space="0" w:color="000000"/>
              <w:left w:val="nil"/>
              <w:bottom w:val="single" w:sz="4" w:space="0" w:color="000000"/>
              <w:right w:val="nil"/>
            </w:tcBorders>
            <w:tcMar>
              <w:top w:w="40" w:type="dxa"/>
              <w:left w:w="40" w:type="dxa"/>
              <w:bottom w:w="40" w:type="dxa"/>
              <w:right w:w="40" w:type="dxa"/>
            </w:tcMar>
            <w:vAlign w:val="center"/>
          </w:tcPr>
          <w:p w14:paraId="2C17ECC0" w14:textId="77777777" w:rsidR="00D640F1" w:rsidRDefault="00000000" w:rsidP="007323FD">
            <w:pPr>
              <w:widowControl w:val="0"/>
              <w:spacing w:line="276" w:lineRule="auto"/>
              <w:jc w:val="center"/>
              <w:rPr>
                <w:rFonts w:ascii="Arial" w:eastAsia="Arial" w:hAnsi="Arial" w:cs="Arial"/>
                <w:sz w:val="20"/>
                <w:szCs w:val="20"/>
              </w:rPr>
            </w:pPr>
            <w:r>
              <w:rPr>
                <w:b/>
                <w:sz w:val="22"/>
                <w:szCs w:val="22"/>
              </w:rPr>
              <w:t>Skewness</w:t>
            </w:r>
          </w:p>
        </w:tc>
        <w:tc>
          <w:tcPr>
            <w:tcW w:w="0" w:type="auto"/>
            <w:tcBorders>
              <w:top w:val="single" w:sz="4" w:space="0" w:color="000000"/>
              <w:left w:val="nil"/>
              <w:bottom w:val="single" w:sz="4" w:space="0" w:color="000000"/>
              <w:right w:val="nil"/>
            </w:tcBorders>
            <w:tcMar>
              <w:top w:w="40" w:type="dxa"/>
              <w:left w:w="40" w:type="dxa"/>
              <w:bottom w:w="40" w:type="dxa"/>
              <w:right w:w="40" w:type="dxa"/>
            </w:tcMar>
            <w:vAlign w:val="center"/>
          </w:tcPr>
          <w:p w14:paraId="2CE2488F" w14:textId="77777777" w:rsidR="00D640F1" w:rsidRDefault="00000000" w:rsidP="007323FD">
            <w:pPr>
              <w:widowControl w:val="0"/>
              <w:spacing w:line="276" w:lineRule="auto"/>
              <w:jc w:val="center"/>
              <w:rPr>
                <w:rFonts w:ascii="Arial" w:eastAsia="Arial" w:hAnsi="Arial" w:cs="Arial"/>
                <w:sz w:val="20"/>
                <w:szCs w:val="20"/>
              </w:rPr>
            </w:pPr>
            <w:r>
              <w:rPr>
                <w:b/>
                <w:sz w:val="22"/>
                <w:szCs w:val="22"/>
              </w:rPr>
              <w:t>Kurtosis</w:t>
            </w:r>
          </w:p>
        </w:tc>
      </w:tr>
      <w:tr w:rsidR="00391AAB" w14:paraId="33D3C082" w14:textId="77777777" w:rsidTr="00B44B85">
        <w:trPr>
          <w:trHeight w:val="315"/>
        </w:trPr>
        <w:tc>
          <w:tcPr>
            <w:tcW w:w="0" w:type="auto"/>
            <w:tcBorders>
              <w:top w:val="nil"/>
              <w:left w:val="nil"/>
              <w:bottom w:val="nil"/>
              <w:right w:val="nil"/>
            </w:tcBorders>
            <w:tcMar>
              <w:top w:w="40" w:type="dxa"/>
              <w:left w:w="40" w:type="dxa"/>
              <w:bottom w:w="40" w:type="dxa"/>
              <w:right w:w="40" w:type="dxa"/>
            </w:tcMar>
            <w:vAlign w:val="center"/>
          </w:tcPr>
          <w:p w14:paraId="0FF8E135" w14:textId="77777777" w:rsidR="00391AAB" w:rsidRDefault="00391AAB" w:rsidP="00391AAB">
            <w:pPr>
              <w:widowControl w:val="0"/>
              <w:spacing w:line="276" w:lineRule="auto"/>
              <w:rPr>
                <w:rFonts w:ascii="Arial" w:eastAsia="Arial" w:hAnsi="Arial" w:cs="Arial"/>
                <w:sz w:val="20"/>
                <w:szCs w:val="20"/>
              </w:rPr>
            </w:pPr>
            <w:r>
              <w:rPr>
                <w:sz w:val="22"/>
                <w:szCs w:val="22"/>
              </w:rPr>
              <w:t>Metal</w:t>
            </w:r>
          </w:p>
        </w:tc>
        <w:tc>
          <w:tcPr>
            <w:tcW w:w="0" w:type="auto"/>
            <w:tcBorders>
              <w:top w:val="nil"/>
              <w:left w:val="nil"/>
              <w:bottom w:val="nil"/>
              <w:right w:val="nil"/>
            </w:tcBorders>
            <w:tcMar>
              <w:top w:w="40" w:type="dxa"/>
              <w:left w:w="40" w:type="dxa"/>
              <w:bottom w:w="40" w:type="dxa"/>
              <w:right w:w="40" w:type="dxa"/>
            </w:tcMar>
            <w:vAlign w:val="center"/>
          </w:tcPr>
          <w:p w14:paraId="59E46A0C" w14:textId="77777777" w:rsidR="00391AAB" w:rsidRDefault="00391AAB" w:rsidP="00391AAB">
            <w:pPr>
              <w:widowControl w:val="0"/>
              <w:spacing w:line="276" w:lineRule="auto"/>
              <w:jc w:val="center"/>
              <w:rPr>
                <w:rFonts w:ascii="Arial" w:eastAsia="Arial" w:hAnsi="Arial" w:cs="Arial"/>
                <w:sz w:val="20"/>
                <w:szCs w:val="20"/>
              </w:rPr>
            </w:pPr>
            <w:r>
              <w:rPr>
                <w:sz w:val="22"/>
                <w:szCs w:val="22"/>
              </w:rPr>
              <w:t>0.01%</w:t>
            </w:r>
          </w:p>
        </w:tc>
        <w:tc>
          <w:tcPr>
            <w:tcW w:w="0" w:type="auto"/>
            <w:tcBorders>
              <w:top w:val="nil"/>
              <w:left w:val="nil"/>
              <w:bottom w:val="nil"/>
              <w:right w:val="nil"/>
            </w:tcBorders>
            <w:tcMar>
              <w:top w:w="40" w:type="dxa"/>
              <w:left w:w="40" w:type="dxa"/>
              <w:bottom w:w="40" w:type="dxa"/>
              <w:right w:w="40" w:type="dxa"/>
            </w:tcMar>
            <w:vAlign w:val="center"/>
          </w:tcPr>
          <w:p w14:paraId="2AC533E8" w14:textId="77777777" w:rsidR="00391AAB" w:rsidRDefault="00391AAB" w:rsidP="00391AAB">
            <w:pPr>
              <w:widowControl w:val="0"/>
              <w:spacing w:line="276" w:lineRule="auto"/>
              <w:jc w:val="center"/>
              <w:rPr>
                <w:rFonts w:ascii="Arial" w:eastAsia="Arial" w:hAnsi="Arial" w:cs="Arial"/>
                <w:sz w:val="20"/>
                <w:szCs w:val="20"/>
              </w:rPr>
            </w:pPr>
            <w:r>
              <w:rPr>
                <w:sz w:val="22"/>
                <w:szCs w:val="22"/>
              </w:rPr>
              <w:t>1.26%</w:t>
            </w:r>
          </w:p>
        </w:tc>
        <w:tc>
          <w:tcPr>
            <w:tcW w:w="0" w:type="auto"/>
            <w:tcBorders>
              <w:top w:val="nil"/>
              <w:left w:val="nil"/>
              <w:bottom w:val="nil"/>
              <w:right w:val="nil"/>
            </w:tcBorders>
            <w:tcMar>
              <w:top w:w="40" w:type="dxa"/>
              <w:left w:w="40" w:type="dxa"/>
              <w:bottom w:w="40" w:type="dxa"/>
              <w:right w:w="40" w:type="dxa"/>
            </w:tcMar>
          </w:tcPr>
          <w:p w14:paraId="6A6521F9" w14:textId="0A5F8C40" w:rsidR="00391AAB" w:rsidRDefault="00391AAB" w:rsidP="00391AAB">
            <w:pPr>
              <w:widowControl w:val="0"/>
              <w:spacing w:line="276" w:lineRule="auto"/>
              <w:jc w:val="center"/>
              <w:rPr>
                <w:rFonts w:ascii="Arial" w:eastAsia="Arial" w:hAnsi="Arial" w:cs="Arial"/>
                <w:sz w:val="20"/>
                <w:szCs w:val="20"/>
              </w:rPr>
            </w:pPr>
            <w:r w:rsidRPr="007F5358">
              <w:t>-22.38%</w:t>
            </w:r>
          </w:p>
        </w:tc>
        <w:tc>
          <w:tcPr>
            <w:tcW w:w="0" w:type="auto"/>
            <w:tcBorders>
              <w:top w:val="nil"/>
              <w:left w:val="nil"/>
              <w:bottom w:val="nil"/>
              <w:right w:val="nil"/>
            </w:tcBorders>
            <w:tcMar>
              <w:top w:w="40" w:type="dxa"/>
              <w:left w:w="40" w:type="dxa"/>
              <w:bottom w:w="40" w:type="dxa"/>
              <w:right w:w="40" w:type="dxa"/>
            </w:tcMar>
          </w:tcPr>
          <w:p w14:paraId="44D52D5E" w14:textId="674AA076" w:rsidR="00391AAB" w:rsidRDefault="00391AAB" w:rsidP="00391AAB">
            <w:pPr>
              <w:widowControl w:val="0"/>
              <w:spacing w:line="276" w:lineRule="auto"/>
              <w:jc w:val="center"/>
              <w:rPr>
                <w:rFonts w:ascii="Arial" w:eastAsia="Arial" w:hAnsi="Arial" w:cs="Arial"/>
                <w:sz w:val="20"/>
                <w:szCs w:val="20"/>
              </w:rPr>
            </w:pPr>
            <w:r w:rsidRPr="007F5358">
              <w:t>22.58%</w:t>
            </w:r>
          </w:p>
        </w:tc>
        <w:tc>
          <w:tcPr>
            <w:tcW w:w="0" w:type="auto"/>
            <w:tcBorders>
              <w:top w:val="nil"/>
              <w:left w:val="nil"/>
              <w:bottom w:val="nil"/>
              <w:right w:val="nil"/>
            </w:tcBorders>
            <w:tcMar>
              <w:top w:w="40" w:type="dxa"/>
              <w:left w:w="40" w:type="dxa"/>
              <w:bottom w:w="40" w:type="dxa"/>
              <w:right w:w="40" w:type="dxa"/>
            </w:tcMar>
            <w:vAlign w:val="center"/>
          </w:tcPr>
          <w:p w14:paraId="413A35CE" w14:textId="77777777" w:rsidR="00391AAB" w:rsidRDefault="00391AAB" w:rsidP="00391AAB">
            <w:pPr>
              <w:widowControl w:val="0"/>
              <w:spacing w:line="276" w:lineRule="auto"/>
              <w:jc w:val="center"/>
              <w:rPr>
                <w:rFonts w:ascii="Arial" w:eastAsia="Arial" w:hAnsi="Arial" w:cs="Arial"/>
                <w:sz w:val="20"/>
                <w:szCs w:val="20"/>
              </w:rPr>
            </w:pPr>
            <w:r>
              <w:rPr>
                <w:sz w:val="22"/>
                <w:szCs w:val="22"/>
              </w:rPr>
              <w:t>-0.36</w:t>
            </w:r>
          </w:p>
        </w:tc>
        <w:tc>
          <w:tcPr>
            <w:tcW w:w="0" w:type="auto"/>
            <w:tcBorders>
              <w:top w:val="nil"/>
              <w:left w:val="nil"/>
              <w:bottom w:val="nil"/>
              <w:right w:val="nil"/>
            </w:tcBorders>
            <w:tcMar>
              <w:top w:w="40" w:type="dxa"/>
              <w:left w:w="40" w:type="dxa"/>
              <w:bottom w:w="40" w:type="dxa"/>
              <w:right w:w="40" w:type="dxa"/>
            </w:tcMar>
            <w:vAlign w:val="center"/>
          </w:tcPr>
          <w:p w14:paraId="712F04B0" w14:textId="77777777" w:rsidR="00391AAB" w:rsidRDefault="00391AAB" w:rsidP="00391AAB">
            <w:pPr>
              <w:widowControl w:val="0"/>
              <w:spacing w:line="276" w:lineRule="auto"/>
              <w:jc w:val="center"/>
              <w:rPr>
                <w:rFonts w:ascii="Arial" w:eastAsia="Arial" w:hAnsi="Arial" w:cs="Arial"/>
                <w:sz w:val="20"/>
                <w:szCs w:val="20"/>
              </w:rPr>
            </w:pPr>
            <w:r>
              <w:rPr>
                <w:sz w:val="22"/>
                <w:szCs w:val="22"/>
              </w:rPr>
              <w:t>44.61</w:t>
            </w:r>
          </w:p>
        </w:tc>
      </w:tr>
      <w:tr w:rsidR="00391AAB" w14:paraId="405AAD5D" w14:textId="77777777" w:rsidTr="00B44B85">
        <w:trPr>
          <w:trHeight w:val="315"/>
        </w:trPr>
        <w:tc>
          <w:tcPr>
            <w:tcW w:w="0" w:type="auto"/>
            <w:tcBorders>
              <w:top w:val="nil"/>
              <w:left w:val="nil"/>
              <w:bottom w:val="nil"/>
              <w:right w:val="nil"/>
            </w:tcBorders>
            <w:tcMar>
              <w:top w:w="40" w:type="dxa"/>
              <w:left w:w="40" w:type="dxa"/>
              <w:bottom w:w="40" w:type="dxa"/>
              <w:right w:w="40" w:type="dxa"/>
            </w:tcMar>
            <w:vAlign w:val="center"/>
          </w:tcPr>
          <w:p w14:paraId="5D8D1CB5" w14:textId="77777777" w:rsidR="00391AAB" w:rsidRDefault="00391AAB" w:rsidP="00391AAB">
            <w:pPr>
              <w:widowControl w:val="0"/>
              <w:spacing w:line="276" w:lineRule="auto"/>
              <w:rPr>
                <w:rFonts w:ascii="Arial" w:eastAsia="Arial" w:hAnsi="Arial" w:cs="Arial"/>
                <w:sz w:val="20"/>
                <w:szCs w:val="20"/>
              </w:rPr>
            </w:pPr>
            <w:r>
              <w:rPr>
                <w:sz w:val="22"/>
                <w:szCs w:val="22"/>
              </w:rPr>
              <w:t>Energy</w:t>
            </w:r>
          </w:p>
        </w:tc>
        <w:tc>
          <w:tcPr>
            <w:tcW w:w="0" w:type="auto"/>
            <w:tcBorders>
              <w:top w:val="nil"/>
              <w:left w:val="nil"/>
              <w:bottom w:val="nil"/>
              <w:right w:val="nil"/>
            </w:tcBorders>
            <w:tcMar>
              <w:top w:w="40" w:type="dxa"/>
              <w:left w:w="40" w:type="dxa"/>
              <w:bottom w:w="40" w:type="dxa"/>
              <w:right w:w="40" w:type="dxa"/>
            </w:tcMar>
            <w:vAlign w:val="bottom"/>
          </w:tcPr>
          <w:p w14:paraId="099331A9" w14:textId="77777777" w:rsidR="00391AAB" w:rsidRDefault="00391AAB" w:rsidP="00391AAB">
            <w:pPr>
              <w:widowControl w:val="0"/>
              <w:spacing w:line="276" w:lineRule="auto"/>
              <w:jc w:val="center"/>
              <w:rPr>
                <w:rFonts w:ascii="Arial" w:eastAsia="Arial" w:hAnsi="Arial" w:cs="Arial"/>
                <w:sz w:val="20"/>
                <w:szCs w:val="20"/>
              </w:rPr>
            </w:pPr>
            <w:r>
              <w:rPr>
                <w:sz w:val="22"/>
                <w:szCs w:val="22"/>
              </w:rPr>
              <w:t>0.02%</w:t>
            </w:r>
          </w:p>
        </w:tc>
        <w:tc>
          <w:tcPr>
            <w:tcW w:w="0" w:type="auto"/>
            <w:tcBorders>
              <w:top w:val="nil"/>
              <w:left w:val="nil"/>
              <w:bottom w:val="nil"/>
              <w:right w:val="nil"/>
            </w:tcBorders>
            <w:tcMar>
              <w:top w:w="40" w:type="dxa"/>
              <w:left w:w="40" w:type="dxa"/>
              <w:bottom w:w="40" w:type="dxa"/>
              <w:right w:w="40" w:type="dxa"/>
            </w:tcMar>
            <w:vAlign w:val="bottom"/>
          </w:tcPr>
          <w:p w14:paraId="6EE4D511" w14:textId="77777777" w:rsidR="00391AAB" w:rsidRDefault="00391AAB" w:rsidP="00391AAB">
            <w:pPr>
              <w:widowControl w:val="0"/>
              <w:spacing w:line="276" w:lineRule="auto"/>
              <w:jc w:val="center"/>
              <w:rPr>
                <w:rFonts w:ascii="Arial" w:eastAsia="Arial" w:hAnsi="Arial" w:cs="Arial"/>
                <w:sz w:val="20"/>
                <w:szCs w:val="20"/>
              </w:rPr>
            </w:pPr>
            <w:r>
              <w:rPr>
                <w:sz w:val="22"/>
                <w:szCs w:val="22"/>
              </w:rPr>
              <w:t>2.07%</w:t>
            </w:r>
          </w:p>
        </w:tc>
        <w:tc>
          <w:tcPr>
            <w:tcW w:w="0" w:type="auto"/>
            <w:tcBorders>
              <w:top w:val="nil"/>
              <w:left w:val="nil"/>
              <w:bottom w:val="nil"/>
              <w:right w:val="nil"/>
            </w:tcBorders>
            <w:tcMar>
              <w:top w:w="40" w:type="dxa"/>
              <w:left w:w="40" w:type="dxa"/>
              <w:bottom w:w="40" w:type="dxa"/>
              <w:right w:w="40" w:type="dxa"/>
            </w:tcMar>
          </w:tcPr>
          <w:p w14:paraId="5BCEE19D" w14:textId="1193DD7F" w:rsidR="00391AAB" w:rsidRDefault="00391AAB" w:rsidP="00391AAB">
            <w:pPr>
              <w:widowControl w:val="0"/>
              <w:spacing w:line="276" w:lineRule="auto"/>
              <w:jc w:val="center"/>
              <w:rPr>
                <w:rFonts w:ascii="Arial" w:eastAsia="Arial" w:hAnsi="Arial" w:cs="Arial"/>
                <w:sz w:val="20"/>
                <w:szCs w:val="20"/>
              </w:rPr>
            </w:pPr>
            <w:r w:rsidRPr="007F5358">
              <w:t>-29.55%</w:t>
            </w:r>
          </w:p>
        </w:tc>
        <w:tc>
          <w:tcPr>
            <w:tcW w:w="0" w:type="auto"/>
            <w:tcBorders>
              <w:top w:val="nil"/>
              <w:left w:val="nil"/>
              <w:bottom w:val="nil"/>
              <w:right w:val="nil"/>
            </w:tcBorders>
            <w:tcMar>
              <w:top w:w="40" w:type="dxa"/>
              <w:left w:w="40" w:type="dxa"/>
              <w:bottom w:w="40" w:type="dxa"/>
              <w:right w:w="40" w:type="dxa"/>
            </w:tcMar>
          </w:tcPr>
          <w:p w14:paraId="2AB2285E" w14:textId="04729AF0" w:rsidR="00391AAB" w:rsidRDefault="00391AAB" w:rsidP="00391AAB">
            <w:pPr>
              <w:widowControl w:val="0"/>
              <w:spacing w:line="276" w:lineRule="auto"/>
              <w:jc w:val="center"/>
              <w:rPr>
                <w:rFonts w:ascii="Arial" w:eastAsia="Arial" w:hAnsi="Arial" w:cs="Arial"/>
                <w:sz w:val="20"/>
                <w:szCs w:val="20"/>
              </w:rPr>
            </w:pPr>
            <w:r w:rsidRPr="007F5358">
              <w:t>14.49%</w:t>
            </w:r>
          </w:p>
        </w:tc>
        <w:tc>
          <w:tcPr>
            <w:tcW w:w="0" w:type="auto"/>
            <w:tcBorders>
              <w:top w:val="nil"/>
              <w:left w:val="nil"/>
              <w:bottom w:val="nil"/>
              <w:right w:val="nil"/>
            </w:tcBorders>
            <w:tcMar>
              <w:top w:w="40" w:type="dxa"/>
              <w:left w:w="40" w:type="dxa"/>
              <w:bottom w:w="40" w:type="dxa"/>
              <w:right w:w="40" w:type="dxa"/>
            </w:tcMar>
            <w:vAlign w:val="bottom"/>
          </w:tcPr>
          <w:p w14:paraId="0FC359F2" w14:textId="77777777" w:rsidR="00391AAB" w:rsidRDefault="00391AAB" w:rsidP="00391AAB">
            <w:pPr>
              <w:widowControl w:val="0"/>
              <w:spacing w:line="276" w:lineRule="auto"/>
              <w:jc w:val="center"/>
              <w:rPr>
                <w:rFonts w:ascii="Arial" w:eastAsia="Arial" w:hAnsi="Arial" w:cs="Arial"/>
                <w:sz w:val="20"/>
                <w:szCs w:val="20"/>
              </w:rPr>
            </w:pPr>
            <w:r>
              <w:rPr>
                <w:sz w:val="22"/>
                <w:szCs w:val="22"/>
              </w:rPr>
              <w:t>-0.53</w:t>
            </w:r>
          </w:p>
        </w:tc>
        <w:tc>
          <w:tcPr>
            <w:tcW w:w="0" w:type="auto"/>
            <w:tcBorders>
              <w:top w:val="nil"/>
              <w:left w:val="nil"/>
              <w:bottom w:val="nil"/>
              <w:right w:val="nil"/>
            </w:tcBorders>
            <w:tcMar>
              <w:top w:w="40" w:type="dxa"/>
              <w:left w:w="40" w:type="dxa"/>
              <w:bottom w:w="40" w:type="dxa"/>
              <w:right w:w="40" w:type="dxa"/>
            </w:tcMar>
            <w:vAlign w:val="bottom"/>
          </w:tcPr>
          <w:p w14:paraId="545E4A71" w14:textId="77777777" w:rsidR="00391AAB" w:rsidRDefault="00391AAB" w:rsidP="00391AAB">
            <w:pPr>
              <w:widowControl w:val="0"/>
              <w:spacing w:line="276" w:lineRule="auto"/>
              <w:jc w:val="center"/>
              <w:rPr>
                <w:rFonts w:ascii="Arial" w:eastAsia="Arial" w:hAnsi="Arial" w:cs="Arial"/>
                <w:sz w:val="20"/>
                <w:szCs w:val="20"/>
              </w:rPr>
            </w:pPr>
            <w:r>
              <w:rPr>
                <w:sz w:val="22"/>
                <w:szCs w:val="22"/>
              </w:rPr>
              <w:t>11.27</w:t>
            </w:r>
          </w:p>
        </w:tc>
      </w:tr>
      <w:tr w:rsidR="00391AAB" w14:paraId="27EB9A54" w14:textId="77777777" w:rsidTr="00B44B85">
        <w:trPr>
          <w:trHeight w:val="330"/>
        </w:trPr>
        <w:tc>
          <w:tcPr>
            <w:tcW w:w="0" w:type="auto"/>
            <w:tcBorders>
              <w:top w:val="nil"/>
              <w:left w:val="nil"/>
              <w:bottom w:val="single" w:sz="4" w:space="0" w:color="000000"/>
              <w:right w:val="nil"/>
            </w:tcBorders>
            <w:tcMar>
              <w:top w:w="40" w:type="dxa"/>
              <w:left w:w="40" w:type="dxa"/>
              <w:bottom w:w="40" w:type="dxa"/>
              <w:right w:w="40" w:type="dxa"/>
            </w:tcMar>
            <w:vAlign w:val="center"/>
          </w:tcPr>
          <w:p w14:paraId="71B99A3B" w14:textId="77777777" w:rsidR="00391AAB" w:rsidRDefault="00391AAB" w:rsidP="00391AAB">
            <w:pPr>
              <w:widowControl w:val="0"/>
              <w:spacing w:line="276" w:lineRule="auto"/>
              <w:rPr>
                <w:rFonts w:ascii="Arial" w:eastAsia="Arial" w:hAnsi="Arial" w:cs="Arial"/>
                <w:sz w:val="20"/>
                <w:szCs w:val="20"/>
              </w:rPr>
            </w:pPr>
            <w:r>
              <w:rPr>
                <w:sz w:val="22"/>
                <w:szCs w:val="22"/>
              </w:rPr>
              <w:t>Agricultural</w:t>
            </w:r>
          </w:p>
        </w:tc>
        <w:tc>
          <w:tcPr>
            <w:tcW w:w="0" w:type="auto"/>
            <w:tcBorders>
              <w:top w:val="nil"/>
              <w:left w:val="nil"/>
              <w:bottom w:val="single" w:sz="4" w:space="0" w:color="000000"/>
              <w:right w:val="nil"/>
            </w:tcBorders>
            <w:tcMar>
              <w:top w:w="40" w:type="dxa"/>
              <w:left w:w="40" w:type="dxa"/>
              <w:bottom w:w="40" w:type="dxa"/>
              <w:right w:w="40" w:type="dxa"/>
            </w:tcMar>
            <w:vAlign w:val="bottom"/>
          </w:tcPr>
          <w:p w14:paraId="785EB447" w14:textId="77777777" w:rsidR="00391AAB" w:rsidRDefault="00391AAB" w:rsidP="00391AAB">
            <w:pPr>
              <w:widowControl w:val="0"/>
              <w:spacing w:line="276" w:lineRule="auto"/>
              <w:jc w:val="center"/>
              <w:rPr>
                <w:rFonts w:ascii="Arial" w:eastAsia="Arial" w:hAnsi="Arial" w:cs="Arial"/>
                <w:sz w:val="20"/>
                <w:szCs w:val="20"/>
              </w:rPr>
            </w:pPr>
            <w:r>
              <w:rPr>
                <w:sz w:val="22"/>
                <w:szCs w:val="22"/>
              </w:rPr>
              <w:t>0.00%</w:t>
            </w:r>
          </w:p>
        </w:tc>
        <w:tc>
          <w:tcPr>
            <w:tcW w:w="0" w:type="auto"/>
            <w:tcBorders>
              <w:top w:val="nil"/>
              <w:left w:val="nil"/>
              <w:bottom w:val="single" w:sz="4" w:space="0" w:color="000000"/>
              <w:right w:val="nil"/>
            </w:tcBorders>
            <w:tcMar>
              <w:top w:w="40" w:type="dxa"/>
              <w:left w:w="40" w:type="dxa"/>
              <w:bottom w:w="40" w:type="dxa"/>
              <w:right w:w="40" w:type="dxa"/>
            </w:tcMar>
            <w:vAlign w:val="bottom"/>
          </w:tcPr>
          <w:p w14:paraId="643708E4" w14:textId="77777777" w:rsidR="00391AAB" w:rsidRDefault="00391AAB" w:rsidP="00391AAB">
            <w:pPr>
              <w:widowControl w:val="0"/>
              <w:spacing w:line="276" w:lineRule="auto"/>
              <w:jc w:val="center"/>
              <w:rPr>
                <w:rFonts w:ascii="Arial" w:eastAsia="Arial" w:hAnsi="Arial" w:cs="Arial"/>
                <w:sz w:val="20"/>
                <w:szCs w:val="20"/>
              </w:rPr>
            </w:pPr>
            <w:r>
              <w:rPr>
                <w:sz w:val="22"/>
                <w:szCs w:val="22"/>
              </w:rPr>
              <w:t>0.94%</w:t>
            </w:r>
          </w:p>
        </w:tc>
        <w:tc>
          <w:tcPr>
            <w:tcW w:w="0" w:type="auto"/>
            <w:tcBorders>
              <w:top w:val="nil"/>
              <w:left w:val="nil"/>
              <w:bottom w:val="single" w:sz="4" w:space="0" w:color="000000"/>
              <w:right w:val="nil"/>
            </w:tcBorders>
            <w:tcMar>
              <w:top w:w="40" w:type="dxa"/>
              <w:left w:w="40" w:type="dxa"/>
              <w:bottom w:w="40" w:type="dxa"/>
              <w:right w:w="40" w:type="dxa"/>
            </w:tcMar>
          </w:tcPr>
          <w:p w14:paraId="2E5D11D5" w14:textId="339D845D" w:rsidR="00391AAB" w:rsidRDefault="00391AAB" w:rsidP="00391AAB">
            <w:pPr>
              <w:widowControl w:val="0"/>
              <w:spacing w:line="276" w:lineRule="auto"/>
              <w:jc w:val="center"/>
              <w:rPr>
                <w:rFonts w:ascii="Arial" w:eastAsia="Arial" w:hAnsi="Arial" w:cs="Arial"/>
                <w:sz w:val="20"/>
                <w:szCs w:val="20"/>
              </w:rPr>
            </w:pPr>
            <w:r w:rsidRPr="007F5358">
              <w:t>-6.30%</w:t>
            </w:r>
          </w:p>
        </w:tc>
        <w:tc>
          <w:tcPr>
            <w:tcW w:w="0" w:type="auto"/>
            <w:tcBorders>
              <w:top w:val="nil"/>
              <w:left w:val="nil"/>
              <w:bottom w:val="single" w:sz="4" w:space="0" w:color="000000"/>
              <w:right w:val="nil"/>
            </w:tcBorders>
            <w:tcMar>
              <w:top w:w="40" w:type="dxa"/>
              <w:left w:w="40" w:type="dxa"/>
              <w:bottom w:w="40" w:type="dxa"/>
              <w:right w:w="40" w:type="dxa"/>
            </w:tcMar>
          </w:tcPr>
          <w:p w14:paraId="4381EDA6" w14:textId="3949C6A5" w:rsidR="00391AAB" w:rsidRDefault="00391AAB" w:rsidP="00391AAB">
            <w:pPr>
              <w:widowControl w:val="0"/>
              <w:spacing w:line="276" w:lineRule="auto"/>
              <w:jc w:val="center"/>
              <w:rPr>
                <w:rFonts w:ascii="Arial" w:eastAsia="Arial" w:hAnsi="Arial" w:cs="Arial"/>
                <w:sz w:val="20"/>
                <w:szCs w:val="20"/>
              </w:rPr>
            </w:pPr>
            <w:r w:rsidRPr="007F5358">
              <w:t>4.32%</w:t>
            </w:r>
          </w:p>
        </w:tc>
        <w:tc>
          <w:tcPr>
            <w:tcW w:w="0" w:type="auto"/>
            <w:tcBorders>
              <w:top w:val="nil"/>
              <w:left w:val="nil"/>
              <w:bottom w:val="single" w:sz="4" w:space="0" w:color="000000"/>
              <w:right w:val="nil"/>
            </w:tcBorders>
            <w:tcMar>
              <w:top w:w="40" w:type="dxa"/>
              <w:left w:w="40" w:type="dxa"/>
              <w:bottom w:w="40" w:type="dxa"/>
              <w:right w:w="40" w:type="dxa"/>
            </w:tcMar>
            <w:vAlign w:val="bottom"/>
          </w:tcPr>
          <w:p w14:paraId="6A86C7E7" w14:textId="77777777" w:rsidR="00391AAB" w:rsidRDefault="00391AAB" w:rsidP="00391AAB">
            <w:pPr>
              <w:widowControl w:val="0"/>
              <w:spacing w:line="276" w:lineRule="auto"/>
              <w:jc w:val="center"/>
              <w:rPr>
                <w:rFonts w:ascii="Arial" w:eastAsia="Arial" w:hAnsi="Arial" w:cs="Arial"/>
                <w:sz w:val="20"/>
                <w:szCs w:val="20"/>
              </w:rPr>
            </w:pPr>
            <w:r>
              <w:rPr>
                <w:sz w:val="22"/>
                <w:szCs w:val="22"/>
              </w:rPr>
              <w:t>-0.41</w:t>
            </w:r>
          </w:p>
        </w:tc>
        <w:tc>
          <w:tcPr>
            <w:tcW w:w="0" w:type="auto"/>
            <w:tcBorders>
              <w:top w:val="nil"/>
              <w:left w:val="nil"/>
              <w:bottom w:val="single" w:sz="4" w:space="0" w:color="000000"/>
              <w:right w:val="nil"/>
            </w:tcBorders>
            <w:tcMar>
              <w:top w:w="40" w:type="dxa"/>
              <w:left w:w="40" w:type="dxa"/>
              <w:bottom w:w="40" w:type="dxa"/>
              <w:right w:w="40" w:type="dxa"/>
            </w:tcMar>
            <w:vAlign w:val="bottom"/>
          </w:tcPr>
          <w:p w14:paraId="4FAFD783" w14:textId="77777777" w:rsidR="00391AAB" w:rsidRDefault="00391AAB" w:rsidP="00391AAB">
            <w:pPr>
              <w:widowControl w:val="0"/>
              <w:spacing w:line="276" w:lineRule="auto"/>
              <w:jc w:val="center"/>
              <w:rPr>
                <w:rFonts w:ascii="Arial" w:eastAsia="Arial" w:hAnsi="Arial" w:cs="Arial"/>
                <w:sz w:val="20"/>
                <w:szCs w:val="20"/>
              </w:rPr>
            </w:pPr>
            <w:r>
              <w:rPr>
                <w:sz w:val="22"/>
                <w:szCs w:val="22"/>
              </w:rPr>
              <w:t>2.63</w:t>
            </w:r>
          </w:p>
        </w:tc>
      </w:tr>
      <w:tr w:rsidR="00D640F1" w14:paraId="643C618E" w14:textId="77777777" w:rsidTr="00B44B85">
        <w:trPr>
          <w:trHeight w:val="1365"/>
        </w:trPr>
        <w:tc>
          <w:tcPr>
            <w:tcW w:w="0" w:type="auto"/>
            <w:gridSpan w:val="7"/>
            <w:tcBorders>
              <w:top w:val="nil"/>
              <w:left w:val="nil"/>
              <w:bottom w:val="nil"/>
              <w:right w:val="nil"/>
            </w:tcBorders>
            <w:shd w:val="clear" w:color="auto" w:fill="auto"/>
            <w:tcMar>
              <w:top w:w="40" w:type="dxa"/>
              <w:left w:w="40" w:type="dxa"/>
              <w:bottom w:w="40" w:type="dxa"/>
              <w:right w:w="40" w:type="dxa"/>
            </w:tcMar>
          </w:tcPr>
          <w:p w14:paraId="148C44E9" w14:textId="77777777" w:rsidR="00D640F1" w:rsidRDefault="00000000" w:rsidP="007323FD">
            <w:pPr>
              <w:widowControl w:val="0"/>
              <w:spacing w:line="276" w:lineRule="auto"/>
              <w:jc w:val="both"/>
              <w:rPr>
                <w:rFonts w:ascii="Arial" w:eastAsia="Arial" w:hAnsi="Arial" w:cs="Arial"/>
                <w:sz w:val="20"/>
                <w:szCs w:val="20"/>
              </w:rPr>
            </w:pPr>
            <w:r>
              <w:rPr>
                <w:b/>
                <w:sz w:val="22"/>
                <w:szCs w:val="22"/>
              </w:rPr>
              <w:t xml:space="preserve">Note: </w:t>
            </w:r>
            <w:r>
              <w:rPr>
                <w:sz w:val="22"/>
                <w:szCs w:val="22"/>
              </w:rPr>
              <w:t>This is the descriptive statistics of metal, energy, and agricultural commodity future returns. A skewness value around 0 indicates symmetry, with a negative skewness indicating left-skewed and a positive skewness indicating right-skewed. A kurtosis value around 3 indicates normal distribution, with a lower value indicating lighter tails and a higher value indicating heavy tails.</w:t>
            </w:r>
          </w:p>
        </w:tc>
      </w:tr>
    </w:tbl>
    <w:p w14:paraId="2E9C1FB1" w14:textId="0A4D21FC" w:rsidR="00D640F1" w:rsidRDefault="00112E83" w:rsidP="00D145BD">
      <w:pPr>
        <w:spacing w:after="240"/>
        <w:jc w:val="both"/>
      </w:pPr>
      <w:r>
        <w:t>Some statistical tests are conducted for the three commodity group return data</w:t>
      </w:r>
      <w:r w:rsidR="005229A0">
        <w:t xml:space="preserve">, which are shown in </w:t>
      </w:r>
      <w:r w:rsidR="00F06389">
        <w:fldChar w:fldCharType="begin"/>
      </w:r>
      <w:r w:rsidR="00F06389">
        <w:instrText xml:space="preserve"> REF _Ref167227578 \h </w:instrText>
      </w:r>
      <w:r w:rsidR="00F06389">
        <w:fldChar w:fldCharType="separate"/>
      </w:r>
      <w:r w:rsidR="002E6614">
        <w:t xml:space="preserve">Table </w:t>
      </w:r>
      <w:r w:rsidR="002E6614">
        <w:rPr>
          <w:noProof/>
        </w:rPr>
        <w:t>2</w:t>
      </w:r>
      <w:r w:rsidR="00F06389">
        <w:fldChar w:fldCharType="end"/>
      </w:r>
      <w:r>
        <w:t xml:space="preserve">. </w:t>
      </w:r>
      <w:r w:rsidR="00535015">
        <w:t xml:space="preserve">This </w:t>
      </w:r>
      <w:r w:rsidR="006A5389">
        <w:t>study</w:t>
      </w:r>
      <w:r>
        <w:t xml:space="preserve"> </w:t>
      </w:r>
      <w:r w:rsidR="007A6469">
        <w:t>employs</w:t>
      </w:r>
      <w:r>
        <w:t xml:space="preserve"> Jarque-Bera tests, and the extremely high JB test statistics for all the commodities indicate that there is no normality for </w:t>
      </w:r>
      <w:r w:rsidR="00DC2DBE">
        <w:t>the</w:t>
      </w:r>
      <w:r>
        <w:t xml:space="preserve"> dataset. Furthermore, </w:t>
      </w:r>
      <w:r w:rsidR="00F241E5">
        <w:t xml:space="preserve">the </w:t>
      </w:r>
      <w:r w:rsidR="006A5389">
        <w:t>study</w:t>
      </w:r>
      <w:r>
        <w:t xml:space="preserve"> appli</w:t>
      </w:r>
      <w:r w:rsidR="006A5389">
        <w:t>es</w:t>
      </w:r>
      <w:r>
        <w:t xml:space="preserve"> the Augmented Dickey-Fuller test to test for stationarity. The significant negative values of the ADF statistics suggest that </w:t>
      </w:r>
      <w:r w:rsidR="00500BA9">
        <w:t>the</w:t>
      </w:r>
      <w:r>
        <w:t xml:space="preserve"> data is stationary, </w:t>
      </w:r>
      <w:r w:rsidR="00E13A02">
        <w:t>indicating</w:t>
      </w:r>
      <w:r>
        <w:t xml:space="preserve"> that it does not have significant trends over time. Similarly, the supplementary KPSS test</w:t>
      </w:r>
      <w:r w:rsidR="00351BFB">
        <w:t xml:space="preserve">, which is the </w:t>
      </w:r>
      <w:r w:rsidR="00351BFB" w:rsidRPr="00351BFB">
        <w:t>Kwiatkowski-Phillips-Schmidt-Shin unit root test</w:t>
      </w:r>
      <w:r w:rsidR="00351BFB">
        <w:t>,</w:t>
      </w:r>
      <w:r w:rsidR="00351BFB" w:rsidRPr="00351BFB">
        <w:t xml:space="preserve"> </w:t>
      </w:r>
      <w:r>
        <w:t xml:space="preserve">can </w:t>
      </w:r>
      <w:r w:rsidR="007B33D1">
        <w:t xml:space="preserve">not </w:t>
      </w:r>
      <w:r>
        <w:t>reject the null hypothesis</w:t>
      </w:r>
      <w:r w:rsidR="00795DAF">
        <w:t xml:space="preserve"> </w:t>
      </w:r>
      <w:r w:rsidR="007B33D1">
        <w:t>of stationary</w:t>
      </w:r>
      <w:r>
        <w:t xml:space="preserve">, indicating that the data series is </w:t>
      </w:r>
      <w:r w:rsidR="00307D6E">
        <w:t>ce</w:t>
      </w:r>
      <w:r w:rsidR="00016099">
        <w:t>n</w:t>
      </w:r>
      <w:r w:rsidR="00307D6E">
        <w:t>tered</w:t>
      </w:r>
      <w:r w:rsidR="004A17AE">
        <w:t xml:space="preserve"> </w:t>
      </w:r>
      <w:r w:rsidR="004A17AE" w:rsidRPr="004A17AE">
        <w:t>around a deterministic trend</w:t>
      </w:r>
      <w:r>
        <w:t xml:space="preserve">. </w:t>
      </w:r>
      <w:r w:rsidR="00F241E5">
        <w:t xml:space="preserve">This </w:t>
      </w:r>
      <w:r w:rsidR="007C3A16">
        <w:t>study</w:t>
      </w:r>
      <w:r>
        <w:t xml:space="preserve"> use</w:t>
      </w:r>
      <w:r w:rsidR="00F241E5">
        <w:t>s</w:t>
      </w:r>
      <w:r>
        <w:t xml:space="preserve"> the Ljung-Box test to diagnose if there is autocorrelation for the commodities. The LBQ results for lag 15 show that metal and energy commodities have autocorrelation at a 10% significance level, while agricultural commodity has autocorrelation at a 1% significance level, indicating the presence of dependence over time for these commodities. To test if the GARCH model</w:t>
      </w:r>
      <w:r w:rsidR="008F60A4">
        <w:t>s</w:t>
      </w:r>
      <w:r>
        <w:t xml:space="preserve"> </w:t>
      </w:r>
      <w:r w:rsidR="008F60A4">
        <w:t>are</w:t>
      </w:r>
      <w:r>
        <w:t xml:space="preserve"> fit for </w:t>
      </w:r>
      <w:r w:rsidR="00CC712F">
        <w:t>the</w:t>
      </w:r>
      <w:r>
        <w:t xml:space="preserve"> dataset, </w:t>
      </w:r>
      <w:r w:rsidR="00426B6C">
        <w:t xml:space="preserve">this </w:t>
      </w:r>
      <w:r w:rsidR="001A0AE0">
        <w:t>study</w:t>
      </w:r>
      <w:r>
        <w:t xml:space="preserve"> conduct</w:t>
      </w:r>
      <w:r w:rsidR="00426B6C">
        <w:t>s</w:t>
      </w:r>
      <w:r>
        <w:t xml:space="preserve"> Engle’s Lagrange Multiplier test </w:t>
      </w:r>
      <w:r w:rsidR="00B0055A">
        <w:fldChar w:fldCharType="begin"/>
      </w:r>
      <w:r w:rsidR="00B0055A">
        <w:instrText xml:space="preserve"> ADDIN ZOTERO_ITEM CSL_CITATION {"citationID":"w9vWkeS9","properties":{"formattedCitation":"(Engle, 1982)","plainCitation":"(Engle, 1982)","noteIndex":0},"citationItems":[{"id":97,"uris":["http://zotero.org/users/13925666/items/P7FVRH9Q"],"itemData":{"id":97,"type":"article-journal","abstract":"Traditional econometric models assume a constant one-period forecast variance. To generalize this implausible assumption, a new class of stochastic processes called autoregressive conditional heteroscedastic (ARCH) processes are introduced in this paper. These are mean zero, serially uncorrelated processes with nonconstant variances conditional on the past, but constant unconditional variances. For such processes, the recent past gives information about the one-period forecast variance. A regression model is then introduced with disturbances following an ARCH process. Maximum likelihood estimators are described and a simple scoring iteration formulated. Ordinary least squares maintains its optimality properties in this set-up, but maximum likelihood is more efficient. The relative efficiency is calculated and can be infinite. To test whether the disturbances follow an ARCH process, the Lagrange multiplier procedure is employed. The test is based simply on the autocorrelation of the squared OLS residuals. This model is used to estimate the means and variances of inflation in the U.K. The ARCH effect is found to be significant and the estimated variances increase substantially during the chaotic seventies.","container-title":"Econometrica","DOI":"10.2307/1912773","ISSN":"0012-9682","issue":"4","note":"publisher: [Wiley, Econometric Society]","page":"987-1007","source":"JSTOR","title":"Autoregressive Conditional Heteroscedasticity with Estimates of the Variance of United Kingdom Inflation","volume":"50","author":[{"family":"Engle","given":"Robert F."}],"issued":{"date-parts":[["1982"]]}}}],"schema":"https://github.com/citation-style-language/schema/raw/master/csl-citation.json"} </w:instrText>
      </w:r>
      <w:r w:rsidR="00B0055A">
        <w:fldChar w:fldCharType="separate"/>
      </w:r>
      <w:r w:rsidR="00B0055A" w:rsidRPr="00B0055A">
        <w:t>(Engle, 1982)</w:t>
      </w:r>
      <w:r w:rsidR="00B0055A">
        <w:fldChar w:fldCharType="end"/>
      </w:r>
      <w:r>
        <w:t xml:space="preserve"> to see if </w:t>
      </w:r>
      <w:r w:rsidR="00F11D5C">
        <w:t>the</w:t>
      </w:r>
      <w:r>
        <w:t xml:space="preserve"> data has ARCH effects. The p-value of the LM test strongly rejects the null hypotheses, which show the conditional heteroscedasticity features of commodity returns. In summary, </w:t>
      </w:r>
      <w:r w:rsidR="001D7452">
        <w:t>the</w:t>
      </w:r>
      <w:r>
        <w:t xml:space="preserve"> data generally shows no normality, stationary, </w:t>
      </w:r>
      <w:r w:rsidR="00B27EB7">
        <w:t xml:space="preserve">autocorrelation, and </w:t>
      </w:r>
      <w:r>
        <w:t xml:space="preserve">heteroscedasticity characteristics. </w:t>
      </w:r>
    </w:p>
    <w:p w14:paraId="2CB55A9A" w14:textId="264F69B8" w:rsidR="006159AE" w:rsidRDefault="006159AE" w:rsidP="00955401">
      <w:pPr>
        <w:pStyle w:val="Caption"/>
      </w:pPr>
      <w:bookmarkStart w:id="12" w:name="_Ref167227578"/>
      <w:r>
        <w:t xml:space="preserve">Table </w:t>
      </w:r>
      <w:r>
        <w:fldChar w:fldCharType="begin"/>
      </w:r>
      <w:r>
        <w:instrText xml:space="preserve"> SEQ Table \* ARABIC </w:instrText>
      </w:r>
      <w:r>
        <w:fldChar w:fldCharType="separate"/>
      </w:r>
      <w:r w:rsidR="002E6614">
        <w:rPr>
          <w:noProof/>
        </w:rPr>
        <w:t>2</w:t>
      </w:r>
      <w:r>
        <w:fldChar w:fldCharType="end"/>
      </w:r>
      <w:bookmarkEnd w:id="12"/>
      <w:r>
        <w:t xml:space="preserve">: </w:t>
      </w:r>
      <w:r w:rsidRPr="00777326">
        <w:t>Statistical Tests</w:t>
      </w:r>
    </w:p>
    <w:tbl>
      <w:tblPr>
        <w:tblStyle w:val="a1"/>
        <w:tblW w:w="9345" w:type="dxa"/>
        <w:tblBorders>
          <w:top w:val="nil"/>
          <w:left w:val="nil"/>
          <w:bottom w:val="nil"/>
          <w:right w:val="nil"/>
          <w:insideH w:val="nil"/>
          <w:insideV w:val="nil"/>
        </w:tblBorders>
        <w:tblLayout w:type="fixed"/>
        <w:tblLook w:val="0600" w:firstRow="0" w:lastRow="0" w:firstColumn="0" w:lastColumn="0" w:noHBand="1" w:noVBand="1"/>
      </w:tblPr>
      <w:tblGrid>
        <w:gridCol w:w="1275"/>
        <w:gridCol w:w="1395"/>
        <w:gridCol w:w="1335"/>
        <w:gridCol w:w="1335"/>
        <w:gridCol w:w="1335"/>
        <w:gridCol w:w="1335"/>
        <w:gridCol w:w="1335"/>
      </w:tblGrid>
      <w:tr w:rsidR="00D640F1" w14:paraId="775EE3FC" w14:textId="77777777">
        <w:trPr>
          <w:trHeight w:val="345"/>
        </w:trPr>
        <w:tc>
          <w:tcPr>
            <w:tcW w:w="1275" w:type="dxa"/>
            <w:tcBorders>
              <w:top w:val="single" w:sz="4" w:space="0" w:color="000000"/>
              <w:left w:val="nil"/>
              <w:bottom w:val="single" w:sz="4" w:space="0" w:color="000000"/>
              <w:right w:val="nil"/>
            </w:tcBorders>
            <w:tcMar>
              <w:top w:w="40" w:type="dxa"/>
              <w:left w:w="40" w:type="dxa"/>
              <w:bottom w:w="40" w:type="dxa"/>
              <w:right w:w="40" w:type="dxa"/>
            </w:tcMar>
            <w:vAlign w:val="center"/>
          </w:tcPr>
          <w:p w14:paraId="4B6E00E4" w14:textId="77777777" w:rsidR="00D640F1" w:rsidRDefault="00D640F1" w:rsidP="005A3460">
            <w:pPr>
              <w:widowControl w:val="0"/>
              <w:spacing w:line="276" w:lineRule="auto"/>
              <w:rPr>
                <w:rFonts w:ascii="Arial" w:eastAsia="Arial" w:hAnsi="Arial" w:cs="Arial"/>
                <w:sz w:val="20"/>
                <w:szCs w:val="20"/>
              </w:rPr>
            </w:pPr>
          </w:p>
        </w:tc>
        <w:tc>
          <w:tcPr>
            <w:tcW w:w="1395" w:type="dxa"/>
            <w:tcBorders>
              <w:top w:val="single" w:sz="4" w:space="0" w:color="000000"/>
              <w:left w:val="nil"/>
              <w:bottom w:val="single" w:sz="4" w:space="0" w:color="000000"/>
              <w:right w:val="nil"/>
            </w:tcBorders>
            <w:tcMar>
              <w:top w:w="40" w:type="dxa"/>
              <w:left w:w="40" w:type="dxa"/>
              <w:bottom w:w="40" w:type="dxa"/>
              <w:right w:w="40" w:type="dxa"/>
            </w:tcMar>
            <w:vAlign w:val="center"/>
          </w:tcPr>
          <w:p w14:paraId="56250052" w14:textId="77777777" w:rsidR="00D640F1" w:rsidRDefault="00000000" w:rsidP="005A3460">
            <w:pPr>
              <w:widowControl w:val="0"/>
              <w:spacing w:line="276" w:lineRule="auto"/>
              <w:jc w:val="center"/>
              <w:rPr>
                <w:rFonts w:ascii="Arial" w:eastAsia="Arial" w:hAnsi="Arial" w:cs="Arial"/>
                <w:sz w:val="20"/>
                <w:szCs w:val="20"/>
              </w:rPr>
            </w:pPr>
            <w:r>
              <w:rPr>
                <w:b/>
                <w:sz w:val="22"/>
                <w:szCs w:val="22"/>
              </w:rPr>
              <w:t>JB</w:t>
            </w:r>
          </w:p>
        </w:tc>
        <w:tc>
          <w:tcPr>
            <w:tcW w:w="1335" w:type="dxa"/>
            <w:tcBorders>
              <w:top w:val="single" w:sz="4" w:space="0" w:color="000000"/>
              <w:left w:val="nil"/>
              <w:bottom w:val="single" w:sz="4" w:space="0" w:color="000000"/>
              <w:right w:val="nil"/>
            </w:tcBorders>
            <w:tcMar>
              <w:top w:w="40" w:type="dxa"/>
              <w:left w:w="40" w:type="dxa"/>
              <w:bottom w:w="40" w:type="dxa"/>
              <w:right w:w="40" w:type="dxa"/>
            </w:tcMar>
            <w:vAlign w:val="center"/>
          </w:tcPr>
          <w:p w14:paraId="648A2D4B" w14:textId="77777777" w:rsidR="00D640F1" w:rsidRDefault="00000000" w:rsidP="005A3460">
            <w:pPr>
              <w:widowControl w:val="0"/>
              <w:spacing w:line="276" w:lineRule="auto"/>
              <w:jc w:val="center"/>
              <w:rPr>
                <w:rFonts w:ascii="Arial" w:eastAsia="Arial" w:hAnsi="Arial" w:cs="Arial"/>
                <w:sz w:val="20"/>
                <w:szCs w:val="20"/>
              </w:rPr>
            </w:pPr>
            <w:r>
              <w:rPr>
                <w:b/>
                <w:sz w:val="22"/>
                <w:szCs w:val="22"/>
              </w:rPr>
              <w:t>ADF</w:t>
            </w:r>
          </w:p>
        </w:tc>
        <w:tc>
          <w:tcPr>
            <w:tcW w:w="1335" w:type="dxa"/>
            <w:tcBorders>
              <w:top w:val="single" w:sz="4" w:space="0" w:color="000000"/>
              <w:left w:val="nil"/>
              <w:bottom w:val="single" w:sz="4" w:space="0" w:color="000000"/>
              <w:right w:val="nil"/>
            </w:tcBorders>
            <w:tcMar>
              <w:top w:w="40" w:type="dxa"/>
              <w:left w:w="40" w:type="dxa"/>
              <w:bottom w:w="40" w:type="dxa"/>
              <w:right w:w="40" w:type="dxa"/>
            </w:tcMar>
            <w:vAlign w:val="center"/>
          </w:tcPr>
          <w:p w14:paraId="23F8787B" w14:textId="77777777" w:rsidR="00D640F1" w:rsidRDefault="00000000" w:rsidP="005A3460">
            <w:pPr>
              <w:widowControl w:val="0"/>
              <w:spacing w:line="276" w:lineRule="auto"/>
              <w:jc w:val="center"/>
              <w:rPr>
                <w:rFonts w:ascii="Arial" w:eastAsia="Arial" w:hAnsi="Arial" w:cs="Arial"/>
                <w:sz w:val="20"/>
                <w:szCs w:val="20"/>
              </w:rPr>
            </w:pPr>
            <w:r>
              <w:rPr>
                <w:b/>
                <w:sz w:val="22"/>
                <w:szCs w:val="22"/>
              </w:rPr>
              <w:t>PP</w:t>
            </w:r>
          </w:p>
        </w:tc>
        <w:tc>
          <w:tcPr>
            <w:tcW w:w="1335" w:type="dxa"/>
            <w:tcBorders>
              <w:top w:val="single" w:sz="4" w:space="0" w:color="000000"/>
              <w:left w:val="nil"/>
              <w:bottom w:val="single" w:sz="4" w:space="0" w:color="000000"/>
              <w:right w:val="nil"/>
            </w:tcBorders>
            <w:shd w:val="clear" w:color="auto" w:fill="auto"/>
            <w:tcMar>
              <w:top w:w="40" w:type="dxa"/>
              <w:left w:w="40" w:type="dxa"/>
              <w:bottom w:w="40" w:type="dxa"/>
              <w:right w:w="40" w:type="dxa"/>
            </w:tcMar>
            <w:vAlign w:val="center"/>
          </w:tcPr>
          <w:p w14:paraId="0E32BF2F" w14:textId="77777777" w:rsidR="00D640F1" w:rsidRDefault="00000000" w:rsidP="005A3460">
            <w:pPr>
              <w:widowControl w:val="0"/>
              <w:spacing w:line="276" w:lineRule="auto"/>
              <w:jc w:val="center"/>
              <w:rPr>
                <w:rFonts w:ascii="Arial" w:eastAsia="Arial" w:hAnsi="Arial" w:cs="Arial"/>
                <w:sz w:val="20"/>
                <w:szCs w:val="20"/>
              </w:rPr>
            </w:pPr>
            <w:r>
              <w:rPr>
                <w:b/>
                <w:sz w:val="22"/>
                <w:szCs w:val="22"/>
              </w:rPr>
              <w:t>KPSS</w:t>
            </w:r>
          </w:p>
        </w:tc>
        <w:tc>
          <w:tcPr>
            <w:tcW w:w="1335" w:type="dxa"/>
            <w:tcBorders>
              <w:top w:val="single" w:sz="4" w:space="0" w:color="000000"/>
              <w:left w:val="nil"/>
              <w:bottom w:val="single" w:sz="4" w:space="0" w:color="000000"/>
              <w:right w:val="nil"/>
            </w:tcBorders>
            <w:shd w:val="clear" w:color="auto" w:fill="auto"/>
            <w:tcMar>
              <w:top w:w="40" w:type="dxa"/>
              <w:left w:w="40" w:type="dxa"/>
              <w:bottom w:w="40" w:type="dxa"/>
              <w:right w:w="40" w:type="dxa"/>
            </w:tcMar>
            <w:vAlign w:val="center"/>
          </w:tcPr>
          <w:p w14:paraId="4BDD1FE7" w14:textId="77777777" w:rsidR="00D640F1" w:rsidRDefault="00000000" w:rsidP="005A3460">
            <w:pPr>
              <w:widowControl w:val="0"/>
              <w:spacing w:line="276" w:lineRule="auto"/>
              <w:rPr>
                <w:rFonts w:ascii="Arial" w:eastAsia="Arial" w:hAnsi="Arial" w:cs="Arial"/>
                <w:sz w:val="20"/>
                <w:szCs w:val="20"/>
              </w:rPr>
            </w:pPr>
            <w:r>
              <w:rPr>
                <w:b/>
                <w:sz w:val="22"/>
                <w:szCs w:val="22"/>
              </w:rPr>
              <w:t>LBQ</w:t>
            </w:r>
          </w:p>
        </w:tc>
        <w:tc>
          <w:tcPr>
            <w:tcW w:w="1335" w:type="dxa"/>
            <w:tcBorders>
              <w:top w:val="single" w:sz="4" w:space="0" w:color="000000"/>
              <w:left w:val="nil"/>
              <w:bottom w:val="single" w:sz="4" w:space="0" w:color="000000"/>
              <w:right w:val="nil"/>
            </w:tcBorders>
            <w:shd w:val="clear" w:color="auto" w:fill="auto"/>
            <w:tcMar>
              <w:top w:w="40" w:type="dxa"/>
              <w:left w:w="40" w:type="dxa"/>
              <w:bottom w:w="40" w:type="dxa"/>
              <w:right w:w="40" w:type="dxa"/>
            </w:tcMar>
            <w:vAlign w:val="center"/>
          </w:tcPr>
          <w:p w14:paraId="7D1DB2BC" w14:textId="77777777" w:rsidR="00D640F1" w:rsidRDefault="00000000" w:rsidP="005A3460">
            <w:pPr>
              <w:widowControl w:val="0"/>
              <w:spacing w:line="276" w:lineRule="auto"/>
              <w:jc w:val="center"/>
              <w:rPr>
                <w:rFonts w:ascii="Arial" w:eastAsia="Arial" w:hAnsi="Arial" w:cs="Arial"/>
                <w:sz w:val="20"/>
                <w:szCs w:val="20"/>
              </w:rPr>
            </w:pPr>
            <w:r>
              <w:rPr>
                <w:b/>
                <w:sz w:val="22"/>
                <w:szCs w:val="22"/>
              </w:rPr>
              <w:t>LM</w:t>
            </w:r>
          </w:p>
        </w:tc>
      </w:tr>
      <w:tr w:rsidR="00D640F1" w14:paraId="7FA1AB9C" w14:textId="77777777">
        <w:trPr>
          <w:trHeight w:val="315"/>
        </w:trPr>
        <w:tc>
          <w:tcPr>
            <w:tcW w:w="1275" w:type="dxa"/>
            <w:tcBorders>
              <w:top w:val="nil"/>
              <w:left w:val="nil"/>
              <w:bottom w:val="nil"/>
              <w:right w:val="nil"/>
            </w:tcBorders>
            <w:tcMar>
              <w:top w:w="40" w:type="dxa"/>
              <w:left w:w="40" w:type="dxa"/>
              <w:bottom w:w="40" w:type="dxa"/>
              <w:right w:w="40" w:type="dxa"/>
            </w:tcMar>
            <w:vAlign w:val="center"/>
          </w:tcPr>
          <w:p w14:paraId="0E5D26F9" w14:textId="77777777" w:rsidR="00D640F1" w:rsidRDefault="00000000" w:rsidP="005A3460">
            <w:pPr>
              <w:widowControl w:val="0"/>
              <w:spacing w:line="276" w:lineRule="auto"/>
              <w:rPr>
                <w:rFonts w:ascii="Arial" w:eastAsia="Arial" w:hAnsi="Arial" w:cs="Arial"/>
                <w:sz w:val="20"/>
                <w:szCs w:val="20"/>
              </w:rPr>
            </w:pPr>
            <w:r>
              <w:rPr>
                <w:sz w:val="22"/>
                <w:szCs w:val="22"/>
              </w:rPr>
              <w:t>Metal</w:t>
            </w:r>
          </w:p>
        </w:tc>
        <w:tc>
          <w:tcPr>
            <w:tcW w:w="1395" w:type="dxa"/>
            <w:tcBorders>
              <w:top w:val="nil"/>
              <w:left w:val="nil"/>
              <w:bottom w:val="nil"/>
              <w:right w:val="nil"/>
            </w:tcBorders>
            <w:shd w:val="clear" w:color="auto" w:fill="auto"/>
            <w:tcMar>
              <w:top w:w="40" w:type="dxa"/>
              <w:left w:w="40" w:type="dxa"/>
              <w:bottom w:w="40" w:type="dxa"/>
              <w:right w:w="40" w:type="dxa"/>
            </w:tcMar>
            <w:vAlign w:val="center"/>
          </w:tcPr>
          <w:p w14:paraId="26ACCBA4" w14:textId="77777777" w:rsidR="00D640F1" w:rsidRDefault="00000000" w:rsidP="005A3460">
            <w:pPr>
              <w:widowControl w:val="0"/>
              <w:spacing w:line="276" w:lineRule="auto"/>
              <w:jc w:val="right"/>
              <w:rPr>
                <w:rFonts w:ascii="Arial" w:eastAsia="Arial" w:hAnsi="Arial" w:cs="Arial"/>
                <w:sz w:val="20"/>
                <w:szCs w:val="20"/>
              </w:rPr>
            </w:pPr>
            <w:r>
              <w:rPr>
                <w:sz w:val="22"/>
                <w:szCs w:val="22"/>
              </w:rPr>
              <w:t>524814.92***</w:t>
            </w:r>
          </w:p>
        </w:tc>
        <w:tc>
          <w:tcPr>
            <w:tcW w:w="1335" w:type="dxa"/>
            <w:tcBorders>
              <w:top w:val="nil"/>
              <w:left w:val="nil"/>
              <w:bottom w:val="nil"/>
              <w:right w:val="nil"/>
            </w:tcBorders>
            <w:tcMar>
              <w:top w:w="40" w:type="dxa"/>
              <w:left w:w="40" w:type="dxa"/>
              <w:bottom w:w="40" w:type="dxa"/>
              <w:right w:w="40" w:type="dxa"/>
            </w:tcMar>
            <w:vAlign w:val="center"/>
          </w:tcPr>
          <w:p w14:paraId="4E0D1A5C" w14:textId="77777777" w:rsidR="00D640F1" w:rsidRDefault="00000000" w:rsidP="005A3460">
            <w:pPr>
              <w:widowControl w:val="0"/>
              <w:spacing w:line="276" w:lineRule="auto"/>
              <w:jc w:val="center"/>
              <w:rPr>
                <w:rFonts w:ascii="Arial" w:eastAsia="Arial" w:hAnsi="Arial" w:cs="Arial"/>
                <w:sz w:val="20"/>
                <w:szCs w:val="20"/>
              </w:rPr>
            </w:pPr>
            <w:r>
              <w:rPr>
                <w:sz w:val="22"/>
                <w:szCs w:val="22"/>
              </w:rPr>
              <w:t>-83.47***</w:t>
            </w:r>
          </w:p>
        </w:tc>
        <w:tc>
          <w:tcPr>
            <w:tcW w:w="1335" w:type="dxa"/>
            <w:tcBorders>
              <w:top w:val="nil"/>
              <w:left w:val="nil"/>
              <w:bottom w:val="nil"/>
              <w:right w:val="nil"/>
            </w:tcBorders>
            <w:tcMar>
              <w:top w:w="40" w:type="dxa"/>
              <w:left w:w="40" w:type="dxa"/>
              <w:bottom w:w="40" w:type="dxa"/>
              <w:right w:w="40" w:type="dxa"/>
            </w:tcMar>
            <w:vAlign w:val="center"/>
          </w:tcPr>
          <w:p w14:paraId="67B915B5" w14:textId="77777777" w:rsidR="00D640F1" w:rsidRDefault="00000000" w:rsidP="005A3460">
            <w:pPr>
              <w:widowControl w:val="0"/>
              <w:spacing w:line="276" w:lineRule="auto"/>
              <w:jc w:val="center"/>
              <w:rPr>
                <w:rFonts w:ascii="Arial" w:eastAsia="Arial" w:hAnsi="Arial" w:cs="Arial"/>
                <w:sz w:val="20"/>
                <w:szCs w:val="20"/>
              </w:rPr>
            </w:pPr>
            <w:r>
              <w:rPr>
                <w:sz w:val="22"/>
                <w:szCs w:val="22"/>
              </w:rPr>
              <w:t>-84.54***</w:t>
            </w:r>
          </w:p>
        </w:tc>
        <w:tc>
          <w:tcPr>
            <w:tcW w:w="1335" w:type="dxa"/>
            <w:tcBorders>
              <w:top w:val="nil"/>
              <w:left w:val="nil"/>
              <w:bottom w:val="nil"/>
              <w:right w:val="nil"/>
            </w:tcBorders>
            <w:shd w:val="clear" w:color="auto" w:fill="auto"/>
            <w:tcMar>
              <w:top w:w="40" w:type="dxa"/>
              <w:left w:w="40" w:type="dxa"/>
              <w:bottom w:w="40" w:type="dxa"/>
              <w:right w:w="40" w:type="dxa"/>
            </w:tcMar>
            <w:vAlign w:val="center"/>
          </w:tcPr>
          <w:p w14:paraId="4282BC3C" w14:textId="77777777" w:rsidR="00D640F1" w:rsidRDefault="00000000" w:rsidP="005A3460">
            <w:pPr>
              <w:widowControl w:val="0"/>
              <w:spacing w:line="276" w:lineRule="auto"/>
              <w:jc w:val="center"/>
              <w:rPr>
                <w:rFonts w:ascii="Arial" w:eastAsia="Arial" w:hAnsi="Arial" w:cs="Arial"/>
                <w:sz w:val="20"/>
                <w:szCs w:val="20"/>
              </w:rPr>
            </w:pPr>
            <w:r>
              <w:rPr>
                <w:sz w:val="22"/>
                <w:szCs w:val="22"/>
              </w:rPr>
              <w:t>0.02</w:t>
            </w:r>
          </w:p>
        </w:tc>
        <w:tc>
          <w:tcPr>
            <w:tcW w:w="1335" w:type="dxa"/>
            <w:tcBorders>
              <w:top w:val="nil"/>
              <w:left w:val="nil"/>
              <w:bottom w:val="nil"/>
              <w:right w:val="nil"/>
            </w:tcBorders>
            <w:shd w:val="clear" w:color="auto" w:fill="auto"/>
            <w:tcMar>
              <w:top w:w="40" w:type="dxa"/>
              <w:left w:w="40" w:type="dxa"/>
              <w:bottom w:w="40" w:type="dxa"/>
              <w:right w:w="40" w:type="dxa"/>
            </w:tcMar>
            <w:vAlign w:val="center"/>
          </w:tcPr>
          <w:p w14:paraId="2C7C30D3" w14:textId="77777777" w:rsidR="00D640F1" w:rsidRDefault="00000000" w:rsidP="005A3460">
            <w:pPr>
              <w:widowControl w:val="0"/>
              <w:spacing w:line="276" w:lineRule="auto"/>
              <w:rPr>
                <w:rFonts w:ascii="Arial" w:eastAsia="Arial" w:hAnsi="Arial" w:cs="Arial"/>
                <w:sz w:val="20"/>
                <w:szCs w:val="20"/>
              </w:rPr>
            </w:pPr>
            <w:r>
              <w:rPr>
                <w:sz w:val="22"/>
                <w:szCs w:val="22"/>
              </w:rPr>
              <w:t>22.74*</w:t>
            </w:r>
          </w:p>
        </w:tc>
        <w:tc>
          <w:tcPr>
            <w:tcW w:w="1335" w:type="dxa"/>
            <w:tcBorders>
              <w:top w:val="nil"/>
              <w:left w:val="nil"/>
              <w:bottom w:val="nil"/>
              <w:right w:val="nil"/>
            </w:tcBorders>
            <w:shd w:val="clear" w:color="auto" w:fill="auto"/>
            <w:tcMar>
              <w:top w:w="40" w:type="dxa"/>
              <w:left w:w="40" w:type="dxa"/>
              <w:bottom w:w="40" w:type="dxa"/>
              <w:right w:w="40" w:type="dxa"/>
            </w:tcMar>
            <w:vAlign w:val="center"/>
          </w:tcPr>
          <w:p w14:paraId="3369DF20" w14:textId="77777777" w:rsidR="00D640F1" w:rsidRDefault="00000000" w:rsidP="005A3460">
            <w:pPr>
              <w:widowControl w:val="0"/>
              <w:spacing w:line="276" w:lineRule="auto"/>
              <w:jc w:val="right"/>
              <w:rPr>
                <w:rFonts w:ascii="Arial" w:eastAsia="Arial" w:hAnsi="Arial" w:cs="Arial"/>
                <w:sz w:val="20"/>
                <w:szCs w:val="20"/>
              </w:rPr>
            </w:pPr>
            <w:r>
              <w:rPr>
                <w:sz w:val="22"/>
                <w:szCs w:val="22"/>
              </w:rPr>
              <w:t>1952.31***</w:t>
            </w:r>
          </w:p>
        </w:tc>
      </w:tr>
      <w:tr w:rsidR="00D640F1" w14:paraId="4C4261C0" w14:textId="77777777">
        <w:trPr>
          <w:trHeight w:val="315"/>
        </w:trPr>
        <w:tc>
          <w:tcPr>
            <w:tcW w:w="1275" w:type="dxa"/>
            <w:tcBorders>
              <w:top w:val="nil"/>
              <w:left w:val="nil"/>
              <w:bottom w:val="nil"/>
              <w:right w:val="nil"/>
            </w:tcBorders>
            <w:tcMar>
              <w:top w:w="40" w:type="dxa"/>
              <w:left w:w="40" w:type="dxa"/>
              <w:bottom w:w="40" w:type="dxa"/>
              <w:right w:w="40" w:type="dxa"/>
            </w:tcMar>
            <w:vAlign w:val="center"/>
          </w:tcPr>
          <w:p w14:paraId="78416978" w14:textId="77777777" w:rsidR="00D640F1" w:rsidRDefault="00000000" w:rsidP="005A3460">
            <w:pPr>
              <w:widowControl w:val="0"/>
              <w:spacing w:line="276" w:lineRule="auto"/>
              <w:rPr>
                <w:rFonts w:ascii="Arial" w:eastAsia="Arial" w:hAnsi="Arial" w:cs="Arial"/>
                <w:sz w:val="20"/>
                <w:szCs w:val="20"/>
              </w:rPr>
            </w:pPr>
            <w:r>
              <w:rPr>
                <w:sz w:val="22"/>
                <w:szCs w:val="22"/>
              </w:rPr>
              <w:t>Energy</w:t>
            </w:r>
          </w:p>
        </w:tc>
        <w:tc>
          <w:tcPr>
            <w:tcW w:w="1395" w:type="dxa"/>
            <w:tcBorders>
              <w:top w:val="nil"/>
              <w:left w:val="nil"/>
              <w:bottom w:val="nil"/>
              <w:right w:val="nil"/>
            </w:tcBorders>
            <w:shd w:val="clear" w:color="auto" w:fill="auto"/>
            <w:tcMar>
              <w:top w:w="40" w:type="dxa"/>
              <w:left w:w="40" w:type="dxa"/>
              <w:bottom w:w="40" w:type="dxa"/>
              <w:right w:w="40" w:type="dxa"/>
            </w:tcMar>
            <w:vAlign w:val="bottom"/>
          </w:tcPr>
          <w:p w14:paraId="00780CB8" w14:textId="77777777" w:rsidR="00D640F1" w:rsidRDefault="00000000" w:rsidP="005A3460">
            <w:pPr>
              <w:widowControl w:val="0"/>
              <w:spacing w:line="276" w:lineRule="auto"/>
              <w:jc w:val="right"/>
              <w:rPr>
                <w:rFonts w:ascii="Arial" w:eastAsia="Arial" w:hAnsi="Arial" w:cs="Arial"/>
                <w:sz w:val="20"/>
                <w:szCs w:val="20"/>
              </w:rPr>
            </w:pPr>
            <w:r>
              <w:rPr>
                <w:sz w:val="22"/>
                <w:szCs w:val="22"/>
              </w:rPr>
              <w:t>33814.35***</w:t>
            </w:r>
          </w:p>
        </w:tc>
        <w:tc>
          <w:tcPr>
            <w:tcW w:w="1335" w:type="dxa"/>
            <w:tcBorders>
              <w:top w:val="nil"/>
              <w:left w:val="nil"/>
              <w:bottom w:val="nil"/>
              <w:right w:val="nil"/>
            </w:tcBorders>
            <w:tcMar>
              <w:top w:w="40" w:type="dxa"/>
              <w:left w:w="40" w:type="dxa"/>
              <w:bottom w:w="40" w:type="dxa"/>
              <w:right w:w="40" w:type="dxa"/>
            </w:tcMar>
            <w:vAlign w:val="bottom"/>
          </w:tcPr>
          <w:p w14:paraId="188CA685" w14:textId="77777777" w:rsidR="00D640F1" w:rsidRDefault="00000000" w:rsidP="005A3460">
            <w:pPr>
              <w:widowControl w:val="0"/>
              <w:spacing w:line="276" w:lineRule="auto"/>
              <w:jc w:val="center"/>
              <w:rPr>
                <w:rFonts w:ascii="Arial" w:eastAsia="Arial" w:hAnsi="Arial" w:cs="Arial"/>
                <w:sz w:val="20"/>
                <w:szCs w:val="20"/>
              </w:rPr>
            </w:pPr>
            <w:r>
              <w:rPr>
                <w:sz w:val="22"/>
                <w:szCs w:val="22"/>
              </w:rPr>
              <w:t>-80.36***</w:t>
            </w:r>
          </w:p>
        </w:tc>
        <w:tc>
          <w:tcPr>
            <w:tcW w:w="1335" w:type="dxa"/>
            <w:tcBorders>
              <w:top w:val="nil"/>
              <w:left w:val="nil"/>
              <w:bottom w:val="nil"/>
              <w:right w:val="nil"/>
            </w:tcBorders>
            <w:tcMar>
              <w:top w:w="40" w:type="dxa"/>
              <w:left w:w="40" w:type="dxa"/>
              <w:bottom w:w="40" w:type="dxa"/>
              <w:right w:w="40" w:type="dxa"/>
            </w:tcMar>
            <w:vAlign w:val="bottom"/>
          </w:tcPr>
          <w:p w14:paraId="66DCEE38" w14:textId="77777777" w:rsidR="00D640F1" w:rsidRDefault="00000000" w:rsidP="005A3460">
            <w:pPr>
              <w:widowControl w:val="0"/>
              <w:spacing w:line="276" w:lineRule="auto"/>
              <w:jc w:val="center"/>
              <w:rPr>
                <w:rFonts w:ascii="Arial" w:eastAsia="Arial" w:hAnsi="Arial" w:cs="Arial"/>
                <w:sz w:val="20"/>
                <w:szCs w:val="20"/>
              </w:rPr>
            </w:pPr>
            <w:r>
              <w:rPr>
                <w:sz w:val="22"/>
                <w:szCs w:val="22"/>
              </w:rPr>
              <w:t>-80.35***</w:t>
            </w:r>
          </w:p>
        </w:tc>
        <w:tc>
          <w:tcPr>
            <w:tcW w:w="1335" w:type="dxa"/>
            <w:tcBorders>
              <w:top w:val="nil"/>
              <w:left w:val="nil"/>
              <w:bottom w:val="nil"/>
              <w:right w:val="nil"/>
            </w:tcBorders>
            <w:shd w:val="clear" w:color="auto" w:fill="auto"/>
            <w:tcMar>
              <w:top w:w="40" w:type="dxa"/>
              <w:left w:w="40" w:type="dxa"/>
              <w:bottom w:w="40" w:type="dxa"/>
              <w:right w:w="40" w:type="dxa"/>
            </w:tcMar>
            <w:vAlign w:val="bottom"/>
          </w:tcPr>
          <w:p w14:paraId="44ABBEA3" w14:textId="77777777" w:rsidR="00D640F1" w:rsidRDefault="00000000" w:rsidP="005A3460">
            <w:pPr>
              <w:widowControl w:val="0"/>
              <w:spacing w:line="276" w:lineRule="auto"/>
              <w:jc w:val="center"/>
              <w:rPr>
                <w:rFonts w:ascii="Arial" w:eastAsia="Arial" w:hAnsi="Arial" w:cs="Arial"/>
                <w:sz w:val="20"/>
                <w:szCs w:val="20"/>
              </w:rPr>
            </w:pPr>
            <w:r>
              <w:rPr>
                <w:sz w:val="22"/>
                <w:szCs w:val="22"/>
              </w:rPr>
              <w:t>0.07</w:t>
            </w:r>
          </w:p>
        </w:tc>
        <w:tc>
          <w:tcPr>
            <w:tcW w:w="1335" w:type="dxa"/>
            <w:tcBorders>
              <w:top w:val="nil"/>
              <w:left w:val="nil"/>
              <w:bottom w:val="nil"/>
              <w:right w:val="nil"/>
            </w:tcBorders>
            <w:shd w:val="clear" w:color="auto" w:fill="auto"/>
            <w:tcMar>
              <w:top w:w="40" w:type="dxa"/>
              <w:left w:w="40" w:type="dxa"/>
              <w:bottom w:w="40" w:type="dxa"/>
              <w:right w:w="40" w:type="dxa"/>
            </w:tcMar>
            <w:vAlign w:val="bottom"/>
          </w:tcPr>
          <w:p w14:paraId="0BBD3EBF" w14:textId="77777777" w:rsidR="00D640F1" w:rsidRDefault="00000000" w:rsidP="005A3460">
            <w:pPr>
              <w:widowControl w:val="0"/>
              <w:spacing w:line="276" w:lineRule="auto"/>
              <w:rPr>
                <w:rFonts w:ascii="Arial" w:eastAsia="Arial" w:hAnsi="Arial" w:cs="Arial"/>
                <w:sz w:val="20"/>
                <w:szCs w:val="20"/>
              </w:rPr>
            </w:pPr>
            <w:r>
              <w:rPr>
                <w:sz w:val="22"/>
                <w:szCs w:val="22"/>
              </w:rPr>
              <w:t>22.65*</w:t>
            </w:r>
          </w:p>
        </w:tc>
        <w:tc>
          <w:tcPr>
            <w:tcW w:w="1335" w:type="dxa"/>
            <w:tcBorders>
              <w:top w:val="nil"/>
              <w:left w:val="nil"/>
              <w:bottom w:val="nil"/>
              <w:right w:val="nil"/>
            </w:tcBorders>
            <w:shd w:val="clear" w:color="auto" w:fill="auto"/>
            <w:tcMar>
              <w:top w:w="40" w:type="dxa"/>
              <w:left w:w="40" w:type="dxa"/>
              <w:bottom w:w="40" w:type="dxa"/>
              <w:right w:w="40" w:type="dxa"/>
            </w:tcMar>
            <w:vAlign w:val="bottom"/>
          </w:tcPr>
          <w:p w14:paraId="761CDC75" w14:textId="77777777" w:rsidR="00D640F1" w:rsidRDefault="00000000" w:rsidP="005A3460">
            <w:pPr>
              <w:widowControl w:val="0"/>
              <w:spacing w:line="276" w:lineRule="auto"/>
              <w:jc w:val="right"/>
              <w:rPr>
                <w:rFonts w:ascii="Arial" w:eastAsia="Arial" w:hAnsi="Arial" w:cs="Arial"/>
                <w:sz w:val="20"/>
                <w:szCs w:val="20"/>
              </w:rPr>
            </w:pPr>
            <w:r>
              <w:rPr>
                <w:sz w:val="22"/>
                <w:szCs w:val="22"/>
              </w:rPr>
              <w:t>407.00***</w:t>
            </w:r>
          </w:p>
        </w:tc>
      </w:tr>
      <w:tr w:rsidR="00D640F1" w14:paraId="79FE3D89" w14:textId="77777777">
        <w:trPr>
          <w:trHeight w:val="330"/>
        </w:trPr>
        <w:tc>
          <w:tcPr>
            <w:tcW w:w="1275" w:type="dxa"/>
            <w:tcBorders>
              <w:top w:val="nil"/>
              <w:left w:val="nil"/>
              <w:bottom w:val="single" w:sz="4" w:space="0" w:color="000000"/>
              <w:right w:val="nil"/>
            </w:tcBorders>
            <w:tcMar>
              <w:top w:w="40" w:type="dxa"/>
              <w:left w:w="40" w:type="dxa"/>
              <w:bottom w:w="40" w:type="dxa"/>
              <w:right w:w="40" w:type="dxa"/>
            </w:tcMar>
            <w:vAlign w:val="center"/>
          </w:tcPr>
          <w:p w14:paraId="29ACD64C" w14:textId="77777777" w:rsidR="00D640F1" w:rsidRDefault="00000000" w:rsidP="005A3460">
            <w:pPr>
              <w:widowControl w:val="0"/>
              <w:spacing w:line="276" w:lineRule="auto"/>
              <w:rPr>
                <w:rFonts w:ascii="Arial" w:eastAsia="Arial" w:hAnsi="Arial" w:cs="Arial"/>
                <w:sz w:val="20"/>
                <w:szCs w:val="20"/>
              </w:rPr>
            </w:pPr>
            <w:r>
              <w:rPr>
                <w:sz w:val="22"/>
                <w:szCs w:val="22"/>
              </w:rPr>
              <w:t>Agricultural</w:t>
            </w:r>
          </w:p>
        </w:tc>
        <w:tc>
          <w:tcPr>
            <w:tcW w:w="1395" w:type="dxa"/>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6A5E963" w14:textId="77777777" w:rsidR="00D640F1" w:rsidRDefault="00000000" w:rsidP="005A3460">
            <w:pPr>
              <w:widowControl w:val="0"/>
              <w:spacing w:line="276" w:lineRule="auto"/>
              <w:jc w:val="right"/>
              <w:rPr>
                <w:rFonts w:ascii="Arial" w:eastAsia="Arial" w:hAnsi="Arial" w:cs="Arial"/>
                <w:sz w:val="20"/>
                <w:szCs w:val="20"/>
              </w:rPr>
            </w:pPr>
            <w:r>
              <w:rPr>
                <w:sz w:val="22"/>
                <w:szCs w:val="22"/>
              </w:rPr>
              <w:t>2011.31***</w:t>
            </w:r>
          </w:p>
        </w:tc>
        <w:tc>
          <w:tcPr>
            <w:tcW w:w="1335" w:type="dxa"/>
            <w:tcBorders>
              <w:top w:val="nil"/>
              <w:left w:val="nil"/>
              <w:bottom w:val="single" w:sz="4" w:space="0" w:color="000000"/>
              <w:right w:val="nil"/>
            </w:tcBorders>
            <w:tcMar>
              <w:top w:w="40" w:type="dxa"/>
              <w:left w:w="40" w:type="dxa"/>
              <w:bottom w:w="40" w:type="dxa"/>
              <w:right w:w="40" w:type="dxa"/>
            </w:tcMar>
            <w:vAlign w:val="bottom"/>
          </w:tcPr>
          <w:p w14:paraId="05F77B9F" w14:textId="77777777" w:rsidR="00D640F1" w:rsidRDefault="00000000" w:rsidP="005A3460">
            <w:pPr>
              <w:widowControl w:val="0"/>
              <w:spacing w:line="276" w:lineRule="auto"/>
              <w:jc w:val="center"/>
              <w:rPr>
                <w:rFonts w:ascii="Arial" w:eastAsia="Arial" w:hAnsi="Arial" w:cs="Arial"/>
                <w:sz w:val="20"/>
                <w:szCs w:val="20"/>
              </w:rPr>
            </w:pPr>
            <w:r>
              <w:rPr>
                <w:sz w:val="22"/>
                <w:szCs w:val="22"/>
              </w:rPr>
              <w:t>-28.13***</w:t>
            </w:r>
          </w:p>
        </w:tc>
        <w:tc>
          <w:tcPr>
            <w:tcW w:w="1335" w:type="dxa"/>
            <w:tcBorders>
              <w:top w:val="nil"/>
              <w:left w:val="nil"/>
              <w:bottom w:val="single" w:sz="4" w:space="0" w:color="000000"/>
              <w:right w:val="nil"/>
            </w:tcBorders>
            <w:tcMar>
              <w:top w:w="40" w:type="dxa"/>
              <w:left w:w="40" w:type="dxa"/>
              <w:bottom w:w="40" w:type="dxa"/>
              <w:right w:w="40" w:type="dxa"/>
            </w:tcMar>
            <w:vAlign w:val="bottom"/>
          </w:tcPr>
          <w:p w14:paraId="024E3185" w14:textId="77777777" w:rsidR="00D640F1" w:rsidRDefault="00000000" w:rsidP="005A3460">
            <w:pPr>
              <w:widowControl w:val="0"/>
              <w:spacing w:line="276" w:lineRule="auto"/>
              <w:jc w:val="center"/>
              <w:rPr>
                <w:rFonts w:ascii="Arial" w:eastAsia="Arial" w:hAnsi="Arial" w:cs="Arial"/>
                <w:sz w:val="20"/>
                <w:szCs w:val="20"/>
              </w:rPr>
            </w:pPr>
            <w:r>
              <w:rPr>
                <w:sz w:val="22"/>
                <w:szCs w:val="22"/>
              </w:rPr>
              <w:t>-75.08***</w:t>
            </w:r>
          </w:p>
        </w:tc>
        <w:tc>
          <w:tcPr>
            <w:tcW w:w="1335" w:type="dxa"/>
            <w:tcBorders>
              <w:top w:val="nil"/>
              <w:left w:val="nil"/>
              <w:bottom w:val="single" w:sz="4" w:space="0" w:color="000000"/>
              <w:right w:val="nil"/>
            </w:tcBorders>
            <w:shd w:val="clear" w:color="auto" w:fill="auto"/>
            <w:tcMar>
              <w:top w:w="40" w:type="dxa"/>
              <w:left w:w="40" w:type="dxa"/>
              <w:bottom w:w="40" w:type="dxa"/>
              <w:right w:w="40" w:type="dxa"/>
            </w:tcMar>
            <w:vAlign w:val="bottom"/>
          </w:tcPr>
          <w:p w14:paraId="0CCE7BFC" w14:textId="77777777" w:rsidR="00D640F1" w:rsidRDefault="00000000" w:rsidP="005A3460">
            <w:pPr>
              <w:widowControl w:val="0"/>
              <w:spacing w:line="276" w:lineRule="auto"/>
              <w:jc w:val="center"/>
              <w:rPr>
                <w:rFonts w:ascii="Arial" w:eastAsia="Arial" w:hAnsi="Arial" w:cs="Arial"/>
                <w:sz w:val="20"/>
                <w:szCs w:val="20"/>
              </w:rPr>
            </w:pPr>
            <w:r>
              <w:rPr>
                <w:sz w:val="22"/>
                <w:szCs w:val="22"/>
              </w:rPr>
              <w:t>0.07</w:t>
            </w:r>
          </w:p>
        </w:tc>
        <w:tc>
          <w:tcPr>
            <w:tcW w:w="1335" w:type="dxa"/>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8771CA8" w14:textId="77777777" w:rsidR="00D640F1" w:rsidRDefault="00000000" w:rsidP="005A3460">
            <w:pPr>
              <w:widowControl w:val="0"/>
              <w:spacing w:line="276" w:lineRule="auto"/>
              <w:rPr>
                <w:rFonts w:ascii="Arial" w:eastAsia="Arial" w:hAnsi="Arial" w:cs="Arial"/>
                <w:sz w:val="20"/>
                <w:szCs w:val="20"/>
              </w:rPr>
            </w:pPr>
            <w:r>
              <w:rPr>
                <w:sz w:val="22"/>
                <w:szCs w:val="22"/>
              </w:rPr>
              <w:t>39.67***</w:t>
            </w:r>
          </w:p>
        </w:tc>
        <w:tc>
          <w:tcPr>
            <w:tcW w:w="1335" w:type="dxa"/>
            <w:tcBorders>
              <w:top w:val="nil"/>
              <w:left w:val="nil"/>
              <w:bottom w:val="single" w:sz="4" w:space="0" w:color="000000"/>
              <w:right w:val="nil"/>
            </w:tcBorders>
            <w:shd w:val="clear" w:color="auto" w:fill="auto"/>
            <w:tcMar>
              <w:top w:w="40" w:type="dxa"/>
              <w:left w:w="40" w:type="dxa"/>
              <w:bottom w:w="40" w:type="dxa"/>
              <w:right w:w="40" w:type="dxa"/>
            </w:tcMar>
            <w:vAlign w:val="bottom"/>
          </w:tcPr>
          <w:p w14:paraId="3C934D03" w14:textId="77777777" w:rsidR="00D640F1" w:rsidRDefault="00000000" w:rsidP="005A3460">
            <w:pPr>
              <w:widowControl w:val="0"/>
              <w:spacing w:line="276" w:lineRule="auto"/>
              <w:jc w:val="right"/>
              <w:rPr>
                <w:rFonts w:ascii="Arial" w:eastAsia="Arial" w:hAnsi="Arial" w:cs="Arial"/>
                <w:sz w:val="20"/>
                <w:szCs w:val="20"/>
              </w:rPr>
            </w:pPr>
            <w:r>
              <w:rPr>
                <w:sz w:val="22"/>
                <w:szCs w:val="22"/>
              </w:rPr>
              <w:t>93.77***</w:t>
            </w:r>
          </w:p>
        </w:tc>
      </w:tr>
      <w:tr w:rsidR="00D640F1" w14:paraId="6BDDD722" w14:textId="77777777" w:rsidTr="00047190">
        <w:trPr>
          <w:trHeight w:val="527"/>
        </w:trPr>
        <w:tc>
          <w:tcPr>
            <w:tcW w:w="9345" w:type="dxa"/>
            <w:gridSpan w:val="7"/>
            <w:tcBorders>
              <w:top w:val="nil"/>
              <w:left w:val="nil"/>
              <w:bottom w:val="nil"/>
              <w:right w:val="nil"/>
            </w:tcBorders>
            <w:shd w:val="clear" w:color="auto" w:fill="auto"/>
            <w:tcMar>
              <w:top w:w="40" w:type="dxa"/>
              <w:left w:w="40" w:type="dxa"/>
              <w:bottom w:w="40" w:type="dxa"/>
              <w:right w:w="40" w:type="dxa"/>
            </w:tcMar>
          </w:tcPr>
          <w:p w14:paraId="298B9B9E" w14:textId="63BFF3E4" w:rsidR="00D640F1" w:rsidRDefault="00000000" w:rsidP="005A3460">
            <w:pPr>
              <w:widowControl w:val="0"/>
              <w:spacing w:line="276" w:lineRule="auto"/>
              <w:jc w:val="both"/>
              <w:rPr>
                <w:rFonts w:ascii="Arial" w:eastAsia="Arial" w:hAnsi="Arial" w:cs="Arial"/>
                <w:sz w:val="20"/>
                <w:szCs w:val="20"/>
              </w:rPr>
            </w:pPr>
            <w:r>
              <w:rPr>
                <w:b/>
                <w:sz w:val="22"/>
                <w:szCs w:val="22"/>
              </w:rPr>
              <w:t xml:space="preserve">Note: </w:t>
            </w:r>
            <w:r w:rsidR="00790A9E">
              <w:rPr>
                <w:sz w:val="22"/>
                <w:szCs w:val="22"/>
              </w:rPr>
              <w:t>These</w:t>
            </w:r>
            <w:r>
              <w:rPr>
                <w:sz w:val="22"/>
                <w:szCs w:val="22"/>
              </w:rPr>
              <w:t xml:space="preserve"> </w:t>
            </w:r>
            <w:r w:rsidR="0014716B">
              <w:rPr>
                <w:sz w:val="22"/>
                <w:szCs w:val="22"/>
              </w:rPr>
              <w:t>are</w:t>
            </w:r>
            <w:r>
              <w:rPr>
                <w:sz w:val="22"/>
                <w:szCs w:val="22"/>
              </w:rPr>
              <w:t xml:space="preserve"> the statistical tests for metal, energy, and agricultural commodity future returns. JB denotes the Jarque-Bera normality test, with H0: data is normally distributed. ADF denotes the Augmented Dickey-Fuller unit root test, with H0: data has a unit root, indicating non-stationary. PP denotes the Phillips-Perron unit root test, with H0: data has a unit root, indicating non-stationary. KPSS denotes the Kwiatkowski-Phillips-Schmidt-Shin unit root test, with H0: data is stationary around a deterministic trend. LBQ denotes the Ljung-Box test for autocorrelation using lag 15, with H0: data has no autocorrelation. LM denotes the White's Lagrange Multiplier test for Heteroskedasticity, with H0: data has no heteroskedasticity. The asterisk ***, **, and * indicate the significance at </w:t>
            </w:r>
            <w:r w:rsidR="001A111A">
              <w:rPr>
                <w:sz w:val="22"/>
                <w:szCs w:val="22"/>
              </w:rPr>
              <w:t>99</w:t>
            </w:r>
            <w:r>
              <w:rPr>
                <w:sz w:val="22"/>
                <w:szCs w:val="22"/>
              </w:rPr>
              <w:t xml:space="preserve">%, </w:t>
            </w:r>
            <w:r w:rsidR="001A111A">
              <w:rPr>
                <w:sz w:val="22"/>
                <w:szCs w:val="22"/>
              </w:rPr>
              <w:t>9</w:t>
            </w:r>
            <w:r>
              <w:rPr>
                <w:sz w:val="22"/>
                <w:szCs w:val="22"/>
              </w:rPr>
              <w:t xml:space="preserve">5%, and </w:t>
            </w:r>
            <w:r w:rsidR="001A111A">
              <w:rPr>
                <w:sz w:val="22"/>
                <w:szCs w:val="22"/>
              </w:rPr>
              <w:t>90</w:t>
            </w:r>
            <w:r>
              <w:rPr>
                <w:sz w:val="22"/>
                <w:szCs w:val="22"/>
              </w:rPr>
              <w:t>% level.</w:t>
            </w:r>
          </w:p>
        </w:tc>
      </w:tr>
    </w:tbl>
    <w:p w14:paraId="5A396C16" w14:textId="1DA4497A" w:rsidR="003B5151" w:rsidRDefault="001369E3" w:rsidP="00D145BD">
      <w:pPr>
        <w:spacing w:after="240"/>
        <w:jc w:val="both"/>
      </w:pPr>
      <w:r>
        <w:t>The</w:t>
      </w:r>
      <w:r w:rsidR="00985E3B">
        <w:t xml:space="preserve"> correlation analysis</w:t>
      </w:r>
      <w:r w:rsidR="00A60F82">
        <w:t xml:space="preserve"> </w:t>
      </w:r>
      <w:r w:rsidR="001F7F9A" w:rsidRPr="001F7F9A">
        <w:t xml:space="preserve">examines the relationships </w:t>
      </w:r>
      <w:r w:rsidR="00E775A5">
        <w:t>among</w:t>
      </w:r>
      <w:r w:rsidR="001F7F9A" w:rsidRPr="001F7F9A">
        <w:t xml:space="preserve"> metal, energy, and agricultural commodities</w:t>
      </w:r>
      <w:r w:rsidR="00E775A5">
        <w:t>.</w:t>
      </w:r>
      <w:r w:rsidR="00FB1D6B">
        <w:t xml:space="preserve"> </w:t>
      </w:r>
      <w:r w:rsidR="00B44130">
        <w:t xml:space="preserve">As shown in </w:t>
      </w:r>
      <w:r w:rsidR="00D6619A">
        <w:fldChar w:fldCharType="begin"/>
      </w:r>
      <w:r w:rsidR="00D6619A">
        <w:instrText xml:space="preserve"> REF _Ref167227642 \h </w:instrText>
      </w:r>
      <w:r w:rsidR="00D6619A">
        <w:fldChar w:fldCharType="separate"/>
      </w:r>
      <w:r w:rsidR="002E6614">
        <w:t xml:space="preserve">Table </w:t>
      </w:r>
      <w:r w:rsidR="002E6614">
        <w:rPr>
          <w:noProof/>
        </w:rPr>
        <w:t>3</w:t>
      </w:r>
      <w:r w:rsidR="00D6619A">
        <w:fldChar w:fldCharType="end"/>
      </w:r>
      <w:r w:rsidR="00B44130">
        <w:t>,</w:t>
      </w:r>
      <w:r w:rsidR="008E70DB">
        <w:t xml:space="preserve"> The correlation between metal and energy commodities is 0.19</w:t>
      </w:r>
      <w:r w:rsidR="00D52AD7">
        <w:t xml:space="preserve">, </w:t>
      </w:r>
      <w:r w:rsidR="002B0560">
        <w:t xml:space="preserve">while </w:t>
      </w:r>
      <w:r w:rsidR="002C6007">
        <w:t xml:space="preserve">the </w:t>
      </w:r>
      <w:r w:rsidR="00D52AD7">
        <w:t xml:space="preserve">correlation between </w:t>
      </w:r>
      <w:r w:rsidR="00A67116">
        <w:t>energy</w:t>
      </w:r>
      <w:r w:rsidR="00D52AD7">
        <w:t xml:space="preserve"> and </w:t>
      </w:r>
      <w:r w:rsidR="002059A7">
        <w:t>agricultur</w:t>
      </w:r>
      <w:r w:rsidR="008163E0">
        <w:t>al commodities</w:t>
      </w:r>
      <w:r w:rsidR="00D52AD7">
        <w:t xml:space="preserve"> is 0.</w:t>
      </w:r>
      <w:r w:rsidR="00395C41">
        <w:t>17.</w:t>
      </w:r>
      <w:r w:rsidR="00761290" w:rsidRPr="00761290">
        <w:t xml:space="preserve"> </w:t>
      </w:r>
      <w:r w:rsidR="001800C8">
        <w:t xml:space="preserve">The correlation between metal and agricultural commodities shows the highest of 0.24. </w:t>
      </w:r>
      <w:r w:rsidR="00761290" w:rsidRPr="00761290">
        <w:t>The relatively low correlation coefficients</w:t>
      </w:r>
      <w:r w:rsidR="00761290">
        <w:t xml:space="preserve"> for all the commodity group</w:t>
      </w:r>
      <w:r w:rsidR="00DB06D5">
        <w:t xml:space="preserve"> pairs</w:t>
      </w:r>
      <w:r w:rsidR="00761290">
        <w:t xml:space="preserve"> </w:t>
      </w:r>
      <w:r w:rsidR="004B701B">
        <w:t>imply</w:t>
      </w:r>
      <w:r w:rsidR="00761290">
        <w:t xml:space="preserve"> </w:t>
      </w:r>
      <w:r w:rsidR="00645842">
        <w:t>less</w:t>
      </w:r>
      <w:r w:rsidR="003E76A6">
        <w:t xml:space="preserve"> </w:t>
      </w:r>
      <w:r w:rsidR="00645842">
        <w:t>comovement</w:t>
      </w:r>
      <w:r w:rsidR="003E76A6">
        <w:t xml:space="preserve"> between different commodity groups</w:t>
      </w:r>
      <w:r w:rsidR="00761290">
        <w:t>.</w:t>
      </w:r>
      <w:r w:rsidR="001D57D9">
        <w:t xml:space="preserve"> Also, the weak correlation indicates </w:t>
      </w:r>
      <w:r w:rsidR="00A86117">
        <w:t xml:space="preserve">the </w:t>
      </w:r>
      <w:r w:rsidR="001D57D9">
        <w:t xml:space="preserve">possibility of </w:t>
      </w:r>
      <w:r w:rsidR="00C60E1C">
        <w:t>diversification to mitigate risk</w:t>
      </w:r>
      <w:r w:rsidR="00A86117">
        <w:t>.</w:t>
      </w:r>
      <w:r w:rsidR="002B0560">
        <w:t xml:space="preserve"> </w:t>
      </w:r>
      <w:r w:rsidR="00E11D5C">
        <w:t xml:space="preserve">As for the </w:t>
      </w:r>
      <w:r w:rsidR="00627AB2">
        <w:t>hedging</w:t>
      </w:r>
      <w:r w:rsidR="00E11D5C">
        <w:t xml:space="preserve"> opportunity,</w:t>
      </w:r>
      <w:r w:rsidR="00E070E0">
        <w:t xml:space="preserve"> the weak</w:t>
      </w:r>
      <w:r w:rsidR="00E11D5C">
        <w:t xml:space="preserve"> </w:t>
      </w:r>
      <w:r w:rsidR="00E070E0">
        <w:t>c</w:t>
      </w:r>
      <w:r w:rsidR="00E070E0" w:rsidRPr="00E070E0">
        <w:t xml:space="preserve">orrelation </w:t>
      </w:r>
      <w:r w:rsidR="00627AB2">
        <w:t>offers</w:t>
      </w:r>
      <w:r w:rsidR="00E070E0" w:rsidRPr="00E070E0">
        <w:t xml:space="preserve"> potential for hedging strategies</w:t>
      </w:r>
      <w:r w:rsidR="00216E73">
        <w:t xml:space="preserve">, but the </w:t>
      </w:r>
      <w:r w:rsidR="00216E73" w:rsidRPr="00216E73">
        <w:t xml:space="preserve">effectiveness </w:t>
      </w:r>
      <w:r w:rsidR="00216E73">
        <w:t xml:space="preserve">is </w:t>
      </w:r>
      <w:r w:rsidR="00CC45D3">
        <w:t>limited</w:t>
      </w:r>
      <w:r w:rsidR="00216E73">
        <w:t>.</w:t>
      </w:r>
      <w:r w:rsidR="00626968">
        <w:t xml:space="preserve"> </w:t>
      </w:r>
      <w:r w:rsidR="00E77E21">
        <w:t>In general, the</w:t>
      </w:r>
      <w:r w:rsidR="003E6670">
        <w:t xml:space="preserve"> </w:t>
      </w:r>
      <w:r w:rsidR="00730B3F">
        <w:t>correlation</w:t>
      </w:r>
      <w:r w:rsidR="003E6670">
        <w:t xml:space="preserve"> between the commodity group pairs shows </w:t>
      </w:r>
      <w:r w:rsidR="005D411E">
        <w:t xml:space="preserve">a positive and weak correlation. </w:t>
      </w:r>
    </w:p>
    <w:p w14:paraId="5ED1E9C8" w14:textId="560D990B" w:rsidR="00D6619A" w:rsidRDefault="00D6619A" w:rsidP="00955401">
      <w:pPr>
        <w:pStyle w:val="Caption"/>
      </w:pPr>
      <w:bookmarkStart w:id="13" w:name="_Ref167227642"/>
      <w:r>
        <w:t xml:space="preserve">Table </w:t>
      </w:r>
      <w:r>
        <w:fldChar w:fldCharType="begin"/>
      </w:r>
      <w:r>
        <w:instrText xml:space="preserve"> SEQ Table \* ARABIC </w:instrText>
      </w:r>
      <w:r>
        <w:fldChar w:fldCharType="separate"/>
      </w:r>
      <w:r w:rsidR="002E6614">
        <w:rPr>
          <w:noProof/>
        </w:rPr>
        <w:t>3</w:t>
      </w:r>
      <w:r>
        <w:fldChar w:fldCharType="end"/>
      </w:r>
      <w:bookmarkEnd w:id="13"/>
      <w:r>
        <w:t xml:space="preserve">: </w:t>
      </w:r>
      <w:r w:rsidRPr="00276B03">
        <w:t>Commodity Correlation</w:t>
      </w:r>
    </w:p>
    <w:tbl>
      <w:tblPr>
        <w:tblW w:w="5000" w:type="pct"/>
        <w:tblCellSpacing w:w="0" w:type="dxa"/>
        <w:tblCellMar>
          <w:left w:w="0" w:type="dxa"/>
          <w:right w:w="0" w:type="dxa"/>
        </w:tblCellMar>
        <w:tblLook w:val="04A0" w:firstRow="1" w:lastRow="0" w:firstColumn="1" w:lastColumn="0" w:noHBand="0" w:noVBand="1"/>
      </w:tblPr>
      <w:tblGrid>
        <w:gridCol w:w="2834"/>
        <w:gridCol w:w="1565"/>
        <w:gridCol w:w="1891"/>
        <w:gridCol w:w="3070"/>
      </w:tblGrid>
      <w:tr w:rsidR="00BC48F6" w:rsidRPr="00BC48F6" w14:paraId="02E40E04" w14:textId="77777777" w:rsidTr="00050458">
        <w:trPr>
          <w:trHeight w:val="315"/>
          <w:tblCellSpacing w:w="0" w:type="dxa"/>
        </w:trPr>
        <w:tc>
          <w:tcPr>
            <w:tcW w:w="1514" w:type="pct"/>
            <w:tcBorders>
              <w:top w:val="single" w:sz="6" w:space="0" w:color="000000"/>
              <w:bottom w:val="single" w:sz="6" w:space="0" w:color="000000"/>
            </w:tcBorders>
            <w:tcMar>
              <w:top w:w="30" w:type="dxa"/>
              <w:left w:w="45" w:type="dxa"/>
              <w:bottom w:w="30" w:type="dxa"/>
              <w:right w:w="45" w:type="dxa"/>
            </w:tcMar>
            <w:vAlign w:val="center"/>
            <w:hideMark/>
          </w:tcPr>
          <w:p w14:paraId="70BFA348" w14:textId="77777777" w:rsidR="00BC48F6" w:rsidRPr="00BC48F6" w:rsidRDefault="00BC48F6" w:rsidP="005A3460"/>
        </w:tc>
        <w:tc>
          <w:tcPr>
            <w:tcW w:w="836" w:type="pct"/>
            <w:tcBorders>
              <w:top w:val="single" w:sz="6" w:space="0" w:color="000000"/>
              <w:bottom w:val="single" w:sz="6" w:space="0" w:color="000000"/>
            </w:tcBorders>
            <w:tcMar>
              <w:top w:w="30" w:type="dxa"/>
              <w:left w:w="45" w:type="dxa"/>
              <w:bottom w:w="30" w:type="dxa"/>
              <w:right w:w="45" w:type="dxa"/>
            </w:tcMar>
            <w:vAlign w:val="center"/>
            <w:hideMark/>
          </w:tcPr>
          <w:p w14:paraId="02E80795" w14:textId="77777777" w:rsidR="00BC48F6" w:rsidRPr="00BC48F6" w:rsidRDefault="00BC48F6" w:rsidP="005A3460">
            <w:pPr>
              <w:jc w:val="center"/>
              <w:rPr>
                <w:b/>
                <w:bCs/>
                <w:sz w:val="20"/>
                <w:szCs w:val="20"/>
              </w:rPr>
            </w:pPr>
            <w:r w:rsidRPr="00BC48F6">
              <w:rPr>
                <w:b/>
                <w:bCs/>
                <w:sz w:val="20"/>
                <w:szCs w:val="20"/>
              </w:rPr>
              <w:t>Metal</w:t>
            </w:r>
          </w:p>
        </w:tc>
        <w:tc>
          <w:tcPr>
            <w:tcW w:w="1010" w:type="pct"/>
            <w:tcBorders>
              <w:top w:val="single" w:sz="6" w:space="0" w:color="000000"/>
              <w:bottom w:val="single" w:sz="6" w:space="0" w:color="000000"/>
            </w:tcBorders>
            <w:tcMar>
              <w:top w:w="30" w:type="dxa"/>
              <w:left w:w="45" w:type="dxa"/>
              <w:bottom w:w="30" w:type="dxa"/>
              <w:right w:w="45" w:type="dxa"/>
            </w:tcMar>
            <w:vAlign w:val="center"/>
            <w:hideMark/>
          </w:tcPr>
          <w:p w14:paraId="1A778D83" w14:textId="77777777" w:rsidR="00BC48F6" w:rsidRPr="00BC48F6" w:rsidRDefault="00BC48F6" w:rsidP="005A3460">
            <w:pPr>
              <w:jc w:val="center"/>
              <w:rPr>
                <w:b/>
                <w:bCs/>
                <w:sz w:val="20"/>
                <w:szCs w:val="20"/>
              </w:rPr>
            </w:pPr>
            <w:r w:rsidRPr="00BC48F6">
              <w:rPr>
                <w:b/>
                <w:bCs/>
                <w:sz w:val="20"/>
                <w:szCs w:val="20"/>
              </w:rPr>
              <w:t>Energy</w:t>
            </w:r>
          </w:p>
        </w:tc>
        <w:tc>
          <w:tcPr>
            <w:tcW w:w="1640" w:type="pct"/>
            <w:tcBorders>
              <w:top w:val="single" w:sz="6" w:space="0" w:color="000000"/>
              <w:bottom w:val="single" w:sz="6" w:space="0" w:color="000000"/>
            </w:tcBorders>
            <w:tcMar>
              <w:top w:w="30" w:type="dxa"/>
              <w:left w:w="45" w:type="dxa"/>
              <w:bottom w:w="30" w:type="dxa"/>
              <w:right w:w="45" w:type="dxa"/>
            </w:tcMar>
            <w:vAlign w:val="center"/>
            <w:hideMark/>
          </w:tcPr>
          <w:p w14:paraId="777C9EC6" w14:textId="77777777" w:rsidR="00BC48F6" w:rsidRPr="00BC48F6" w:rsidRDefault="00BC48F6" w:rsidP="005A3460">
            <w:pPr>
              <w:jc w:val="center"/>
              <w:rPr>
                <w:b/>
                <w:bCs/>
                <w:sz w:val="20"/>
                <w:szCs w:val="20"/>
              </w:rPr>
            </w:pPr>
            <w:r w:rsidRPr="00BC48F6">
              <w:rPr>
                <w:b/>
                <w:bCs/>
                <w:sz w:val="20"/>
                <w:szCs w:val="20"/>
              </w:rPr>
              <w:t>Agricultural</w:t>
            </w:r>
          </w:p>
        </w:tc>
      </w:tr>
      <w:tr w:rsidR="00BC48F6" w:rsidRPr="00BC48F6" w14:paraId="26872236" w14:textId="77777777" w:rsidTr="00050458">
        <w:trPr>
          <w:trHeight w:val="315"/>
          <w:tblCellSpacing w:w="0" w:type="dxa"/>
        </w:trPr>
        <w:tc>
          <w:tcPr>
            <w:tcW w:w="1514" w:type="pct"/>
            <w:tcMar>
              <w:top w:w="30" w:type="dxa"/>
              <w:left w:w="45" w:type="dxa"/>
              <w:bottom w:w="30" w:type="dxa"/>
              <w:right w:w="45" w:type="dxa"/>
            </w:tcMar>
            <w:vAlign w:val="center"/>
            <w:hideMark/>
          </w:tcPr>
          <w:p w14:paraId="01FA5B24" w14:textId="77777777" w:rsidR="00BC48F6" w:rsidRPr="00BC48F6" w:rsidRDefault="00BC48F6" w:rsidP="005A3460">
            <w:pPr>
              <w:rPr>
                <w:sz w:val="20"/>
                <w:szCs w:val="20"/>
              </w:rPr>
            </w:pPr>
            <w:r w:rsidRPr="00BC48F6">
              <w:rPr>
                <w:sz w:val="20"/>
                <w:szCs w:val="20"/>
              </w:rPr>
              <w:t>Metal</w:t>
            </w:r>
          </w:p>
        </w:tc>
        <w:tc>
          <w:tcPr>
            <w:tcW w:w="836" w:type="pct"/>
            <w:tcMar>
              <w:top w:w="30" w:type="dxa"/>
              <w:left w:w="45" w:type="dxa"/>
              <w:bottom w:w="30" w:type="dxa"/>
              <w:right w:w="45" w:type="dxa"/>
            </w:tcMar>
            <w:vAlign w:val="center"/>
            <w:hideMark/>
          </w:tcPr>
          <w:p w14:paraId="7C872395" w14:textId="77777777" w:rsidR="00BC48F6" w:rsidRPr="00BC48F6" w:rsidRDefault="00BC48F6" w:rsidP="005A3460">
            <w:pPr>
              <w:jc w:val="center"/>
              <w:rPr>
                <w:sz w:val="22"/>
                <w:szCs w:val="22"/>
              </w:rPr>
            </w:pPr>
            <w:r w:rsidRPr="00BC48F6">
              <w:rPr>
                <w:sz w:val="22"/>
                <w:szCs w:val="22"/>
              </w:rPr>
              <w:t>1.00</w:t>
            </w:r>
          </w:p>
        </w:tc>
        <w:tc>
          <w:tcPr>
            <w:tcW w:w="1010" w:type="pct"/>
            <w:tcMar>
              <w:top w:w="30" w:type="dxa"/>
              <w:left w:w="45" w:type="dxa"/>
              <w:bottom w:w="30" w:type="dxa"/>
              <w:right w:w="45" w:type="dxa"/>
            </w:tcMar>
            <w:vAlign w:val="center"/>
            <w:hideMark/>
          </w:tcPr>
          <w:p w14:paraId="676D021C" w14:textId="77777777" w:rsidR="00BC48F6" w:rsidRPr="00BC48F6" w:rsidRDefault="00BC48F6" w:rsidP="005A3460">
            <w:pPr>
              <w:jc w:val="center"/>
              <w:rPr>
                <w:sz w:val="22"/>
                <w:szCs w:val="22"/>
              </w:rPr>
            </w:pPr>
            <w:r w:rsidRPr="00BC48F6">
              <w:rPr>
                <w:sz w:val="22"/>
                <w:szCs w:val="22"/>
              </w:rPr>
              <w:t>0.19</w:t>
            </w:r>
          </w:p>
        </w:tc>
        <w:tc>
          <w:tcPr>
            <w:tcW w:w="1640" w:type="pct"/>
            <w:tcMar>
              <w:top w:w="30" w:type="dxa"/>
              <w:left w:w="45" w:type="dxa"/>
              <w:bottom w:w="30" w:type="dxa"/>
              <w:right w:w="45" w:type="dxa"/>
            </w:tcMar>
            <w:vAlign w:val="center"/>
            <w:hideMark/>
          </w:tcPr>
          <w:p w14:paraId="5BF6CF9A" w14:textId="77777777" w:rsidR="00BC48F6" w:rsidRPr="00BC48F6" w:rsidRDefault="00BC48F6" w:rsidP="005A3460">
            <w:pPr>
              <w:jc w:val="center"/>
              <w:rPr>
                <w:sz w:val="22"/>
                <w:szCs w:val="22"/>
              </w:rPr>
            </w:pPr>
            <w:r w:rsidRPr="00BC48F6">
              <w:rPr>
                <w:sz w:val="22"/>
                <w:szCs w:val="22"/>
              </w:rPr>
              <w:t>0.24</w:t>
            </w:r>
          </w:p>
        </w:tc>
      </w:tr>
      <w:tr w:rsidR="00BC48F6" w:rsidRPr="00BC48F6" w14:paraId="75C0C22D" w14:textId="77777777" w:rsidTr="00050458">
        <w:trPr>
          <w:trHeight w:val="315"/>
          <w:tblCellSpacing w:w="0" w:type="dxa"/>
        </w:trPr>
        <w:tc>
          <w:tcPr>
            <w:tcW w:w="1514" w:type="pct"/>
            <w:tcMar>
              <w:top w:w="30" w:type="dxa"/>
              <w:left w:w="45" w:type="dxa"/>
              <w:bottom w:w="30" w:type="dxa"/>
              <w:right w:w="45" w:type="dxa"/>
            </w:tcMar>
            <w:vAlign w:val="center"/>
            <w:hideMark/>
          </w:tcPr>
          <w:p w14:paraId="29382E3C" w14:textId="77777777" w:rsidR="00BC48F6" w:rsidRPr="00BC48F6" w:rsidRDefault="00BC48F6" w:rsidP="005A3460">
            <w:pPr>
              <w:rPr>
                <w:sz w:val="20"/>
                <w:szCs w:val="20"/>
              </w:rPr>
            </w:pPr>
            <w:r w:rsidRPr="00BC48F6">
              <w:rPr>
                <w:sz w:val="20"/>
                <w:szCs w:val="20"/>
              </w:rPr>
              <w:t>Energy</w:t>
            </w:r>
          </w:p>
        </w:tc>
        <w:tc>
          <w:tcPr>
            <w:tcW w:w="836" w:type="pct"/>
            <w:tcMar>
              <w:top w:w="30" w:type="dxa"/>
              <w:left w:w="45" w:type="dxa"/>
              <w:bottom w:w="30" w:type="dxa"/>
              <w:right w:w="45" w:type="dxa"/>
            </w:tcMar>
            <w:vAlign w:val="bottom"/>
            <w:hideMark/>
          </w:tcPr>
          <w:p w14:paraId="6B528B9C" w14:textId="77777777" w:rsidR="00BC48F6" w:rsidRPr="00BC48F6" w:rsidRDefault="00BC48F6" w:rsidP="005A3460">
            <w:pPr>
              <w:jc w:val="center"/>
              <w:rPr>
                <w:sz w:val="22"/>
                <w:szCs w:val="22"/>
              </w:rPr>
            </w:pPr>
            <w:r w:rsidRPr="00BC48F6">
              <w:rPr>
                <w:sz w:val="22"/>
                <w:szCs w:val="22"/>
              </w:rPr>
              <w:t>0.19</w:t>
            </w:r>
          </w:p>
        </w:tc>
        <w:tc>
          <w:tcPr>
            <w:tcW w:w="1010" w:type="pct"/>
            <w:tcMar>
              <w:top w:w="30" w:type="dxa"/>
              <w:left w:w="45" w:type="dxa"/>
              <w:bottom w:w="30" w:type="dxa"/>
              <w:right w:w="45" w:type="dxa"/>
            </w:tcMar>
            <w:vAlign w:val="bottom"/>
            <w:hideMark/>
          </w:tcPr>
          <w:p w14:paraId="58C2DB61" w14:textId="77777777" w:rsidR="00BC48F6" w:rsidRPr="00BC48F6" w:rsidRDefault="00BC48F6" w:rsidP="005A3460">
            <w:pPr>
              <w:jc w:val="center"/>
              <w:rPr>
                <w:sz w:val="22"/>
                <w:szCs w:val="22"/>
              </w:rPr>
            </w:pPr>
            <w:r w:rsidRPr="00BC48F6">
              <w:rPr>
                <w:sz w:val="22"/>
                <w:szCs w:val="22"/>
              </w:rPr>
              <w:t>1.00</w:t>
            </w:r>
          </w:p>
        </w:tc>
        <w:tc>
          <w:tcPr>
            <w:tcW w:w="1640" w:type="pct"/>
            <w:tcMar>
              <w:top w:w="30" w:type="dxa"/>
              <w:left w:w="45" w:type="dxa"/>
              <w:bottom w:w="30" w:type="dxa"/>
              <w:right w:w="45" w:type="dxa"/>
            </w:tcMar>
            <w:vAlign w:val="bottom"/>
            <w:hideMark/>
          </w:tcPr>
          <w:p w14:paraId="4666EDE2" w14:textId="77777777" w:rsidR="00BC48F6" w:rsidRPr="00BC48F6" w:rsidRDefault="00BC48F6" w:rsidP="005A3460">
            <w:pPr>
              <w:jc w:val="center"/>
              <w:rPr>
                <w:sz w:val="22"/>
                <w:szCs w:val="22"/>
              </w:rPr>
            </w:pPr>
            <w:r w:rsidRPr="00BC48F6">
              <w:rPr>
                <w:sz w:val="22"/>
                <w:szCs w:val="22"/>
              </w:rPr>
              <w:t>0.17</w:t>
            </w:r>
          </w:p>
        </w:tc>
      </w:tr>
      <w:tr w:rsidR="00BC48F6" w:rsidRPr="00BC48F6" w14:paraId="69FD9DA4" w14:textId="77777777" w:rsidTr="00050458">
        <w:trPr>
          <w:trHeight w:val="315"/>
          <w:tblCellSpacing w:w="0" w:type="dxa"/>
        </w:trPr>
        <w:tc>
          <w:tcPr>
            <w:tcW w:w="1514" w:type="pct"/>
            <w:tcBorders>
              <w:bottom w:val="single" w:sz="6" w:space="0" w:color="000000"/>
            </w:tcBorders>
            <w:tcMar>
              <w:top w:w="30" w:type="dxa"/>
              <w:left w:w="45" w:type="dxa"/>
              <w:bottom w:w="30" w:type="dxa"/>
              <w:right w:w="45" w:type="dxa"/>
            </w:tcMar>
            <w:vAlign w:val="center"/>
            <w:hideMark/>
          </w:tcPr>
          <w:p w14:paraId="7EE638B2" w14:textId="77777777" w:rsidR="00BC48F6" w:rsidRPr="00BC48F6" w:rsidRDefault="00BC48F6" w:rsidP="005A3460">
            <w:pPr>
              <w:rPr>
                <w:sz w:val="20"/>
                <w:szCs w:val="20"/>
              </w:rPr>
            </w:pPr>
            <w:r w:rsidRPr="00BC48F6">
              <w:rPr>
                <w:sz w:val="20"/>
                <w:szCs w:val="20"/>
              </w:rPr>
              <w:t>Agricultural</w:t>
            </w:r>
          </w:p>
        </w:tc>
        <w:tc>
          <w:tcPr>
            <w:tcW w:w="836" w:type="pct"/>
            <w:tcBorders>
              <w:bottom w:val="single" w:sz="6" w:space="0" w:color="000000"/>
            </w:tcBorders>
            <w:tcMar>
              <w:top w:w="30" w:type="dxa"/>
              <w:left w:w="45" w:type="dxa"/>
              <w:bottom w:w="30" w:type="dxa"/>
              <w:right w:w="45" w:type="dxa"/>
            </w:tcMar>
            <w:vAlign w:val="bottom"/>
            <w:hideMark/>
          </w:tcPr>
          <w:p w14:paraId="611A0AB6" w14:textId="77777777" w:rsidR="00BC48F6" w:rsidRPr="00BC48F6" w:rsidRDefault="00BC48F6" w:rsidP="005A3460">
            <w:pPr>
              <w:jc w:val="center"/>
              <w:rPr>
                <w:sz w:val="22"/>
                <w:szCs w:val="22"/>
              </w:rPr>
            </w:pPr>
            <w:r w:rsidRPr="00BC48F6">
              <w:rPr>
                <w:sz w:val="22"/>
                <w:szCs w:val="22"/>
              </w:rPr>
              <w:t>0.24</w:t>
            </w:r>
          </w:p>
        </w:tc>
        <w:tc>
          <w:tcPr>
            <w:tcW w:w="1010" w:type="pct"/>
            <w:tcBorders>
              <w:bottom w:val="single" w:sz="6" w:space="0" w:color="000000"/>
            </w:tcBorders>
            <w:tcMar>
              <w:top w:w="30" w:type="dxa"/>
              <w:left w:w="45" w:type="dxa"/>
              <w:bottom w:w="30" w:type="dxa"/>
              <w:right w:w="45" w:type="dxa"/>
            </w:tcMar>
            <w:vAlign w:val="bottom"/>
            <w:hideMark/>
          </w:tcPr>
          <w:p w14:paraId="3F19C04F" w14:textId="77777777" w:rsidR="00BC48F6" w:rsidRPr="00BC48F6" w:rsidRDefault="00BC48F6" w:rsidP="005A3460">
            <w:pPr>
              <w:jc w:val="center"/>
              <w:rPr>
                <w:sz w:val="22"/>
                <w:szCs w:val="22"/>
              </w:rPr>
            </w:pPr>
            <w:r w:rsidRPr="00BC48F6">
              <w:rPr>
                <w:sz w:val="22"/>
                <w:szCs w:val="22"/>
              </w:rPr>
              <w:t>0.17</w:t>
            </w:r>
          </w:p>
        </w:tc>
        <w:tc>
          <w:tcPr>
            <w:tcW w:w="1640" w:type="pct"/>
            <w:tcBorders>
              <w:bottom w:val="single" w:sz="6" w:space="0" w:color="000000"/>
            </w:tcBorders>
            <w:tcMar>
              <w:top w:w="30" w:type="dxa"/>
              <w:left w:w="45" w:type="dxa"/>
              <w:bottom w:w="30" w:type="dxa"/>
              <w:right w:w="45" w:type="dxa"/>
            </w:tcMar>
            <w:vAlign w:val="bottom"/>
            <w:hideMark/>
          </w:tcPr>
          <w:p w14:paraId="59F36885" w14:textId="77777777" w:rsidR="00BC48F6" w:rsidRPr="00BC48F6" w:rsidRDefault="00BC48F6" w:rsidP="005A3460">
            <w:pPr>
              <w:jc w:val="center"/>
              <w:rPr>
                <w:sz w:val="22"/>
                <w:szCs w:val="22"/>
              </w:rPr>
            </w:pPr>
            <w:r w:rsidRPr="00BC48F6">
              <w:rPr>
                <w:sz w:val="22"/>
                <w:szCs w:val="22"/>
              </w:rPr>
              <w:t>1.00</w:t>
            </w:r>
          </w:p>
        </w:tc>
      </w:tr>
    </w:tbl>
    <w:p w14:paraId="45BD4C78" w14:textId="77777777" w:rsidR="005A2E58" w:rsidRDefault="005A2E58" w:rsidP="00D145BD">
      <w:pPr>
        <w:spacing w:after="240"/>
        <w:jc w:val="both"/>
      </w:pPr>
    </w:p>
    <w:p w14:paraId="38933248" w14:textId="60A0F75D" w:rsidR="00D640F1" w:rsidRDefault="00000000" w:rsidP="00D145BD">
      <w:pPr>
        <w:pStyle w:val="Heading2"/>
        <w:jc w:val="both"/>
      </w:pPr>
      <w:bookmarkStart w:id="14" w:name="_Toc167478289"/>
      <w:r>
        <w:t xml:space="preserve">3.3 </w:t>
      </w:r>
      <w:r w:rsidR="00A35F3F" w:rsidRPr="00A35F3F">
        <w:t>Multivariate</w:t>
      </w:r>
      <w:r>
        <w:t xml:space="preserve"> GARCH Model</w:t>
      </w:r>
      <w:r w:rsidR="00D94BCA">
        <w:t>s</w:t>
      </w:r>
      <w:bookmarkEnd w:id="14"/>
    </w:p>
    <w:p w14:paraId="01FCC29C" w14:textId="1E58C5AB" w:rsidR="00D640F1" w:rsidRDefault="00542C60" w:rsidP="00D145BD">
      <w:pPr>
        <w:spacing w:after="240"/>
        <w:jc w:val="both"/>
      </w:pPr>
      <w:r>
        <w:t xml:space="preserve">This </w:t>
      </w:r>
      <w:r w:rsidR="004B3558">
        <w:t>study</w:t>
      </w:r>
      <w:r>
        <w:t xml:space="preserve"> uses the normal distribution and student t distribution to model the error distribution of returns. In order to model the time-varying volatility, the multivariate GARCH model</w:t>
      </w:r>
      <w:r w:rsidR="00ED7A40">
        <w:t>s are applied</w:t>
      </w:r>
      <w:r>
        <w:t xml:space="preserve"> to account for heteroscedasticity and assist in portfolio management. The multivariate GARCH models for studying the time-varying dynamics among commodities include the diagonal VECH, diagonal BEKK, and CCC</w:t>
      </w:r>
      <w:r w:rsidR="00CB14AB">
        <w:t>, which denote the</w:t>
      </w:r>
      <w:r w:rsidR="00687E2C">
        <w:t xml:space="preserve"> </w:t>
      </w:r>
      <w:r w:rsidR="00CB14AB">
        <w:t>diagonal</w:t>
      </w:r>
      <w:r>
        <w:t xml:space="preserve"> </w:t>
      </w:r>
      <w:r w:rsidR="004840F6" w:rsidRPr="004840F6">
        <w:t>vectorized conditional heteroscedasticity</w:t>
      </w:r>
      <w:r w:rsidR="008113E8">
        <w:t xml:space="preserve">, diagonal Baba, Engle, Kraft, and Kroner, and constant </w:t>
      </w:r>
      <w:r w:rsidR="004840F6">
        <w:t xml:space="preserve">conditional </w:t>
      </w:r>
      <w:r w:rsidR="008113E8">
        <w:t>correlation</w:t>
      </w:r>
      <w:r w:rsidR="00D31A39">
        <w:t xml:space="preserve"> GARCH models</w:t>
      </w:r>
      <w:r w:rsidR="00FA290C">
        <w:t xml:space="preserve">, </w:t>
      </w:r>
      <w:r w:rsidR="00996AFB">
        <w:t>respectively</w:t>
      </w:r>
      <w:r w:rsidR="0024565D">
        <w:t>.</w:t>
      </w:r>
      <w:r w:rsidR="00996AFB">
        <w:t xml:space="preserve"> </w:t>
      </w:r>
      <w:r>
        <w:t xml:space="preserve">For setting up the models, the total number of assets </w:t>
      </w:r>
      <w:r w:rsidR="00A35CFA">
        <w:t xml:space="preserve">is defined </w:t>
      </w:r>
      <w:r>
        <w:t xml:space="preserve">to be </w:t>
      </w:r>
      <m:oMath>
        <m:r>
          <w:rPr>
            <w:rFonts w:ascii="Cambria Math" w:hAnsi="Cambria Math"/>
          </w:rPr>
          <m:t>N</m:t>
        </m:r>
      </m:oMath>
      <w:r>
        <w:t xml:space="preserve">, with each individual commodity denoted as </w:t>
      </w:r>
      <m:oMath>
        <m:r>
          <w:rPr>
            <w:rFonts w:ascii="Cambria Math" w:hAnsi="Cambria Math"/>
          </w:rPr>
          <m:t>i</m:t>
        </m:r>
      </m:oMath>
      <w:r>
        <w:t xml:space="preserve"> or </w:t>
      </w:r>
      <m:oMath>
        <m:r>
          <w:rPr>
            <w:rFonts w:ascii="Cambria Math" w:hAnsi="Cambria Math"/>
          </w:rPr>
          <m:t>j</m:t>
        </m:r>
      </m:oMath>
      <w:r>
        <w:t xml:space="preserve">. The total length of the sample period is </w:t>
      </w:r>
      <m:oMath>
        <m:r>
          <w:rPr>
            <w:rFonts w:ascii="Cambria Math" w:hAnsi="Cambria Math"/>
          </w:rPr>
          <m:t>T</m:t>
        </m:r>
      </m:oMath>
      <w:r>
        <w:t xml:space="preserve">, with each day represented as </w:t>
      </w:r>
      <m:oMath>
        <m:r>
          <w:rPr>
            <w:rFonts w:ascii="Cambria Math" w:hAnsi="Cambria Math"/>
          </w:rPr>
          <m:t>t</m:t>
        </m:r>
      </m:oMath>
      <w:r>
        <w:t xml:space="preserve">. The order of the GARCH models is shown as </w:t>
      </w:r>
      <m:oMath>
        <m:r>
          <w:rPr>
            <w:rFonts w:ascii="Cambria Math" w:hAnsi="Cambria Math"/>
          </w:rPr>
          <m:t>p</m:t>
        </m:r>
      </m:oMath>
      <w:r>
        <w:t xml:space="preserve"> and </w:t>
      </w:r>
      <m:oMath>
        <m:r>
          <w:rPr>
            <w:rFonts w:ascii="Cambria Math" w:hAnsi="Cambria Math"/>
          </w:rPr>
          <m:t>q</m:t>
        </m:r>
      </m:oMath>
      <w:r>
        <w:t xml:space="preserve">, which means the autocorrelation and moving average terms, respectively. </w:t>
      </w:r>
    </w:p>
    <w:p w14:paraId="58C294F7" w14:textId="06C12D29" w:rsidR="00D640F1" w:rsidRDefault="00000000" w:rsidP="00D145BD">
      <w:pPr>
        <w:spacing w:after="240"/>
        <w:jc w:val="both"/>
      </w:pPr>
      <w:r>
        <w:t>For the general framework of the multivariate GARCH model</w:t>
      </w:r>
      <w:r w:rsidR="00693CC8">
        <w:t>s</w:t>
      </w:r>
      <w:r>
        <w:t>, the selected models of VECH, BEKK, and CCC all have the same form of the mean equation and the standardized residual equation</w:t>
      </w:r>
      <w:r w:rsidR="00CD5293">
        <w:t>, which are as follows</w:t>
      </w:r>
      <w:r w:rsidR="007C192B">
        <w:t>:</w:t>
      </w:r>
      <w:r w:rsidR="00A04373">
        <w:t xml:space="preserve"> </w:t>
      </w:r>
    </w:p>
    <w:p w14:paraId="3BD9ADB6" w14:textId="3F31E2D0" w:rsidR="00D640F1" w:rsidRPr="005D1AB7" w:rsidRDefault="00000000" w:rsidP="00D145BD">
      <w:pPr>
        <w:spacing w:after="240"/>
        <w:ind w:left="360"/>
        <w:jc w:val="center"/>
        <w:rPr>
          <w:b/>
          <w:bCs/>
        </w:rPr>
      </w:pPr>
      <m:oMathPara>
        <m:oMath>
          <m:eqArr>
            <m:eqArrPr>
              <m:maxDist m:val="1"/>
              <m:ctrlPr>
                <w:rPr>
                  <w:rFonts w:ascii="Cambria Math" w:hAnsi="Cambria Math"/>
                  <w:b/>
                  <w:bCs/>
                  <w:i/>
                </w:rPr>
              </m:ctrlPr>
            </m:eqArrPr>
            <m:e>
              <m:sSub>
                <m:sSubPr>
                  <m:ctrlPr>
                    <w:rPr>
                      <w:rFonts w:ascii="Cambria Math" w:hAnsi="Cambria Math"/>
                      <w:b/>
                      <w:bCs/>
                    </w:rPr>
                  </m:ctrlPr>
                </m:sSubPr>
                <m:e>
                  <m:r>
                    <m:rPr>
                      <m:sty m:val="bi"/>
                    </m:rPr>
                    <w:rPr>
                      <w:rFonts w:ascii="Cambria Math" w:hAnsi="Cambria Math"/>
                    </w:rPr>
                    <m:t>R</m:t>
                  </m:r>
                </m:e>
                <m:sub>
                  <m:r>
                    <m:rPr>
                      <m:sty m:val="bi"/>
                    </m:rPr>
                    <w:rPr>
                      <w:rFonts w:ascii="Cambria Math" w:hAnsi="Cambria Math"/>
                    </w:rPr>
                    <m:t>t</m:t>
                  </m:r>
                </m:sub>
              </m:sSub>
              <m:r>
                <w:rPr>
                  <w:rFonts w:ascii="Cambria Math" w:hAnsi="Cambria Math"/>
                </w:rPr>
                <m:t>=</m:t>
              </m:r>
              <m:sSub>
                <m:sSubPr>
                  <m:ctrlPr>
                    <w:rPr>
                      <w:rFonts w:ascii="Cambria Math" w:hAnsi="Cambria Math"/>
                      <w:b/>
                      <w:bCs/>
                    </w:rPr>
                  </m:ctrlPr>
                </m:sSubPr>
                <m:e>
                  <m:r>
                    <m:rPr>
                      <m:sty m:val="bi"/>
                    </m:rPr>
                    <w:rPr>
                      <w:rFonts w:ascii="Cambria Math" w:hAnsi="Cambria Math"/>
                    </w:rPr>
                    <m:t>μ</m:t>
                  </m:r>
                </m:e>
                <m:sub>
                  <m:r>
                    <m:rPr>
                      <m:sty m:val="bi"/>
                    </m:rPr>
                    <w:rPr>
                      <w:rFonts w:ascii="Cambria Math" w:hAnsi="Cambria Math"/>
                    </w:rPr>
                    <m:t>t</m:t>
                  </m:r>
                </m:sub>
              </m:sSub>
              <m:r>
                <w:rPr>
                  <w:rFonts w:ascii="Cambria Math" w:hAnsi="Cambria Math"/>
                </w:rPr>
                <m:t>+</m:t>
              </m:r>
              <m:sSub>
                <m:sSubPr>
                  <m:ctrlPr>
                    <w:rPr>
                      <w:rFonts w:ascii="Cambria Math" w:hAnsi="Cambria Math"/>
                      <w:b/>
                      <w:bCs/>
                    </w:rPr>
                  </m:ctrlPr>
                </m:sSubPr>
                <m:e>
                  <m:r>
                    <m:rPr>
                      <m:sty m:val="bi"/>
                    </m:rPr>
                    <w:rPr>
                      <w:rFonts w:ascii="Cambria Math" w:hAnsi="Cambria Math"/>
                    </w:rPr>
                    <m:t>ϵ</m:t>
                  </m:r>
                </m:e>
                <m:sub>
                  <m:r>
                    <m:rPr>
                      <m:sty m:val="bi"/>
                    </m:rPr>
                    <w:rPr>
                      <w:rFonts w:ascii="Cambria Math" w:hAnsi="Cambria Math"/>
                    </w:rPr>
                    <m:t>t</m:t>
                  </m:r>
                </m:sub>
              </m:sSub>
              <m:r>
                <m:rPr>
                  <m:sty m:val="bi"/>
                </m:rPr>
                <w:rPr>
                  <w:rFonts w:ascii="Cambria Math" w:hAnsi="Cambria Math"/>
                </w:rPr>
                <m:t xml:space="preserve"> #</m:t>
              </m:r>
              <m:d>
                <m:dPr>
                  <m:ctrlPr>
                    <w:rPr>
                      <w:rFonts w:ascii="Cambria Math" w:hAnsi="Cambria Math"/>
                      <w:i/>
                    </w:rPr>
                  </m:ctrlPr>
                </m:dPr>
                <m:e>
                  <m:r>
                    <w:rPr>
                      <w:rFonts w:ascii="Cambria Math" w:hAnsi="Cambria Math"/>
                    </w:rPr>
                    <m:t>2</m:t>
                  </m:r>
                </m:e>
              </m:d>
            </m:e>
          </m:eqArr>
        </m:oMath>
      </m:oMathPara>
    </w:p>
    <w:p w14:paraId="28E9F1C4" w14:textId="37873D93" w:rsidR="00D640F1" w:rsidRPr="005E6F8B" w:rsidRDefault="00000000" w:rsidP="00D145BD">
      <w:pPr>
        <w:spacing w:after="240"/>
        <w:ind w:left="360"/>
        <w:jc w:val="center"/>
        <w:rPr>
          <w:b/>
          <w:bCs/>
        </w:rPr>
      </w:pPr>
      <m:oMathPara>
        <m:oMath>
          <m:eqArr>
            <m:eqArrPr>
              <m:maxDist m:val="1"/>
              <m:ctrlPr>
                <w:rPr>
                  <w:rFonts w:ascii="Cambria Math" w:hAnsi="Cambria Math"/>
                  <w:b/>
                  <w:bCs/>
                  <w:i/>
                </w:rPr>
              </m:ctrlPr>
            </m:eqArrPr>
            <m:e>
              <m:sSub>
                <m:sSubPr>
                  <m:ctrlPr>
                    <w:rPr>
                      <w:rFonts w:ascii="Cambria Math" w:hAnsi="Cambria Math"/>
                      <w:b/>
                      <w:bCs/>
                    </w:rPr>
                  </m:ctrlPr>
                </m:sSubPr>
                <m:e>
                  <m:r>
                    <m:rPr>
                      <m:sty m:val="bi"/>
                    </m:rPr>
                    <w:rPr>
                      <w:rFonts w:ascii="Cambria Math" w:hAnsi="Cambria Math"/>
                    </w:rPr>
                    <m:t>ϵ</m:t>
                  </m:r>
                </m:e>
                <m:sub>
                  <m:r>
                    <m:rPr>
                      <m:sty m:val="bi"/>
                    </m:rPr>
                    <w:rPr>
                      <w:rFonts w:ascii="Cambria Math" w:hAnsi="Cambria Math"/>
                    </w:rPr>
                    <m:t>t</m:t>
                  </m:r>
                </m:sub>
              </m:sSub>
              <m:r>
                <w:rPr>
                  <w:rFonts w:ascii="Cambria Math" w:hAnsi="Cambria Math"/>
                </w:rPr>
                <m:t>=</m:t>
              </m:r>
              <m:rad>
                <m:radPr>
                  <m:degHide m:val="1"/>
                  <m:ctrlPr>
                    <w:rPr>
                      <w:rFonts w:ascii="Cambria Math" w:hAnsi="Cambria Math"/>
                      <w:b/>
                      <w:bCs/>
                    </w:rPr>
                  </m:ctrlPr>
                </m:radPr>
                <m:deg/>
                <m:e>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t</m:t>
                      </m:r>
                    </m:sub>
                  </m:sSub>
                </m:e>
              </m:rad>
              <m:r>
                <m:rPr>
                  <m:sty m:val="bi"/>
                </m:rPr>
                <w:rPr>
                  <w:rFonts w:ascii="Cambria Math" w:hAnsi="Cambria Math"/>
                </w:rPr>
                <m:t>×</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t</m:t>
                  </m:r>
                </m:sub>
              </m:sSub>
              <m:r>
                <m:rPr>
                  <m:sty m:val="bi"/>
                </m:rPr>
                <w:rPr>
                  <w:rFonts w:ascii="Cambria Math" w:hAnsi="Cambria Math"/>
                </w:rPr>
                <m:t xml:space="preserve">  #</m:t>
              </m:r>
              <m:d>
                <m:dPr>
                  <m:ctrlPr>
                    <w:rPr>
                      <w:rFonts w:ascii="Cambria Math" w:hAnsi="Cambria Math"/>
                      <w:i/>
                    </w:rPr>
                  </m:ctrlPr>
                </m:dPr>
                <m:e>
                  <m:r>
                    <w:rPr>
                      <w:rFonts w:ascii="Cambria Math" w:hAnsi="Cambria Math"/>
                    </w:rPr>
                    <m:t>3</m:t>
                  </m:r>
                </m:e>
              </m:d>
            </m:e>
          </m:eqArr>
        </m:oMath>
      </m:oMathPara>
    </w:p>
    <w:p w14:paraId="31ECAD18" w14:textId="3425915F" w:rsidR="00D640F1" w:rsidRDefault="00000000" w:rsidP="00D145BD">
      <w:pPr>
        <w:spacing w:after="240"/>
        <w:jc w:val="both"/>
      </w:pPr>
      <w:r>
        <w:t>In the mean equation</w:t>
      </w:r>
      <w:r w:rsidR="00975A55">
        <w:t xml:space="preserve"> (2)</w:t>
      </w:r>
      <w:r>
        <w:t xml:space="preserve">, </w:t>
      </w:r>
      <m:oMath>
        <m:sSub>
          <m:sSubPr>
            <m:ctrlPr>
              <w:rPr>
                <w:rFonts w:ascii="Cambria Math" w:hAnsi="Cambria Math"/>
                <w:b/>
                <w:bCs/>
              </w:rPr>
            </m:ctrlPr>
          </m:sSubPr>
          <m:e>
            <m:r>
              <m:rPr>
                <m:sty m:val="bi"/>
              </m:rPr>
              <w:rPr>
                <w:rFonts w:ascii="Cambria Math" w:hAnsi="Cambria Math"/>
              </w:rPr>
              <m:t>R</m:t>
            </m:r>
          </m:e>
          <m:sub>
            <m:r>
              <m:rPr>
                <m:sty m:val="bi"/>
              </m:rPr>
              <w:rPr>
                <w:rFonts w:ascii="Cambria Math" w:hAnsi="Cambria Math"/>
              </w:rPr>
              <m:t>t</m:t>
            </m:r>
          </m:sub>
        </m:sSub>
      </m:oMath>
      <w:r>
        <w:t xml:space="preserve"> is the actual commodity return</w:t>
      </w:r>
      <w:r w:rsidR="005F1B33">
        <w:t xml:space="preserve"> for each commodity group</w:t>
      </w:r>
      <w:r>
        <w:t xml:space="preserve">, </w:t>
      </w:r>
      <m:oMath>
        <m:sSub>
          <m:sSubPr>
            <m:ctrlPr>
              <w:rPr>
                <w:rFonts w:ascii="Cambria Math" w:hAnsi="Cambria Math"/>
                <w:b/>
                <w:bCs/>
              </w:rPr>
            </m:ctrlPr>
          </m:sSubPr>
          <m:e>
            <m:r>
              <m:rPr>
                <m:sty m:val="bi"/>
              </m:rPr>
              <w:rPr>
                <w:rFonts w:ascii="Cambria Math" w:hAnsi="Cambria Math"/>
              </w:rPr>
              <m:t>μ</m:t>
            </m:r>
          </m:e>
          <m:sub>
            <m:r>
              <m:rPr>
                <m:sty m:val="bi"/>
              </m:rPr>
              <w:rPr>
                <w:rFonts w:ascii="Cambria Math" w:hAnsi="Cambria Math"/>
              </w:rPr>
              <m:t>t</m:t>
            </m:r>
          </m:sub>
        </m:sSub>
      </m:oMath>
      <w:r>
        <w:t xml:space="preserve"> is the expected conditional mean, and </w:t>
      </w:r>
      <m:oMath>
        <m:sSub>
          <m:sSubPr>
            <m:ctrlPr>
              <w:rPr>
                <w:rFonts w:ascii="Cambria Math" w:hAnsi="Cambria Math"/>
                <w:b/>
                <w:bCs/>
              </w:rPr>
            </m:ctrlPr>
          </m:sSubPr>
          <m:e>
            <m:r>
              <m:rPr>
                <m:sty m:val="bi"/>
              </m:rPr>
              <w:rPr>
                <w:rFonts w:ascii="Cambria Math" w:hAnsi="Cambria Math"/>
              </w:rPr>
              <m:t>ϵ</m:t>
            </m:r>
          </m:e>
          <m:sub>
            <m:r>
              <m:rPr>
                <m:sty m:val="bi"/>
              </m:rPr>
              <w:rPr>
                <w:rFonts w:ascii="Cambria Math" w:hAnsi="Cambria Math"/>
              </w:rPr>
              <m:t>t</m:t>
            </m:r>
          </m:sub>
        </m:sSub>
      </m:oMath>
      <w:r>
        <w:t xml:space="preserve"> is the residuals. </w:t>
      </w:r>
      <m:oMath>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t</m:t>
            </m:r>
          </m:sub>
        </m:sSub>
      </m:oMath>
      <w:r>
        <w:t xml:space="preserve"> is a random variable that follows a normal or student t distribution. In the standardized residual equation</w:t>
      </w:r>
      <w:r w:rsidR="00654D23">
        <w:t xml:space="preserve"> (3)</w:t>
      </w:r>
      <w:r>
        <w:t xml:space="preserve">. </w:t>
      </w:r>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t</m:t>
            </m:r>
          </m:sub>
        </m:sSub>
      </m:oMath>
      <w:r>
        <w:t xml:space="preserve"> is the </w:t>
      </w:r>
      <m:oMath>
        <m:r>
          <w:rPr>
            <w:rFonts w:ascii="Cambria Math" w:hAnsi="Cambria Math"/>
          </w:rPr>
          <m:t>N×N×T</m:t>
        </m:r>
      </m:oMath>
      <w:r>
        <w:t xml:space="preserve"> conditional </w:t>
      </w:r>
      <w:r w:rsidR="009D7A76">
        <w:t>variance-</w:t>
      </w:r>
      <w:r>
        <w:t>covariance matrix</w:t>
      </w:r>
      <w:r w:rsidR="00675BA5">
        <w:t>.</w:t>
      </w:r>
      <w:r>
        <w:t xml:space="preserve"> </w:t>
      </w:r>
    </w:p>
    <w:p w14:paraId="5FB930BB" w14:textId="76EEABF0" w:rsidR="00D640F1" w:rsidRDefault="00000000" w:rsidP="00D145BD">
      <w:pPr>
        <w:spacing w:after="240"/>
        <w:jc w:val="both"/>
      </w:pPr>
      <w:r>
        <w:t xml:space="preserve">For the estimation  part of these GARCH models, </w:t>
      </w:r>
      <w:r w:rsidR="00AD2483">
        <w:t>this</w:t>
      </w:r>
      <w:r w:rsidR="0071507D">
        <w:t xml:space="preserve"> </w:t>
      </w:r>
      <w:r w:rsidR="00CF1057">
        <w:t>study</w:t>
      </w:r>
      <w:r>
        <w:t xml:space="preserve"> use</w:t>
      </w:r>
      <w:r w:rsidR="0071507D">
        <w:t>s</w:t>
      </w:r>
      <w:r>
        <w:t xml:space="preserve"> the log-likelihood function, which is defined as follows: </w:t>
      </w:r>
    </w:p>
    <w:p w14:paraId="6D602E5F" w14:textId="77777777" w:rsidR="002E456F" w:rsidRDefault="00000000" w:rsidP="00D145BD">
      <w:pPr>
        <w:spacing w:after="240"/>
        <w:jc w:val="both"/>
      </w:pPr>
      <m:oMathPara>
        <m:oMath>
          <m:eqArr>
            <m:eqArrPr>
              <m:maxDist m:val="1"/>
              <m:ctrlPr>
                <w:rPr>
                  <w:rFonts w:ascii="Cambria Math" w:hAnsi="Cambria Math"/>
                  <w:i/>
                </w:rPr>
              </m:ctrlPr>
            </m:eqArrPr>
            <m:e>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rPr>
                  </m:ctrlPr>
                </m:fPr>
                <m:num>
                  <m:r>
                    <w:rPr>
                      <w:rFonts w:ascii="Cambria Math" w:hAnsi="Cambria Math"/>
                    </w:rPr>
                    <m:t>T×N</m:t>
                  </m:r>
                </m:num>
                <m:den>
                  <m:r>
                    <w:rPr>
                      <w:rFonts w:ascii="Cambria Math" w:hAnsi="Cambria Math"/>
                    </w:rPr>
                    <m:t>2</m:t>
                  </m:r>
                </m:den>
              </m:f>
              <m:r>
                <w:rPr>
                  <w:rFonts w:ascii="Cambria Math" w:hAnsi="Cambria Math"/>
                </w:rPr>
                <m:t>log2π-</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t=1</m:t>
                  </m:r>
                </m:sub>
                <m:sup>
                  <m:r>
                    <w:rPr>
                      <w:rFonts w:ascii="Cambria Math" w:hAnsi="Cambria Math"/>
                    </w:rPr>
                    <m:t>T</m:t>
                  </m:r>
                </m:sup>
                <m:e>
                  <m:r>
                    <w:rPr>
                      <w:rFonts w:ascii="Cambria Math" w:hAnsi="Cambria Math"/>
                    </w:rPr>
                    <m:t>(log</m:t>
                  </m:r>
                  <m:d>
                    <m:dPr>
                      <m:begChr m:val="|"/>
                      <m:endChr m:val="|"/>
                      <m:ctrlPr>
                        <w:rPr>
                          <w:rFonts w:ascii="Cambria Math" w:hAnsi="Cambria Math"/>
                        </w:rPr>
                      </m:ctrlPr>
                    </m:dPr>
                    <m:e>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e>
                  </m:d>
                  <m:r>
                    <w:rPr>
                      <w:rFonts w:ascii="Cambria Math" w:hAnsi="Cambria Math"/>
                    </w:rPr>
                    <m:t>+</m:t>
                  </m:r>
                  <m:sSubSup>
                    <m:sSubSupPr>
                      <m:ctrlPr>
                        <w:rPr>
                          <w:rFonts w:ascii="Cambria Math" w:hAnsi="Cambria Math"/>
                          <w:b/>
                          <w:bCs/>
                        </w:rPr>
                      </m:ctrlPr>
                    </m:sSubSupPr>
                    <m:e>
                      <m:r>
                        <m:rPr>
                          <m:sty m:val="bi"/>
                        </m:rPr>
                        <w:rPr>
                          <w:rFonts w:ascii="Cambria Math" w:hAnsi="Cambria Math"/>
                        </w:rPr>
                        <m:t>ϵ</m:t>
                      </m:r>
                    </m:e>
                    <m:sub>
                      <m:r>
                        <m:rPr>
                          <m:sty m:val="bi"/>
                        </m:rPr>
                        <w:rPr>
                          <w:rFonts w:ascii="Cambria Math" w:hAnsi="Cambria Math"/>
                        </w:rPr>
                        <m:t>t</m:t>
                      </m:r>
                    </m:sub>
                    <m:sup>
                      <m:r>
                        <m:rPr>
                          <m:sty m:val="bi"/>
                        </m:rPr>
                        <w:rPr>
                          <w:rFonts w:ascii="Cambria Math" w:hAnsi="Cambria Math"/>
                        </w:rPr>
                        <m:t xml:space="preserve"> </m:t>
                      </m:r>
                    </m:sup>
                  </m:sSubSup>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-1</m:t>
                      </m:r>
                    </m:sup>
                  </m:sSubSup>
                  <m:sSubSup>
                    <m:sSubSupPr>
                      <m:ctrlPr>
                        <w:rPr>
                          <w:rFonts w:ascii="Cambria Math" w:hAnsi="Cambria Math"/>
                          <w:b/>
                          <w:bCs/>
                        </w:rPr>
                      </m:ctrlPr>
                    </m:sSubSupPr>
                    <m:e>
                      <m:r>
                        <m:rPr>
                          <m:sty m:val="bi"/>
                        </m:rPr>
                        <w:rPr>
                          <w:rFonts w:ascii="Cambria Math" w:hAnsi="Cambria Math"/>
                        </w:rPr>
                        <m:t>ϵ</m:t>
                      </m:r>
                    </m:e>
                    <m:sub>
                      <m:r>
                        <m:rPr>
                          <m:sty m:val="bi"/>
                        </m:rPr>
                        <w:rPr>
                          <w:rFonts w:ascii="Cambria Math" w:hAnsi="Cambria Math"/>
                        </w:rPr>
                        <m:t>t</m:t>
                      </m:r>
                    </m:sub>
                    <m:sup>
                      <m:r>
                        <m:rPr>
                          <m:sty m:val="bi"/>
                        </m:rPr>
                        <w:rPr>
                          <w:rFonts w:ascii="Cambria Math" w:hAnsi="Cambria Math"/>
                        </w:rPr>
                        <m:t>'</m:t>
                      </m:r>
                    </m:sup>
                  </m:sSubSup>
                  <m:r>
                    <w:rPr>
                      <w:rFonts w:ascii="Cambria Math" w:hAnsi="Cambria Math"/>
                    </w:rPr>
                    <m:t>)</m:t>
                  </m:r>
                </m:e>
              </m:nary>
              <m:r>
                <w:rPr>
                  <w:rFonts w:ascii="Cambria Math" w:hAnsi="Cambria Math"/>
                </w:rPr>
                <m:t xml:space="preserve"> #</m:t>
              </m:r>
              <m:d>
                <m:dPr>
                  <m:ctrlPr>
                    <w:rPr>
                      <w:rFonts w:ascii="Cambria Math" w:hAnsi="Cambria Math"/>
                      <w:i/>
                    </w:rPr>
                  </m:ctrlPr>
                </m:dPr>
                <m:e>
                  <m:r>
                    <w:rPr>
                      <w:rFonts w:ascii="Cambria Math" w:hAnsi="Cambria Math"/>
                    </w:rPr>
                    <m:t>4</m:t>
                  </m:r>
                </m:e>
              </m:d>
            </m:e>
          </m:eqArr>
        </m:oMath>
      </m:oMathPara>
    </w:p>
    <w:p w14:paraId="3F525E4B" w14:textId="73BA4883" w:rsidR="00D640F1" w:rsidRDefault="00D968F9" w:rsidP="00D145BD">
      <w:pPr>
        <w:spacing w:after="240"/>
        <w:jc w:val="both"/>
      </w:pPr>
      <w:r>
        <w:t xml:space="preserve">where </w:t>
      </w:r>
      <m:oMath>
        <m:r>
          <w:rPr>
            <w:rFonts w:ascii="Cambria Math" w:hAnsi="Cambria Math"/>
          </w:rPr>
          <m:t>θ</m:t>
        </m:r>
      </m:oMath>
      <w:r>
        <w:t xml:space="preserve"> is the parameters to be estimated. In order to </w:t>
      </w:r>
      <w:r w:rsidR="00116385">
        <w:t>obtain</w:t>
      </w:r>
      <w:r>
        <w:t xml:space="preserve"> </w:t>
      </w:r>
      <m:oMath>
        <m:r>
          <w:rPr>
            <w:rFonts w:ascii="Cambria Math" w:hAnsi="Cambria Math"/>
          </w:rPr>
          <m:t>θ</m:t>
        </m:r>
      </m:oMath>
      <w:r>
        <w:t xml:space="preserve">, the log-likelihood function </w:t>
      </w:r>
      <m:oMath>
        <m:r>
          <w:rPr>
            <w:rFonts w:ascii="Cambria Math" w:hAnsi="Cambria Math"/>
          </w:rPr>
          <m:t>l(θ)</m:t>
        </m:r>
      </m:oMath>
      <w:r w:rsidR="00116385">
        <w:t xml:space="preserve"> needs to be maximized</w:t>
      </w:r>
      <w:r>
        <w:t xml:space="preserve">. By using the numerical optimization method BFGS, which is the Broyden–Fletcher–Goldfarb–Shanno algorithm of the quasi-Newton method, </w:t>
      </w:r>
      <w:r w:rsidR="006D4016">
        <w:t xml:space="preserve">this </w:t>
      </w:r>
      <w:r w:rsidR="005B619B">
        <w:t>study</w:t>
      </w:r>
      <w:r>
        <w:t xml:space="preserve"> can do non-linear optimizations by doing the approximation of the inverse Hessian matrix </w:t>
      </w:r>
      <w:r w:rsidR="00B0055A">
        <w:fldChar w:fldCharType="begin"/>
      </w:r>
      <w:r w:rsidR="00B0055A">
        <w:instrText xml:space="preserve"> ADDIN ZOTERO_ITEM CSL_CITATION {"citationID":"UaoXgpKh","properties":{"formattedCitation":"(Liu &amp; Nocedal, 1989)","plainCitation":"(Liu &amp; Nocedal, 1989)","noteIndex":0},"citationItems":[{"id":156,"uris":["http://zotero.org/users/13925666/items/X898QYL4"],"itemData":{"id":156,"type":"article-journal","abstract":"We study the numerical performance of a limited memory quasi-Newton method for large scale optimization, which we call the L-BFGS method. We compare its performance with that of the method developed by Buckley and LeNir (1985), which combines cycles of BFGS steps and conjugate direction steps. Our numerical tests indicate that the L-BFGS method is faster than the method of Buckley and LeNir, and is better able to use additional storage to accelerate convergence. We show that the L-BFGS method can be greatly accelerated by means of a simple scaling. We then compare the L-BFGS method with the partitioned quasi-Newton method of Griewank and Toint (1982a). The results show that, for some problems, the partitioned quasi-Newton method is clearly superior to the L-BFGS method. However we find that for other problems the L-BFGS method is very competitive due to its low iteration cost. We also study the convergence properties of the L-BFGS method, and prove global convergence on uniformly convex problems.","container-title":"Mathematical Programming","DOI":"10.1007/BF01589116","ISSN":"1436-4646","issue":"1","journalAbbreviation":"Mathematical Programming","language":"en","page":"503-528","source":"Springer Link","title":"On the limited memory BFGS method for large scale optimization","volume":"45","author":[{"family":"Liu","given":"Dong C."},{"family":"Nocedal","given":"Jorge"}],"issued":{"date-parts":[["1989",8,1]]}}}],"schema":"https://github.com/citation-style-language/schema/raw/master/csl-citation.json"} </w:instrText>
      </w:r>
      <w:r w:rsidR="00B0055A">
        <w:fldChar w:fldCharType="separate"/>
      </w:r>
      <w:r w:rsidR="00B0055A" w:rsidRPr="00B0055A">
        <w:t>(Liu &amp; Nocedal, 1989)</w:t>
      </w:r>
      <w:r w:rsidR="00B0055A">
        <w:fldChar w:fldCharType="end"/>
      </w:r>
      <w:r>
        <w:t xml:space="preserve">. Apart from that, the Marquardt Steps which is the Levenberg–Marquardt Algorithm is also used for adding the robustness of the optimization </w:t>
      </w:r>
      <w:r w:rsidR="00B0055A">
        <w:fldChar w:fldCharType="begin"/>
      </w:r>
      <w:r w:rsidR="00B0055A">
        <w:instrText xml:space="preserve"> ADDIN ZOTERO_ITEM CSL_CITATION {"citationID":"uz2O2sEW","properties":{"formattedCitation":"(Lourakis, 2005)","plainCitation":"(Lourakis, 2005)","noteIndex":0},"citationItems":[{"id":158,"uris":["http://zotero.org/users/13925666/items/7X55L2JF"],"itemData":{"id":158,"type":"article-journal","container-title":"Foundation of Research and Technology","issue":"1","page":"1–6","source":"Google Scholar","title":"A brief description of the Levenberg-Marquardt algorithm implemented by levmar","volume":"4","author":[{"family":"Lourakis","given":"Manolis IA"}],"issued":{"date-parts":[["2005"]]}}}],"schema":"https://github.com/citation-style-language/schema/raw/master/csl-citation.json"} </w:instrText>
      </w:r>
      <w:r w:rsidR="00B0055A">
        <w:fldChar w:fldCharType="separate"/>
      </w:r>
      <w:r w:rsidR="00B0055A" w:rsidRPr="00B0055A">
        <w:t>(Lourakis, 2005)</w:t>
      </w:r>
      <w:r w:rsidR="00B0055A">
        <w:fldChar w:fldCharType="end"/>
      </w:r>
      <w:r>
        <w:t xml:space="preserve">. The approach modifies the Gauss-Newton direction by adding a dampening parameter, which can provide a balance between the stability of gradient descent and the efficiency of the Gauss-Newton method. </w:t>
      </w:r>
      <w:r w:rsidR="00603539">
        <w:t xml:space="preserve">These </w:t>
      </w:r>
      <w:r w:rsidR="00C3720A">
        <w:t>methods</w:t>
      </w:r>
      <w:r w:rsidR="00603539">
        <w:t xml:space="preserve"> are </w:t>
      </w:r>
      <w:r w:rsidR="00CE13A5">
        <w:t>conducted</w:t>
      </w:r>
      <w:r w:rsidR="00603539">
        <w:t xml:space="preserve"> by </w:t>
      </w:r>
      <w:r w:rsidR="00DF2BE9">
        <w:t>Eviews'</w:t>
      </w:r>
      <w:r w:rsidR="00603539">
        <w:t xml:space="preserve"> </w:t>
      </w:r>
      <w:r w:rsidR="005A6E43">
        <w:t>built-in</w:t>
      </w:r>
      <w:r w:rsidR="00603539">
        <w:t xml:space="preserve"> </w:t>
      </w:r>
      <w:r w:rsidR="005A6E43">
        <w:t>function automatically</w:t>
      </w:r>
      <w:r w:rsidR="00603539">
        <w:t>.</w:t>
      </w:r>
      <w:r w:rsidR="00807266">
        <w:t xml:space="preserve"> </w:t>
      </w:r>
    </w:p>
    <w:p w14:paraId="55F844CD" w14:textId="29E0A148" w:rsidR="00D640F1" w:rsidRDefault="00000000" w:rsidP="00D145BD">
      <w:pPr>
        <w:pStyle w:val="Heading3"/>
        <w:jc w:val="both"/>
      </w:pPr>
      <w:r>
        <w:t>3.</w:t>
      </w:r>
      <w:r w:rsidR="00505210">
        <w:t>3</w:t>
      </w:r>
      <w:r>
        <w:t>.1 Diagonal VECH</w:t>
      </w:r>
    </w:p>
    <w:p w14:paraId="30745958" w14:textId="1D754120" w:rsidR="00D640F1" w:rsidRDefault="00000000" w:rsidP="00D145BD">
      <w:pPr>
        <w:spacing w:after="240"/>
        <w:jc w:val="both"/>
      </w:pPr>
      <w:r>
        <w:t>The first multivariate GARCH model is the VEC</w:t>
      </w:r>
      <w:r w:rsidR="0086530F">
        <w:t>H</w:t>
      </w:r>
      <w:r>
        <w:t xml:space="preserve"> model, which is useful for modeling variances and covariances among multiple time series data </w:t>
      </w:r>
      <w:r w:rsidR="00B0055A">
        <w:fldChar w:fldCharType="begin"/>
      </w:r>
      <w:r w:rsidR="00B0055A">
        <w:instrText xml:space="preserve"> ADDIN ZOTERO_ITEM CSL_CITATION {"citationID":"k5I1GXES","properties":{"formattedCitation":"(Bollerslev et al., 1988)","plainCitation":"(Bollerslev et al., 1988)","noteIndex":0},"citationItems":[{"id":148,"uris":["http://zotero.org/users/13925666/items/ZDSSQCKN"],"itemData":{"id":148,"type":"article-journal","container-title":"Journal of Political Economy","DOI":"10.1086/261527","ISSN":"0022-3808, 1537-534X","issue":"1","journalAbbreviation":"Journal of Political Economy","language":"en","page":"116-131","source":"DOI.org (Crossref)","title":"A Capital Asset Pricing Model with Time-Varying Covariances","volume":"96","author":[{"family":"Bollerslev","given":"Tim"},{"family":"Engle","given":"Robert F."},{"family":"Wooldridge","given":"Jeffrey M."}],"issued":{"date-parts":[["1988",2]]}}}],"schema":"https://github.com/citation-style-language/schema/raw/master/csl-citation.json"} </w:instrText>
      </w:r>
      <w:r w:rsidR="00B0055A">
        <w:fldChar w:fldCharType="separate"/>
      </w:r>
      <w:r w:rsidR="00B0055A" w:rsidRPr="00B0055A">
        <w:t>(Bollerslev et al., 1988)</w:t>
      </w:r>
      <w:r w:rsidR="00B0055A">
        <w:fldChar w:fldCharType="end"/>
      </w:r>
      <w:r>
        <w:t xml:space="preserve">. However, the VECH model has limits on its extremely large numbers of estimated parameters even under small dimensions, and the condition of positive-definite conditional covariance matrices needs to be fulfilled </w:t>
      </w:r>
      <w:r w:rsidR="00B0055A">
        <w:fldChar w:fldCharType="begin"/>
      </w:r>
      <w:r w:rsidR="00B0055A">
        <w:instrText xml:space="preserve"> ADDIN ZOTERO_ITEM CSL_CITATION {"citationID":"ucN0hL8W","properties":{"formattedCitation":"(de Almeida et al., 2018)","plainCitation":"(de Almeida et al., 2018)","noteIndex":0},"citationItems":[{"id":150,"uris":["http://zotero.org/users/13925666/items/W846L8XU"],"itemData":{"id":150,"type":"article-journal","abstract":"Multivariate GARCH (MGARCH) models need to be restricted so that their estimation is feasible in large systems and so that the covariance stationarity and positive definiteness of conditional covariance matrices are guaranteed. This paper analyzes the limitations of some of the popular restricted parametric MGARCH models that are often used to represent the dynamics observed in real systems of financial returns. These limitations are illustrated using simulated data generated by general VECH models of different dimensions in which volatilities and correlations are interrelated. We show that the restrictions imposed by the BEKK model are very unrealistic, generating potentially misleading forecasts of conditional correlations. On the other hand, models based on the DCC specification provide appropriate forecasts. Alternative estimators of the parameters are important in order to simplify the computations, and do not have implications for the estimates of conditional correlations. The implications of the restrictions imposed by the different specifications of MGARCH models considered are illustrated by forecasting the volatilities and correlations of a five-dimensional system of exchange rate returns.","container-title":"International Journal of Forecasting","DOI":"10.1016/j.ijforecast.2017.08.003","ISSN":"0169-2070","issue":"1","journalAbbreviation":"International Journal of Forecasting","page":"45-63","source":"ScienceDirect","title":"MGARCH models: Trade-off between feasibility and flexibility","title-short":"MGARCH models","volume":"34","author":[{"family":"Almeida","given":"Daniel","non-dropping-particle":"de"},{"family":"Hotta","given":"Luiz K."},{"family":"Ruiz","given":"Esther"}],"issued":{"date-parts":[["2018",1,1]]}}}],"schema":"https://github.com/citation-style-language/schema/raw/master/csl-citation.json"} </w:instrText>
      </w:r>
      <w:r w:rsidR="00B0055A">
        <w:fldChar w:fldCharType="separate"/>
      </w:r>
      <w:r w:rsidR="00B0055A" w:rsidRPr="00B0055A">
        <w:t>(de Almeida et al., 2018)</w:t>
      </w:r>
      <w:r w:rsidR="00B0055A">
        <w:fldChar w:fldCharType="end"/>
      </w:r>
      <w:r>
        <w:t xml:space="preserve">. As a result, the restricted VECH model of the diagonal VECH is more fitted in practice as it can deal with those limits </w:t>
      </w:r>
      <w:r w:rsidR="00B0055A">
        <w:fldChar w:fldCharType="begin"/>
      </w:r>
      <w:r w:rsidR="00B0055A">
        <w:instrText xml:space="preserve"> ADDIN ZOTERO_ITEM CSL_CITATION {"citationID":"XLSGwySw","properties":{"formattedCitation":"(Bollerslev et al., 1988; de Almeida et al., 2018)","plainCitation":"(Bollerslev et al., 1988; de Almeida et al., 2018)","noteIndex":0},"citationItems":[{"id":148,"uris":["http://zotero.org/users/13925666/items/ZDSSQCKN"],"itemData":{"id":148,"type":"article-journal","container-title":"Journal of Political Economy","DOI":"10.1086/261527","ISSN":"0022-3808, 1537-534X","issue":"1","journalAbbreviation":"Journal of Political Economy","language":"en","page":"116-131","source":"DOI.org (Crossref)","title":"A Capital Asset Pricing Model with Time-Varying Covariances","volume":"96","author":[{"family":"Bollerslev","given":"Tim"},{"family":"Engle","given":"Robert F."},{"family":"Wooldridge","given":"Jeffrey M."}],"issued":{"date-parts":[["1988",2]]}}},{"id":150,"uris":["http://zotero.org/users/13925666/items/W846L8XU"],"itemData":{"id":150,"type":"article-journal","abstract":"Multivariate GARCH (MGARCH) models need to be restricted so that their estimation is feasible in large systems and so that the covariance stationarity and positive definiteness of conditional covariance matrices are guaranteed. This paper analyzes the limitations of some of the popular restricted parametric MGARCH models that are often used to represent the dynamics observed in real systems of financial returns. These limitations are illustrated using simulated data generated by general VECH models of different dimensions in which volatilities and correlations are interrelated. We show that the restrictions imposed by the BEKK model are very unrealistic, generating potentially misleading forecasts of conditional correlations. On the other hand, models based on the DCC specification provide appropriate forecasts. Alternative estimators of the parameters are important in order to simplify the computations, and do not have implications for the estimates of conditional correlations. The implications of the restrictions imposed by the different specifications of MGARCH models considered are illustrated by forecasting the volatilities and correlations of a five-dimensional system of exchange rate returns.","container-title":"International Journal of Forecasting","DOI":"10.1016/j.ijforecast.2017.08.003","ISSN":"0169-2070","issue":"1","journalAbbreviation":"International Journal of Forecasting","page":"45-63","source":"ScienceDirect","title":"MGARCH models: Trade-off between feasibility and flexibility","title-short":"MGARCH models","volume":"34","author":[{"family":"Almeida","given":"Daniel","non-dropping-particle":"de"},{"family":"Hotta","given":"Luiz K."},{"family":"Ruiz","given":"Esther"}],"issued":{"date-parts":[["2018",1,1]]}}}],"schema":"https://github.com/citation-style-language/schema/raw/master/csl-citation.json"} </w:instrText>
      </w:r>
      <w:r w:rsidR="00B0055A">
        <w:fldChar w:fldCharType="separate"/>
      </w:r>
      <w:r w:rsidR="00B0055A" w:rsidRPr="00B0055A">
        <w:t>(Bollerslev et al., 1988; de Almeida et al., 2018)</w:t>
      </w:r>
      <w:r w:rsidR="00B0055A">
        <w:fldChar w:fldCharType="end"/>
      </w:r>
      <w:r>
        <w:t xml:space="preserve">. The </w:t>
      </w:r>
      <w:r w:rsidR="002D33CA">
        <w:t>variance</w:t>
      </w:r>
      <w:r w:rsidR="003D5609">
        <w:t xml:space="preserve">-covariance </w:t>
      </w:r>
      <w:r>
        <w:t xml:space="preserve">equation of the diagonal VECH model is as follows: </w:t>
      </w:r>
    </w:p>
    <w:p w14:paraId="7A945BE2" w14:textId="050B9ADE" w:rsidR="00D640F1" w:rsidRPr="002E7593" w:rsidRDefault="00000000" w:rsidP="00D145BD">
      <w:pPr>
        <w:spacing w:after="240"/>
        <w:ind w:left="360"/>
        <w:jc w:val="center"/>
      </w:pPr>
      <m:oMathPara>
        <m:oMath>
          <m:eqArr>
            <m:eqArrPr>
              <m:maxDist m:val="1"/>
              <m:ctrlPr>
                <w:rPr>
                  <w:rFonts w:ascii="Cambria Math" w:hAnsi="Cambria Math"/>
                  <w:i/>
                </w:rPr>
              </m:ctrlPr>
            </m:eqArrPr>
            <m:e>
              <m:r>
                <w:rPr>
                  <w:rFonts w:ascii="Cambria Math" w:hAnsi="Cambria Math"/>
                </w:rPr>
                <m:t>VECH</m:t>
              </m:r>
              <m:d>
                <m:dPr>
                  <m:ctrlPr>
                    <w:rPr>
                      <w:rFonts w:ascii="Cambria Math" w:hAnsi="Cambria Math"/>
                      <w:i/>
                    </w:rPr>
                  </m:ctrlPr>
                </m:dPr>
                <m:e>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e>
              </m:d>
              <m:r>
                <w:rPr>
                  <w:rFonts w:ascii="Cambria Math" w:hAnsi="Cambria Math"/>
                </w:rPr>
                <m:t>=</m:t>
              </m:r>
              <m:r>
                <m:rPr>
                  <m:sty m:val="bi"/>
                </m:rPr>
                <w:rPr>
                  <w:rFonts w:ascii="Cambria Math" w:hAnsi="Cambria Math"/>
                </w:rPr>
                <m:t>ω</m:t>
              </m:r>
              <m:r>
                <w:rPr>
                  <w:rFonts w:ascii="Cambria Math" w:hAnsi="Cambria Math"/>
                </w:rPr>
                <m:t>+</m:t>
              </m:r>
              <m:nary>
                <m:naryPr>
                  <m:chr m:val="∑"/>
                  <m:ctrlPr>
                    <w:rPr>
                      <w:rFonts w:ascii="Cambria Math" w:hAnsi="Cambria Math"/>
                    </w:rPr>
                  </m:ctrlPr>
                </m:naryPr>
                <m:sub>
                  <m:r>
                    <w:rPr>
                      <w:rFonts w:ascii="Cambria Math" w:hAnsi="Cambria Math"/>
                    </w:rPr>
                    <m:t>k=1</m:t>
                  </m:r>
                </m:sub>
                <m:sup>
                  <m:r>
                    <w:rPr>
                      <w:rFonts w:ascii="Cambria Math" w:hAnsi="Cambria Math"/>
                    </w:rPr>
                    <m:t>p</m:t>
                  </m:r>
                </m:sup>
                <m:e>
                  <m:sSub>
                    <m:sSubPr>
                      <m:ctrlPr>
                        <w:rPr>
                          <w:rFonts w:ascii="Cambria Math" w:hAnsi="Cambria Math"/>
                          <w:b/>
                          <w:bCs/>
                        </w:rPr>
                      </m:ctrlPr>
                    </m:sSubPr>
                    <m:e>
                      <m:r>
                        <m:rPr>
                          <m:sty m:val="bi"/>
                        </m:rPr>
                        <w:rPr>
                          <w:rFonts w:ascii="Cambria Math" w:hAnsi="Cambria Math"/>
                        </w:rPr>
                        <m:t>A</m:t>
                      </m:r>
                    </m:e>
                    <m:sub>
                      <m:r>
                        <m:rPr>
                          <m:sty m:val="bi"/>
                        </m:rPr>
                        <w:rPr>
                          <w:rFonts w:ascii="Cambria Math" w:hAnsi="Cambria Math"/>
                        </w:rPr>
                        <m:t>k</m:t>
                      </m:r>
                    </m:sub>
                  </m:sSub>
                  <m:r>
                    <w:rPr>
                      <w:rFonts w:ascii="Cambria Math" w:hAnsi="Cambria Math"/>
                    </w:rPr>
                    <m:t>VECH</m:t>
                  </m:r>
                  <m:d>
                    <m:dPr>
                      <m:ctrlPr>
                        <w:rPr>
                          <w:rFonts w:ascii="Cambria Math" w:hAnsi="Cambria Math"/>
                          <w:i/>
                        </w:rPr>
                      </m:ctrlPr>
                    </m:dPr>
                    <m:e>
                      <m:sSubSup>
                        <m:sSubSupPr>
                          <m:ctrlPr>
                            <w:rPr>
                              <w:rFonts w:ascii="Cambria Math" w:hAnsi="Cambria Math"/>
                              <w:b/>
                              <w:bCs/>
                            </w:rPr>
                          </m:ctrlPr>
                        </m:sSubSupPr>
                        <m:e>
                          <m:r>
                            <m:rPr>
                              <m:sty m:val="bi"/>
                            </m:rPr>
                            <w:rPr>
                              <w:rFonts w:ascii="Cambria Math" w:hAnsi="Cambria Math"/>
                            </w:rPr>
                            <m:t>ϵ</m:t>
                          </m:r>
                        </m:e>
                        <m:sub>
                          <m:r>
                            <m:rPr>
                              <m:sty m:val="bi"/>
                            </m:rPr>
                            <w:rPr>
                              <w:rFonts w:ascii="Cambria Math" w:hAnsi="Cambria Math"/>
                            </w:rPr>
                            <m:t>t-k</m:t>
                          </m:r>
                        </m:sub>
                        <m:sup>
                          <m:r>
                            <m:rPr>
                              <m:sty m:val="bi"/>
                            </m:rPr>
                            <w:rPr>
                              <w:rFonts w:ascii="Cambria Math" w:hAnsi="Cambria Math"/>
                            </w:rPr>
                            <m:t xml:space="preserve"> </m:t>
                          </m:r>
                        </m:sup>
                      </m:sSubSup>
                      <m:sSubSup>
                        <m:sSubSupPr>
                          <m:ctrlPr>
                            <w:rPr>
                              <w:rFonts w:ascii="Cambria Math" w:hAnsi="Cambria Math"/>
                              <w:b/>
                              <w:bCs/>
                            </w:rPr>
                          </m:ctrlPr>
                        </m:sSubSupPr>
                        <m:e>
                          <m:r>
                            <m:rPr>
                              <m:sty m:val="bi"/>
                            </m:rPr>
                            <w:rPr>
                              <w:rFonts w:ascii="Cambria Math" w:hAnsi="Cambria Math"/>
                            </w:rPr>
                            <m:t>ϵ</m:t>
                          </m:r>
                        </m:e>
                        <m:sub>
                          <m:r>
                            <m:rPr>
                              <m:sty m:val="bi"/>
                            </m:rPr>
                            <w:rPr>
                              <w:rFonts w:ascii="Cambria Math" w:hAnsi="Cambria Math"/>
                            </w:rPr>
                            <m:t>t-k</m:t>
                          </m:r>
                        </m:sub>
                        <m:sup>
                          <m:r>
                            <m:rPr>
                              <m:sty m:val="bi"/>
                            </m:rPr>
                            <w:rPr>
                              <w:rFonts w:ascii="Cambria Math" w:hAnsi="Cambria Math"/>
                            </w:rPr>
                            <m:t>'</m:t>
                          </m:r>
                        </m:sup>
                      </m:sSubSup>
                    </m:e>
                  </m:d>
                </m:e>
              </m:nary>
              <m:r>
                <w:rPr>
                  <w:rFonts w:ascii="Cambria Math" w:hAnsi="Cambria Math"/>
                </w:rPr>
                <m:t>+</m:t>
              </m:r>
              <m:sSub>
                <m:sSubPr>
                  <m:ctrlPr>
                    <w:rPr>
                      <w:rFonts w:ascii="Cambria Math" w:hAnsi="Cambria Math"/>
                    </w:rPr>
                  </m:ctrlPr>
                </m:sSubPr>
                <m:e>
                  <m:nary>
                    <m:naryPr>
                      <m:chr m:val="∑"/>
                      <m:ctrlPr>
                        <w:rPr>
                          <w:rFonts w:ascii="Cambria Math" w:hAnsi="Cambria Math"/>
                        </w:rPr>
                      </m:ctrlPr>
                    </m:naryPr>
                    <m:sub>
                      <m:r>
                        <w:rPr>
                          <w:rFonts w:ascii="Cambria Math" w:hAnsi="Cambria Math"/>
                        </w:rPr>
                        <m:t>l=1</m:t>
                      </m:r>
                    </m:sub>
                    <m:sup>
                      <m:r>
                        <w:rPr>
                          <w:rFonts w:ascii="Cambria Math" w:hAnsi="Cambria Math"/>
                        </w:rPr>
                        <m:t>q</m:t>
                      </m:r>
                    </m:sup>
                    <m:e>
                      <m:sSub>
                        <m:sSubPr>
                          <m:ctrlPr>
                            <w:rPr>
                              <w:rFonts w:ascii="Cambria Math" w:hAnsi="Cambria Math"/>
                              <w:b/>
                              <w:bCs/>
                            </w:rPr>
                          </m:ctrlPr>
                        </m:sSubPr>
                        <m:e>
                          <m:r>
                            <m:rPr>
                              <m:sty m:val="bi"/>
                            </m:rPr>
                            <w:rPr>
                              <w:rFonts w:ascii="Cambria Math" w:hAnsi="Cambria Math"/>
                            </w:rPr>
                            <m:t>B</m:t>
                          </m:r>
                        </m:e>
                        <m:sub>
                          <m:r>
                            <m:rPr>
                              <m:sty m:val="bi"/>
                            </m:rPr>
                            <w:rPr>
                              <w:rFonts w:ascii="Cambria Math" w:hAnsi="Cambria Math"/>
                            </w:rPr>
                            <m:t>l</m:t>
                          </m:r>
                        </m:sub>
                      </m:sSub>
                      <m:sSubSup>
                        <m:sSubSupPr>
                          <m:ctrlPr>
                            <w:rPr>
                              <w:rFonts w:ascii="Cambria Math" w:hAnsi="Cambria Math"/>
                            </w:rPr>
                          </m:ctrlPr>
                        </m:sSubSupPr>
                        <m:e>
                          <m:r>
                            <w:rPr>
                              <w:rFonts w:ascii="Cambria Math" w:hAnsi="Cambria Math"/>
                            </w:rPr>
                            <m:t>VECH(</m:t>
                          </m:r>
                          <m:r>
                            <m:rPr>
                              <m:sty m:val="bi"/>
                            </m:rPr>
                            <w:rPr>
                              <w:rFonts w:ascii="Cambria Math" w:hAnsi="Cambria Math"/>
                            </w:rPr>
                            <m:t>H</m:t>
                          </m:r>
                        </m:e>
                        <m:sub>
                          <m:r>
                            <m:rPr>
                              <m:sty m:val="bi"/>
                            </m:rPr>
                            <w:rPr>
                              <w:rFonts w:ascii="Cambria Math" w:hAnsi="Cambria Math"/>
                            </w:rPr>
                            <m:t>t-l</m:t>
                          </m:r>
                        </m:sub>
                        <m:sup>
                          <m:r>
                            <w:rPr>
                              <w:rFonts w:ascii="Cambria Math" w:hAnsi="Cambria Math"/>
                            </w:rPr>
                            <m:t xml:space="preserve"> </m:t>
                          </m:r>
                        </m:sup>
                      </m:sSubSup>
                      <m:r>
                        <w:rPr>
                          <w:rFonts w:ascii="Cambria Math" w:hAnsi="Cambria Math"/>
                        </w:rPr>
                        <m:t>)</m:t>
                      </m:r>
                    </m:e>
                  </m:nary>
                </m:e>
                <m:sub>
                  <m:r>
                    <w:rPr>
                      <w:rFonts w:ascii="Cambria Math" w:hAnsi="Cambria Math"/>
                    </w:rPr>
                    <m:t xml:space="preserve"> </m:t>
                  </m:r>
                </m:sub>
              </m:sSub>
              <m:r>
                <w:rPr>
                  <w:rFonts w:ascii="Cambria Math" w:hAnsi="Cambria Math"/>
                </w:rPr>
                <m:t>#</m:t>
              </m:r>
              <m:d>
                <m:dPr>
                  <m:ctrlPr>
                    <w:rPr>
                      <w:rFonts w:ascii="Cambria Math" w:hAnsi="Cambria Math"/>
                      <w:i/>
                    </w:rPr>
                  </m:ctrlPr>
                </m:dPr>
                <m:e>
                  <m:r>
                    <w:rPr>
                      <w:rFonts w:ascii="Cambria Math" w:hAnsi="Cambria Math"/>
                    </w:rPr>
                    <m:t>5</m:t>
                  </m:r>
                </m:e>
              </m:d>
            </m:e>
          </m:eqArr>
        </m:oMath>
      </m:oMathPara>
    </w:p>
    <w:p w14:paraId="2895E1EB" w14:textId="3B6830C6" w:rsidR="00D640F1" w:rsidRDefault="00000000" w:rsidP="00D145BD">
      <w:pPr>
        <w:spacing w:after="240"/>
        <w:jc w:val="both"/>
      </w:pPr>
      <w:r>
        <w:t xml:space="preserve">where </w:t>
      </w:r>
      <m:oMath>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oMath>
      <w:r>
        <w:t xml:space="preserve"> is the conditional variance-covariance matrix of the residuals. In this equation, </w:t>
      </w:r>
      <m:oMath>
        <m:r>
          <w:rPr>
            <w:rFonts w:ascii="Cambria Math" w:hAnsi="Cambria Math"/>
          </w:rPr>
          <m:t>VECH</m:t>
        </m:r>
      </m:oMath>
      <w:r>
        <w:t xml:space="preserve"> is the operator that stretches the lower triangular part of a matrix including the diagonal into a vector form. </w:t>
      </w:r>
      <m:oMath>
        <m:r>
          <m:rPr>
            <m:sty m:val="bi"/>
          </m:rPr>
          <w:rPr>
            <w:rFonts w:ascii="Cambria Math" w:hAnsi="Cambria Math"/>
          </w:rPr>
          <m:t>ω</m:t>
        </m:r>
      </m:oMath>
      <w:r>
        <w:t xml:space="preserve"> is the vector with the dimension of </w:t>
      </w:r>
      <m:oMath>
        <m:f>
          <m:fPr>
            <m:ctrlPr>
              <w:rPr>
                <w:rFonts w:ascii="Cambria Math" w:hAnsi="Cambria Math"/>
              </w:rPr>
            </m:ctrlPr>
          </m:fPr>
          <m:num>
            <m:r>
              <w:rPr>
                <w:rFonts w:ascii="Cambria Math" w:hAnsi="Cambria Math"/>
              </w:rPr>
              <m:t>N×(N+1)</m:t>
            </m:r>
          </m:num>
          <m:den>
            <m:r>
              <w:rPr>
                <w:rFonts w:ascii="Cambria Math" w:hAnsi="Cambria Math"/>
              </w:rPr>
              <m:t>2</m:t>
            </m:r>
          </m:den>
        </m:f>
      </m:oMath>
      <w:r>
        <w:t xml:space="preserve">, while </w:t>
      </w:r>
      <m:oMath>
        <m:sSub>
          <m:sSubPr>
            <m:ctrlPr>
              <w:rPr>
                <w:rFonts w:ascii="Cambria Math" w:hAnsi="Cambria Math"/>
                <w:b/>
                <w:bCs/>
              </w:rPr>
            </m:ctrlPr>
          </m:sSubPr>
          <m:e>
            <m:r>
              <m:rPr>
                <m:sty m:val="bi"/>
              </m:rPr>
              <w:rPr>
                <w:rFonts w:ascii="Cambria Math" w:hAnsi="Cambria Math"/>
              </w:rPr>
              <m:t>A</m:t>
            </m:r>
          </m:e>
          <m:sub>
            <m:r>
              <m:rPr>
                <m:sty m:val="bi"/>
              </m:rPr>
              <w:rPr>
                <w:rFonts w:ascii="Cambria Math" w:hAnsi="Cambria Math"/>
              </w:rPr>
              <m:t>k</m:t>
            </m:r>
          </m:sub>
        </m:sSub>
      </m:oMath>
      <w:r>
        <w:t xml:space="preserve"> and </w:t>
      </w:r>
      <m:oMath>
        <m:sSub>
          <m:sSubPr>
            <m:ctrlPr>
              <w:rPr>
                <w:rFonts w:ascii="Cambria Math" w:hAnsi="Cambria Math"/>
                <w:b/>
                <w:bCs/>
              </w:rPr>
            </m:ctrlPr>
          </m:sSubPr>
          <m:e>
            <m:r>
              <m:rPr>
                <m:sty m:val="bi"/>
              </m:rPr>
              <w:rPr>
                <w:rFonts w:ascii="Cambria Math" w:hAnsi="Cambria Math"/>
              </w:rPr>
              <m:t>B</m:t>
            </m:r>
          </m:e>
          <m:sub>
            <m:r>
              <m:rPr>
                <m:sty m:val="bi"/>
              </m:rPr>
              <w:rPr>
                <w:rFonts w:ascii="Cambria Math" w:hAnsi="Cambria Math"/>
              </w:rPr>
              <m:t>l</m:t>
            </m:r>
          </m:sub>
        </m:sSub>
      </m:oMath>
      <w:r>
        <w:t xml:space="preserve"> are the parameters of </w:t>
      </w:r>
      <w:r w:rsidR="002D4DA6">
        <w:t xml:space="preserve">square </w:t>
      </w:r>
      <m:oMath>
        <m:f>
          <m:fPr>
            <m:ctrlPr>
              <w:rPr>
                <w:rFonts w:ascii="Cambria Math" w:hAnsi="Cambria Math"/>
              </w:rPr>
            </m:ctrlPr>
          </m:fPr>
          <m:num>
            <m:r>
              <w:rPr>
                <w:rFonts w:ascii="Cambria Math" w:hAnsi="Cambria Math"/>
              </w:rPr>
              <m:t>N×(N+1)</m:t>
            </m:r>
          </m:num>
          <m:den>
            <m:r>
              <w:rPr>
                <w:rFonts w:ascii="Cambria Math" w:hAnsi="Cambria Math"/>
              </w:rPr>
              <m:t>2</m:t>
            </m:r>
          </m:den>
        </m:f>
        <m:r>
          <w:rPr>
            <w:rFonts w:ascii="Cambria Math" w:hAnsi="Cambria Math"/>
          </w:rPr>
          <m:t xml:space="preserve"> </m:t>
        </m:r>
      </m:oMath>
      <w:r w:rsidR="00FE5224">
        <w:t xml:space="preserve"> </w:t>
      </w:r>
      <w:r>
        <w:t>matrices to be estimated</w:t>
      </w:r>
      <w:r w:rsidR="002D4DA6">
        <w:t>.</w:t>
      </w:r>
      <w:r w:rsidR="00E9139C">
        <w:t xml:space="preserve"> </w:t>
      </w:r>
      <w:r>
        <w:t xml:space="preserve">For the diagonal restriction, </w:t>
      </w:r>
      <m:oMath>
        <m:sSub>
          <m:sSubPr>
            <m:ctrlPr>
              <w:rPr>
                <w:rFonts w:ascii="Cambria Math" w:hAnsi="Cambria Math"/>
                <w:b/>
                <w:bCs/>
              </w:rPr>
            </m:ctrlPr>
          </m:sSubPr>
          <m:e>
            <m:r>
              <m:rPr>
                <m:sty m:val="bi"/>
              </m:rPr>
              <w:rPr>
                <w:rFonts w:ascii="Cambria Math" w:hAnsi="Cambria Math"/>
              </w:rPr>
              <m:t>A</m:t>
            </m:r>
          </m:e>
          <m:sub>
            <m:r>
              <m:rPr>
                <m:sty m:val="bi"/>
              </m:rPr>
              <w:rPr>
                <w:rFonts w:ascii="Cambria Math" w:hAnsi="Cambria Math"/>
              </w:rPr>
              <m:t>k</m:t>
            </m:r>
          </m:sub>
        </m:sSub>
      </m:oMath>
      <w:r>
        <w:t xml:space="preserve"> and </w:t>
      </w:r>
      <m:oMath>
        <m:sSub>
          <m:sSubPr>
            <m:ctrlPr>
              <w:rPr>
                <w:rFonts w:ascii="Cambria Math" w:hAnsi="Cambria Math"/>
                <w:b/>
                <w:bCs/>
              </w:rPr>
            </m:ctrlPr>
          </m:sSubPr>
          <m:e>
            <m:r>
              <m:rPr>
                <m:sty m:val="bi"/>
              </m:rPr>
              <w:rPr>
                <w:rFonts w:ascii="Cambria Math" w:hAnsi="Cambria Math"/>
              </w:rPr>
              <m:t>B</m:t>
            </m:r>
          </m:e>
          <m:sub>
            <m:r>
              <m:rPr>
                <m:sty m:val="bi"/>
              </m:rPr>
              <w:rPr>
                <w:rFonts w:ascii="Cambria Math" w:hAnsi="Cambria Math"/>
              </w:rPr>
              <m:t>l</m:t>
            </m:r>
          </m:sub>
        </m:sSub>
      </m:oMath>
      <w:r>
        <w:t xml:space="preserve"> become diagonal </w:t>
      </w:r>
      <w:r w:rsidR="00A8121A">
        <w:t>square</w:t>
      </w:r>
      <w:r w:rsidR="000729F9">
        <w:t xml:space="preserve"> </w:t>
      </w:r>
      <m:oMath>
        <m:f>
          <m:fPr>
            <m:ctrlPr>
              <w:rPr>
                <w:rFonts w:ascii="Cambria Math" w:hAnsi="Cambria Math"/>
              </w:rPr>
            </m:ctrlPr>
          </m:fPr>
          <m:num>
            <m:r>
              <w:rPr>
                <w:rFonts w:ascii="Cambria Math" w:hAnsi="Cambria Math"/>
              </w:rPr>
              <m:t>N×(N+1)</m:t>
            </m:r>
          </m:num>
          <m:den>
            <m:r>
              <w:rPr>
                <w:rFonts w:ascii="Cambria Math" w:hAnsi="Cambria Math"/>
              </w:rPr>
              <m:t>2</m:t>
            </m:r>
          </m:den>
        </m:f>
      </m:oMath>
      <w:r w:rsidR="000729F9">
        <w:t xml:space="preserve"> </w:t>
      </w:r>
      <w:r>
        <w:t>matrices</w:t>
      </w:r>
      <w:r w:rsidR="00A8121A">
        <w:t>,</w:t>
      </w:r>
      <w:r>
        <w:t xml:space="preserve"> </w:t>
      </w:r>
      <w:r w:rsidR="00A8121A">
        <w:t xml:space="preserve">which means that </w:t>
      </w:r>
      <w:r w:rsidR="00A8121A" w:rsidRPr="00A8121A">
        <w:t>the off-diagonal elements are constrained to be zero</w:t>
      </w:r>
      <w:r w:rsidR="00A8121A">
        <w:t xml:space="preserve">. </w:t>
      </w:r>
      <w:r>
        <w:t xml:space="preserve">This </w:t>
      </w:r>
      <w:r w:rsidR="00D76348">
        <w:t>indicates</w:t>
      </w:r>
      <w:r>
        <w:t xml:space="preserve"> that one individual commodity's conditional variance will be determined only by its own autocorrelation and moving average, not by other commodities. The diagonal VECH model will estimate </w:t>
      </w:r>
      <w:r w:rsidR="0002122F">
        <w:t>the</w:t>
      </w:r>
      <w:r>
        <w:t xml:space="preserve"> total number of </w:t>
      </w:r>
      <m:oMath>
        <m:r>
          <w:rPr>
            <w:rFonts w:ascii="Cambria Math" w:hAnsi="Cambria Math"/>
          </w:rPr>
          <m:t>(p+q+1)×</m:t>
        </m:r>
        <m:f>
          <m:fPr>
            <m:ctrlPr>
              <w:rPr>
                <w:rFonts w:ascii="Cambria Math" w:hAnsi="Cambria Math"/>
              </w:rPr>
            </m:ctrlPr>
          </m:fPr>
          <m:num>
            <m:r>
              <w:rPr>
                <w:rFonts w:ascii="Cambria Math" w:hAnsi="Cambria Math"/>
              </w:rPr>
              <m:t>N×(N+1)</m:t>
            </m:r>
          </m:num>
          <m:den>
            <m:r>
              <w:rPr>
                <w:rFonts w:ascii="Cambria Math" w:hAnsi="Cambria Math"/>
              </w:rPr>
              <m:t>2</m:t>
            </m:r>
          </m:den>
        </m:f>
      </m:oMath>
      <w:r>
        <w:t xml:space="preserve"> parameters</w:t>
      </w:r>
      <w:r w:rsidR="00C7669F">
        <w:t>.</w:t>
      </w:r>
      <w:r>
        <w:t xml:space="preserve"> For example, the </w:t>
      </w:r>
      <w:r w:rsidR="00BD3F1F">
        <w:t xml:space="preserve">number </w:t>
      </w:r>
      <w:r w:rsidR="00804555">
        <w:t xml:space="preserve">of </w:t>
      </w:r>
      <w:r>
        <w:t>estimated parameters of the diagonal VECH</w:t>
      </w:r>
      <w:r w:rsidR="00227396">
        <w:t xml:space="preserve"> </w:t>
      </w:r>
      <m:oMath>
        <m:r>
          <w:rPr>
            <w:rFonts w:ascii="Cambria Math" w:hAnsi="Cambria Math"/>
          </w:rPr>
          <m:t>(1, 1)</m:t>
        </m:r>
      </m:oMath>
      <w:r>
        <w:t xml:space="preserve"> with 3 commodities is </w:t>
      </w:r>
      <m:oMath>
        <m:r>
          <w:rPr>
            <w:rFonts w:ascii="Cambria Math" w:hAnsi="Cambria Math"/>
          </w:rPr>
          <m:t>(1+1+1)×</m:t>
        </m:r>
        <m:f>
          <m:fPr>
            <m:ctrlPr>
              <w:rPr>
                <w:rFonts w:ascii="Cambria Math" w:hAnsi="Cambria Math"/>
              </w:rPr>
            </m:ctrlPr>
          </m:fPr>
          <m:num>
            <m:r>
              <w:rPr>
                <w:rFonts w:ascii="Cambria Math" w:hAnsi="Cambria Math"/>
              </w:rPr>
              <m:t>3×(3+1)</m:t>
            </m:r>
          </m:num>
          <m:den>
            <m:r>
              <w:rPr>
                <w:rFonts w:ascii="Cambria Math" w:hAnsi="Cambria Math"/>
              </w:rPr>
              <m:t>2</m:t>
            </m:r>
          </m:den>
        </m:f>
        <m:r>
          <w:rPr>
            <w:rFonts w:ascii="Cambria Math" w:hAnsi="Cambria Math"/>
          </w:rPr>
          <m:t>=18</m:t>
        </m:r>
      </m:oMath>
      <w:r>
        <w:t xml:space="preserve">. </w:t>
      </w:r>
    </w:p>
    <w:p w14:paraId="1908AEBE" w14:textId="527C2B7D" w:rsidR="00D640F1" w:rsidRDefault="00000000" w:rsidP="00D145BD">
      <w:pPr>
        <w:pStyle w:val="Heading3"/>
        <w:jc w:val="both"/>
      </w:pPr>
      <w:r>
        <w:t>3.</w:t>
      </w:r>
      <w:r w:rsidR="00070FFC">
        <w:t>3</w:t>
      </w:r>
      <w:r>
        <w:t>.</w:t>
      </w:r>
      <w:r w:rsidR="00070FFC">
        <w:t>2</w:t>
      </w:r>
      <w:r>
        <w:t xml:space="preserve"> Diagonal BEKK</w:t>
      </w:r>
    </w:p>
    <w:p w14:paraId="7D24759A" w14:textId="50B96F55" w:rsidR="00D640F1" w:rsidRDefault="00000000" w:rsidP="00D145BD">
      <w:pPr>
        <w:spacing w:after="240"/>
        <w:jc w:val="both"/>
      </w:pPr>
      <w:r>
        <w:t xml:space="preserve">The BEKK model is named </w:t>
      </w:r>
      <w:r w:rsidR="009005B6">
        <w:t xml:space="preserve">the </w:t>
      </w:r>
      <w:r>
        <w:t xml:space="preserve">Baba, Engle, Kraft, and Kroner GARCH model </w:t>
      </w:r>
      <w:r w:rsidR="00B0055A">
        <w:fldChar w:fldCharType="begin"/>
      </w:r>
      <w:r w:rsidR="00B0055A">
        <w:instrText xml:space="preserve"> ADDIN ZOTERO_ITEM CSL_CITATION {"citationID":"PD8RxQsA","properties":{"formattedCitation":"(Engle &amp; Kroner, 1995)","plainCitation":"(Engle &amp; Kroner, 1995)","noteIndex":0},"citationItems":[{"id":142,"uris":["http://zotero.org/users/13925666/items/NBYMAYJT"],"itemData":{"id":142,"type":"article-journal","container-title":"Econometric theory","issue":"1","note":"publisher: Cambridge University Press","page":"122–150","source":"Google Scholar","title":"Multivariate simultaneous generalized ARCH","volume":"11","author":[{"family":"Engle","given":"Robert F."},{"family":"Kroner","given":"Kenneth F."}],"issued":{"date-parts":[["1995"]]}}}],"schema":"https://github.com/citation-style-language/schema/raw/master/csl-citation.json"} </w:instrText>
      </w:r>
      <w:r w:rsidR="00B0055A">
        <w:fldChar w:fldCharType="separate"/>
      </w:r>
      <w:r w:rsidR="00B0055A" w:rsidRPr="00B0055A">
        <w:t>(Engle &amp; Kroner, 1995)</w:t>
      </w:r>
      <w:r w:rsidR="00B0055A">
        <w:fldChar w:fldCharType="end"/>
      </w:r>
      <w:r>
        <w:t>. This model is a more restricted form of the VECH model. The variance</w:t>
      </w:r>
      <w:r w:rsidR="002D33CA">
        <w:t>-covariance</w:t>
      </w:r>
      <w:r>
        <w:t xml:space="preserve"> equation is shown as follows: </w:t>
      </w:r>
    </w:p>
    <w:p w14:paraId="7AC09931" w14:textId="52839BC9" w:rsidR="00D640F1" w:rsidRPr="00515A3E" w:rsidRDefault="00000000" w:rsidP="00D145BD">
      <w:pPr>
        <w:spacing w:after="240"/>
        <w:ind w:left="360"/>
        <w:jc w:val="center"/>
        <w:rPr>
          <w:b/>
          <w:bCs/>
        </w:rPr>
      </w:pPr>
      <m:oMathPara>
        <m:oMath>
          <m:eqArr>
            <m:eqArrPr>
              <m:maxDist m:val="1"/>
              <m:ctrlPr>
                <w:rPr>
                  <w:rFonts w:ascii="Cambria Math" w:hAnsi="Cambria Math"/>
                  <w:i/>
                </w:rPr>
              </m:ctrlPr>
            </m:eqArrPr>
            <m:e>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r>
                <w:rPr>
                  <w:rFonts w:ascii="Cambria Math" w:hAnsi="Cambria Math"/>
                </w:rPr>
                <m:t>=</m:t>
              </m:r>
              <m:r>
                <m:rPr>
                  <m:sty m:val="bi"/>
                </m:rPr>
                <w:rPr>
                  <w:rFonts w:ascii="Cambria Math" w:hAnsi="Cambria Math"/>
                </w:rPr>
                <m:t>ω</m:t>
              </m:r>
              <m:sSubSup>
                <m:sSubSupPr>
                  <m:ctrlPr>
                    <w:rPr>
                      <w:rFonts w:ascii="Cambria Math" w:hAnsi="Cambria Math"/>
                      <w:b/>
                      <w:bCs/>
                    </w:rPr>
                  </m:ctrlPr>
                </m:sSubSupPr>
                <m:e>
                  <m:r>
                    <m:rPr>
                      <m:sty m:val="bi"/>
                    </m:rPr>
                    <w:rPr>
                      <w:rFonts w:ascii="Cambria Math" w:hAnsi="Cambria Math"/>
                    </w:rPr>
                    <m:t>ω</m:t>
                  </m:r>
                </m:e>
                <m:sub>
                  <m:r>
                    <m:rPr>
                      <m:sty m:val="bi"/>
                    </m:rPr>
                    <w:rPr>
                      <w:rFonts w:ascii="Cambria Math" w:hAnsi="Cambria Math"/>
                    </w:rPr>
                    <m:t xml:space="preserve"> </m:t>
                  </m:r>
                </m:sub>
                <m:sup>
                  <m:r>
                    <m:rPr>
                      <m:sty m:val="bi"/>
                    </m:rPr>
                    <w:rPr>
                      <w:rFonts w:ascii="Cambria Math" w:hAnsi="Cambria Math"/>
                    </w:rPr>
                    <m:t>'</m:t>
                  </m:r>
                </m:sup>
              </m:sSubSup>
              <m:r>
                <w:rPr>
                  <w:rFonts w:ascii="Cambria Math" w:hAnsi="Cambria Math"/>
                </w:rPr>
                <m:t>+</m:t>
              </m:r>
              <m:nary>
                <m:naryPr>
                  <m:chr m:val="∑"/>
                  <m:ctrlPr>
                    <w:rPr>
                      <w:rFonts w:ascii="Cambria Math" w:hAnsi="Cambria Math"/>
                    </w:rPr>
                  </m:ctrlPr>
                </m:naryPr>
                <m:sub>
                  <m:r>
                    <w:rPr>
                      <w:rFonts w:ascii="Cambria Math" w:hAnsi="Cambria Math"/>
                    </w:rPr>
                    <m:t>k=1</m:t>
                  </m:r>
                </m:sub>
                <m:sup>
                  <m:r>
                    <w:rPr>
                      <w:rFonts w:ascii="Cambria Math" w:hAnsi="Cambria Math"/>
                    </w:rPr>
                    <m:t>p</m:t>
                  </m:r>
                </m:sup>
                <m:e>
                  <m:sSubSup>
                    <m:sSubSupPr>
                      <m:ctrlPr>
                        <w:rPr>
                          <w:rFonts w:ascii="Cambria Math" w:hAnsi="Cambria Math"/>
                          <w:b/>
                          <w:bCs/>
                        </w:rPr>
                      </m:ctrlPr>
                    </m:sSubSupPr>
                    <m:e>
                      <m:r>
                        <m:rPr>
                          <m:sty m:val="bi"/>
                        </m:rPr>
                        <w:rPr>
                          <w:rFonts w:ascii="Cambria Math" w:hAnsi="Cambria Math"/>
                        </w:rPr>
                        <m:t>A</m:t>
                      </m:r>
                    </m:e>
                    <m:sub>
                      <m:r>
                        <m:rPr>
                          <m:sty m:val="bi"/>
                        </m:rPr>
                        <w:rPr>
                          <w:rFonts w:ascii="Cambria Math" w:hAnsi="Cambria Math"/>
                        </w:rPr>
                        <m:t>k</m:t>
                      </m:r>
                    </m:sub>
                    <m:sup>
                      <m:r>
                        <m:rPr>
                          <m:sty m:val="bi"/>
                        </m:rPr>
                        <w:rPr>
                          <w:rFonts w:ascii="Cambria Math" w:hAnsi="Cambria Math"/>
                        </w:rPr>
                        <m:t>'</m:t>
                      </m:r>
                    </m:sup>
                  </m:sSubSup>
                  <m:sSubSup>
                    <m:sSubSupPr>
                      <m:ctrlPr>
                        <w:rPr>
                          <w:rFonts w:ascii="Cambria Math" w:hAnsi="Cambria Math"/>
                          <w:b/>
                          <w:bCs/>
                        </w:rPr>
                      </m:ctrlPr>
                    </m:sSubSupPr>
                    <m:e>
                      <m:r>
                        <m:rPr>
                          <m:sty m:val="bi"/>
                        </m:rPr>
                        <w:rPr>
                          <w:rFonts w:ascii="Cambria Math" w:hAnsi="Cambria Math"/>
                        </w:rPr>
                        <m:t>ϵ</m:t>
                      </m:r>
                    </m:e>
                    <m:sub>
                      <m:r>
                        <m:rPr>
                          <m:sty m:val="bi"/>
                        </m:rPr>
                        <w:rPr>
                          <w:rFonts w:ascii="Cambria Math" w:hAnsi="Cambria Math"/>
                        </w:rPr>
                        <m:t>t-k</m:t>
                      </m:r>
                    </m:sub>
                    <m:sup>
                      <m:r>
                        <m:rPr>
                          <m:sty m:val="bi"/>
                        </m:rPr>
                        <w:rPr>
                          <w:rFonts w:ascii="Cambria Math" w:hAnsi="Cambria Math"/>
                        </w:rPr>
                        <m:t xml:space="preserve"> </m:t>
                      </m:r>
                    </m:sup>
                  </m:sSubSup>
                  <m:sSubSup>
                    <m:sSubSupPr>
                      <m:ctrlPr>
                        <w:rPr>
                          <w:rFonts w:ascii="Cambria Math" w:hAnsi="Cambria Math"/>
                          <w:b/>
                          <w:bCs/>
                        </w:rPr>
                      </m:ctrlPr>
                    </m:sSubSupPr>
                    <m:e>
                      <m:r>
                        <m:rPr>
                          <m:sty m:val="bi"/>
                        </m:rPr>
                        <w:rPr>
                          <w:rFonts w:ascii="Cambria Math" w:hAnsi="Cambria Math"/>
                        </w:rPr>
                        <m:t>ϵ</m:t>
                      </m:r>
                    </m:e>
                    <m:sub>
                      <m:r>
                        <m:rPr>
                          <m:sty m:val="bi"/>
                        </m:rPr>
                        <w:rPr>
                          <w:rFonts w:ascii="Cambria Math" w:hAnsi="Cambria Math"/>
                        </w:rPr>
                        <m:t>t-k</m:t>
                      </m:r>
                    </m:sub>
                    <m:sup>
                      <m:r>
                        <m:rPr>
                          <m:sty m:val="bi"/>
                        </m:rPr>
                        <w:rPr>
                          <w:rFonts w:ascii="Cambria Math" w:hAnsi="Cambria Math"/>
                        </w:rPr>
                        <m:t>'</m:t>
                      </m:r>
                    </m:sup>
                  </m:sSubSup>
                  <m:sSubSup>
                    <m:sSubSupPr>
                      <m:ctrlPr>
                        <w:rPr>
                          <w:rFonts w:ascii="Cambria Math" w:hAnsi="Cambria Math"/>
                          <w:b/>
                          <w:bCs/>
                        </w:rPr>
                      </m:ctrlPr>
                    </m:sSubSupPr>
                    <m:e>
                      <m:r>
                        <m:rPr>
                          <m:sty m:val="bi"/>
                        </m:rPr>
                        <w:rPr>
                          <w:rFonts w:ascii="Cambria Math" w:hAnsi="Cambria Math"/>
                        </w:rPr>
                        <m:t>A</m:t>
                      </m:r>
                    </m:e>
                    <m:sub>
                      <m:r>
                        <m:rPr>
                          <m:sty m:val="bi"/>
                        </m:rPr>
                        <w:rPr>
                          <w:rFonts w:ascii="Cambria Math" w:hAnsi="Cambria Math"/>
                        </w:rPr>
                        <m:t>k</m:t>
                      </m:r>
                    </m:sub>
                    <m:sup>
                      <m:r>
                        <m:rPr>
                          <m:sty m:val="bi"/>
                        </m:rPr>
                        <w:rPr>
                          <w:rFonts w:ascii="Cambria Math" w:hAnsi="Cambria Math"/>
                        </w:rPr>
                        <m:t xml:space="preserve"> </m:t>
                      </m:r>
                    </m:sup>
                  </m:sSubSup>
                </m:e>
              </m:nary>
              <m:r>
                <w:rPr>
                  <w:rFonts w:ascii="Cambria Math" w:hAnsi="Cambria Math"/>
                </w:rPr>
                <m:t>+</m:t>
              </m:r>
              <m:sSub>
                <m:sSubPr>
                  <m:ctrlPr>
                    <w:rPr>
                      <w:rFonts w:ascii="Cambria Math" w:hAnsi="Cambria Math"/>
                    </w:rPr>
                  </m:ctrlPr>
                </m:sSubPr>
                <m:e>
                  <m:nary>
                    <m:naryPr>
                      <m:chr m:val="∑"/>
                      <m:ctrlPr>
                        <w:rPr>
                          <w:rFonts w:ascii="Cambria Math" w:hAnsi="Cambria Math"/>
                        </w:rPr>
                      </m:ctrlPr>
                    </m:naryPr>
                    <m:sub>
                      <m:r>
                        <w:rPr>
                          <w:rFonts w:ascii="Cambria Math" w:hAnsi="Cambria Math"/>
                        </w:rPr>
                        <m:t>l=1</m:t>
                      </m:r>
                    </m:sub>
                    <m:sup>
                      <m:r>
                        <w:rPr>
                          <w:rFonts w:ascii="Cambria Math" w:hAnsi="Cambria Math"/>
                        </w:rPr>
                        <m:t>q</m:t>
                      </m:r>
                    </m:sup>
                    <m:e>
                      <m:sSubSup>
                        <m:sSubSupPr>
                          <m:ctrlPr>
                            <w:rPr>
                              <w:rFonts w:ascii="Cambria Math" w:hAnsi="Cambria Math"/>
                              <w:b/>
                              <w:bCs/>
                            </w:rPr>
                          </m:ctrlPr>
                        </m:sSubSupPr>
                        <m:e>
                          <m:r>
                            <m:rPr>
                              <m:sty m:val="bi"/>
                            </m:rPr>
                            <w:rPr>
                              <w:rFonts w:ascii="Cambria Math" w:hAnsi="Cambria Math"/>
                            </w:rPr>
                            <m:t>B</m:t>
                          </m:r>
                        </m:e>
                        <m:sub>
                          <m:r>
                            <m:rPr>
                              <m:sty m:val="bi"/>
                            </m:rPr>
                            <w:rPr>
                              <w:rFonts w:ascii="Cambria Math" w:hAnsi="Cambria Math"/>
                            </w:rPr>
                            <m:t>l</m:t>
                          </m:r>
                        </m:sub>
                        <m:sup>
                          <m:r>
                            <m:rPr>
                              <m:sty m:val="bi"/>
                            </m:rPr>
                            <w:rPr>
                              <w:rFonts w:ascii="Cambria Math" w:hAnsi="Cambria Math"/>
                            </w:rPr>
                            <m:t>'</m:t>
                          </m:r>
                        </m:sup>
                      </m:sSubSup>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t-l</m:t>
                          </m:r>
                        </m:sub>
                      </m:sSub>
                      <m:sSubSup>
                        <m:sSubSupPr>
                          <m:ctrlPr>
                            <w:rPr>
                              <w:rFonts w:ascii="Cambria Math" w:hAnsi="Cambria Math"/>
                              <w:b/>
                              <w:bCs/>
                            </w:rPr>
                          </m:ctrlPr>
                        </m:sSubSupPr>
                        <m:e>
                          <m:r>
                            <m:rPr>
                              <m:sty m:val="bi"/>
                            </m:rPr>
                            <w:rPr>
                              <w:rFonts w:ascii="Cambria Math" w:hAnsi="Cambria Math"/>
                            </w:rPr>
                            <m:t>B</m:t>
                          </m:r>
                        </m:e>
                        <m:sub>
                          <m:r>
                            <m:rPr>
                              <m:sty m:val="bi"/>
                            </m:rPr>
                            <w:rPr>
                              <w:rFonts w:ascii="Cambria Math" w:hAnsi="Cambria Math"/>
                            </w:rPr>
                            <m:t>l</m:t>
                          </m:r>
                        </m:sub>
                        <m:sup>
                          <m:r>
                            <m:rPr>
                              <m:sty m:val="bi"/>
                            </m:rPr>
                            <w:rPr>
                              <w:rFonts w:ascii="Cambria Math" w:hAnsi="Cambria Math"/>
                            </w:rPr>
                            <m:t xml:space="preserve"> </m:t>
                          </m:r>
                        </m:sup>
                      </m:sSubSup>
                    </m:e>
                  </m:nary>
                </m:e>
                <m:sub>
                  <m:r>
                    <w:rPr>
                      <w:rFonts w:ascii="Cambria Math" w:hAnsi="Cambria Math"/>
                    </w:rPr>
                    <m:t xml:space="preserve"> </m:t>
                  </m:r>
                </m:sub>
              </m:sSub>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6</m:t>
                  </m:r>
                </m:e>
              </m:d>
              <m:ctrlPr>
                <w:rPr>
                  <w:rFonts w:ascii="Cambria Math" w:hAnsi="Cambria Math"/>
                  <w:b/>
                  <w:bCs/>
                  <w:i/>
                </w:rPr>
              </m:ctrlPr>
            </m:e>
          </m:eqArr>
        </m:oMath>
      </m:oMathPara>
    </w:p>
    <w:p w14:paraId="49C1DD91" w14:textId="1B5996C5" w:rsidR="00D640F1" w:rsidRDefault="00000000" w:rsidP="00D145BD">
      <w:pPr>
        <w:spacing w:after="240"/>
        <w:jc w:val="both"/>
      </w:pPr>
      <w:r>
        <w:t xml:space="preserve">where </w:t>
      </w:r>
      <m:oMath>
        <m:r>
          <m:rPr>
            <m:sty m:val="bi"/>
          </m:rPr>
          <w:rPr>
            <w:rFonts w:ascii="Cambria Math" w:hAnsi="Cambria Math"/>
          </w:rPr>
          <m:t>ω</m:t>
        </m:r>
      </m:oMath>
      <w:r>
        <w:t xml:space="preserve">, </w:t>
      </w:r>
      <m:oMath>
        <m:sSubSup>
          <m:sSubSupPr>
            <m:ctrlPr>
              <w:rPr>
                <w:rFonts w:ascii="Cambria Math" w:hAnsi="Cambria Math"/>
                <w:b/>
                <w:bCs/>
                <w:i/>
              </w:rPr>
            </m:ctrlPr>
          </m:sSubSupPr>
          <m:e>
            <m:r>
              <m:rPr>
                <m:sty m:val="bi"/>
              </m:rPr>
              <w:rPr>
                <w:rFonts w:ascii="Cambria Math" w:hAnsi="Cambria Math"/>
              </w:rPr>
              <m:t>A</m:t>
            </m:r>
          </m:e>
          <m:sub>
            <m:r>
              <m:rPr>
                <m:sty m:val="bi"/>
              </m:rPr>
              <w:rPr>
                <w:rFonts w:ascii="Cambria Math" w:hAnsi="Cambria Math"/>
              </w:rPr>
              <m:t>k</m:t>
            </m:r>
          </m:sub>
          <m:sup>
            <m:r>
              <m:rPr>
                <m:sty m:val="bi"/>
              </m:rPr>
              <w:rPr>
                <w:rFonts w:ascii="Cambria Math" w:hAnsi="Cambria Math"/>
              </w:rPr>
              <m:t xml:space="preserve"> </m:t>
            </m:r>
          </m:sup>
        </m:sSubSup>
      </m:oMath>
      <w:r>
        <w:t xml:space="preserve">, and </w:t>
      </w:r>
      <m:oMath>
        <m:sSubSup>
          <m:sSubSupPr>
            <m:ctrlPr>
              <w:rPr>
                <w:rFonts w:ascii="Cambria Math" w:hAnsi="Cambria Math"/>
                <w:b/>
                <w:bCs/>
              </w:rPr>
            </m:ctrlPr>
          </m:sSubSupPr>
          <m:e>
            <m:r>
              <m:rPr>
                <m:sty m:val="bi"/>
              </m:rPr>
              <w:rPr>
                <w:rFonts w:ascii="Cambria Math" w:hAnsi="Cambria Math"/>
              </w:rPr>
              <m:t>B</m:t>
            </m:r>
          </m:e>
          <m:sub>
            <m:r>
              <m:rPr>
                <m:sty m:val="bi"/>
              </m:rPr>
              <w:rPr>
                <w:rFonts w:ascii="Cambria Math" w:hAnsi="Cambria Math"/>
              </w:rPr>
              <m:t>l</m:t>
            </m:r>
          </m:sub>
          <m:sup>
            <m:r>
              <m:rPr>
                <m:sty m:val="bi"/>
              </m:rPr>
              <w:rPr>
                <w:rFonts w:ascii="Cambria Math" w:hAnsi="Cambria Math"/>
              </w:rPr>
              <m:t xml:space="preserve"> </m:t>
            </m:r>
          </m:sup>
        </m:sSubSup>
      </m:oMath>
      <w:r>
        <w:t xml:space="preserve"> are the </w:t>
      </w:r>
      <m:oMath>
        <m:r>
          <w:rPr>
            <w:rFonts w:ascii="Cambria Math" w:hAnsi="Cambria Math"/>
          </w:rPr>
          <m:t>N×N</m:t>
        </m:r>
      </m:oMath>
      <w:r>
        <w:t xml:space="preserve"> parameter matrices. The constant matrix </w:t>
      </w:r>
      <m:oMath>
        <m:r>
          <m:rPr>
            <m:sty m:val="bi"/>
          </m:rPr>
          <w:rPr>
            <w:rFonts w:ascii="Cambria Math" w:hAnsi="Cambria Math"/>
          </w:rPr>
          <m:t>ω</m:t>
        </m:r>
      </m:oMath>
      <w:r>
        <w:t xml:space="preserve"> is the lower triangular matrix, which contains parameters with the number of </w:t>
      </w:r>
      <m:oMath>
        <m:f>
          <m:fPr>
            <m:ctrlPr>
              <w:rPr>
                <w:rFonts w:ascii="Cambria Math" w:hAnsi="Cambria Math"/>
              </w:rPr>
            </m:ctrlPr>
          </m:fPr>
          <m:num>
            <m:r>
              <w:rPr>
                <w:rFonts w:ascii="Cambria Math" w:hAnsi="Cambria Math"/>
              </w:rPr>
              <m:t>N×(N+1)</m:t>
            </m:r>
          </m:num>
          <m:den>
            <m:r>
              <w:rPr>
                <w:rFonts w:ascii="Cambria Math" w:hAnsi="Cambria Math"/>
              </w:rPr>
              <m:t>2</m:t>
            </m:r>
          </m:den>
        </m:f>
      </m:oMath>
      <w:r>
        <w:t xml:space="preserve">. Similar to the diagonal VECH model, the diagonal BEKK model also has the diagonal form of </w:t>
      </w:r>
      <m:oMath>
        <m:sSubSup>
          <m:sSubSupPr>
            <m:ctrlPr>
              <w:rPr>
                <w:rFonts w:ascii="Cambria Math" w:hAnsi="Cambria Math"/>
                <w:b/>
                <w:bCs/>
              </w:rPr>
            </m:ctrlPr>
          </m:sSubSupPr>
          <m:e>
            <m:r>
              <m:rPr>
                <m:sty m:val="bi"/>
              </m:rPr>
              <w:rPr>
                <w:rFonts w:ascii="Cambria Math" w:hAnsi="Cambria Math"/>
              </w:rPr>
              <m:t>A</m:t>
            </m:r>
          </m:e>
          <m:sub>
            <m:r>
              <m:rPr>
                <m:sty m:val="bi"/>
              </m:rPr>
              <w:rPr>
                <w:rFonts w:ascii="Cambria Math" w:hAnsi="Cambria Math"/>
              </w:rPr>
              <m:t>k</m:t>
            </m:r>
          </m:sub>
          <m:sup>
            <m:r>
              <m:rPr>
                <m:sty m:val="bi"/>
              </m:rPr>
              <w:rPr>
                <w:rFonts w:ascii="Cambria Math" w:hAnsi="Cambria Math"/>
              </w:rPr>
              <m:t xml:space="preserve"> </m:t>
            </m:r>
          </m:sup>
        </m:sSubSup>
      </m:oMath>
      <w:r>
        <w:t xml:space="preserve"> and </w:t>
      </w:r>
      <m:oMath>
        <m:sSubSup>
          <m:sSubSupPr>
            <m:ctrlPr>
              <w:rPr>
                <w:rFonts w:ascii="Cambria Math" w:hAnsi="Cambria Math"/>
                <w:b/>
                <w:bCs/>
              </w:rPr>
            </m:ctrlPr>
          </m:sSubSupPr>
          <m:e>
            <m:r>
              <m:rPr>
                <m:sty m:val="bi"/>
              </m:rPr>
              <w:rPr>
                <w:rFonts w:ascii="Cambria Math" w:hAnsi="Cambria Math"/>
              </w:rPr>
              <m:t>B</m:t>
            </m:r>
          </m:e>
          <m:sub>
            <m:r>
              <m:rPr>
                <m:sty m:val="bi"/>
              </m:rPr>
              <w:rPr>
                <w:rFonts w:ascii="Cambria Math" w:hAnsi="Cambria Math"/>
              </w:rPr>
              <m:t>l</m:t>
            </m:r>
          </m:sub>
          <m:sup>
            <m:r>
              <m:rPr>
                <m:sty m:val="bi"/>
              </m:rPr>
              <w:rPr>
                <w:rFonts w:ascii="Cambria Math" w:hAnsi="Cambria Math"/>
              </w:rPr>
              <m:t xml:space="preserve"> </m:t>
            </m:r>
          </m:sup>
        </m:sSubSup>
      </m:oMath>
      <w:r w:rsidR="000F4AA4">
        <w:t xml:space="preserve">. As the </w:t>
      </w:r>
      <w:r w:rsidR="005A2F5F">
        <w:t>off-diagonal</w:t>
      </w:r>
      <w:r w:rsidR="000F4AA4" w:rsidRPr="00A8121A">
        <w:t xml:space="preserve"> elements are constrained to be zero</w:t>
      </w:r>
      <w:r w:rsidR="000F4AA4">
        <w:t xml:space="preserve">, </w:t>
      </w:r>
      <m:oMath>
        <m:sSubSup>
          <m:sSubSupPr>
            <m:ctrlPr>
              <w:rPr>
                <w:rFonts w:ascii="Cambria Math" w:hAnsi="Cambria Math"/>
                <w:b/>
                <w:bCs/>
              </w:rPr>
            </m:ctrlPr>
          </m:sSubSupPr>
          <m:e>
            <m:r>
              <m:rPr>
                <m:sty m:val="bi"/>
              </m:rPr>
              <w:rPr>
                <w:rFonts w:ascii="Cambria Math" w:hAnsi="Cambria Math"/>
              </w:rPr>
              <m:t>A</m:t>
            </m:r>
          </m:e>
          <m:sub>
            <m:r>
              <m:rPr>
                <m:sty m:val="bi"/>
              </m:rPr>
              <w:rPr>
                <w:rFonts w:ascii="Cambria Math" w:hAnsi="Cambria Math"/>
              </w:rPr>
              <m:t>k</m:t>
            </m:r>
          </m:sub>
          <m:sup>
            <m:r>
              <m:rPr>
                <m:sty m:val="bi"/>
              </m:rPr>
              <w:rPr>
                <w:rFonts w:ascii="Cambria Math" w:hAnsi="Cambria Math"/>
              </w:rPr>
              <m:t xml:space="preserve"> </m:t>
            </m:r>
          </m:sup>
        </m:sSubSup>
      </m:oMath>
      <w:r w:rsidR="000F4AA4">
        <w:t xml:space="preserve"> and </w:t>
      </w:r>
      <m:oMath>
        <m:sSubSup>
          <m:sSubSupPr>
            <m:ctrlPr>
              <w:rPr>
                <w:rFonts w:ascii="Cambria Math" w:hAnsi="Cambria Math"/>
                <w:b/>
                <w:bCs/>
              </w:rPr>
            </m:ctrlPr>
          </m:sSubSupPr>
          <m:e>
            <m:r>
              <m:rPr>
                <m:sty m:val="bi"/>
              </m:rPr>
              <w:rPr>
                <w:rFonts w:ascii="Cambria Math" w:hAnsi="Cambria Math"/>
              </w:rPr>
              <m:t>B</m:t>
            </m:r>
          </m:e>
          <m:sub>
            <m:r>
              <m:rPr>
                <m:sty m:val="bi"/>
              </m:rPr>
              <w:rPr>
                <w:rFonts w:ascii="Cambria Math" w:hAnsi="Cambria Math"/>
              </w:rPr>
              <m:t>l</m:t>
            </m:r>
          </m:sub>
          <m:sup>
            <m:r>
              <m:rPr>
                <m:sty m:val="bi"/>
              </m:rPr>
              <w:rPr>
                <w:rFonts w:ascii="Cambria Math" w:hAnsi="Cambria Math"/>
              </w:rPr>
              <m:t xml:space="preserve"> </m:t>
            </m:r>
          </m:sup>
        </m:sSubSup>
      </m:oMath>
      <w:r>
        <w:t xml:space="preserve"> contains </w:t>
      </w:r>
      <w:r w:rsidR="009E310F">
        <w:t>an</w:t>
      </w:r>
      <w:r>
        <w:t xml:space="preserve"> equal number of estimated parameters of </w:t>
      </w:r>
      <m:oMath>
        <m:r>
          <w:rPr>
            <w:rFonts w:ascii="Cambria Math" w:hAnsi="Cambria Math"/>
          </w:rPr>
          <m:t>N</m:t>
        </m:r>
      </m:oMath>
      <w:r>
        <w:t xml:space="preserve">. </w:t>
      </w:r>
      <w:r w:rsidR="00142DFB">
        <w:t>As a result, t</w:t>
      </w:r>
      <w:r>
        <w:t xml:space="preserve">he total number of estimated parameters is </w:t>
      </w:r>
      <m:oMath>
        <m:r>
          <w:rPr>
            <w:rFonts w:ascii="Cambria Math" w:hAnsi="Cambria Math"/>
          </w:rPr>
          <m:t>(p+q)×N+</m:t>
        </m:r>
        <m:f>
          <m:fPr>
            <m:ctrlPr>
              <w:rPr>
                <w:rFonts w:ascii="Cambria Math" w:hAnsi="Cambria Math"/>
              </w:rPr>
            </m:ctrlPr>
          </m:fPr>
          <m:num>
            <m:r>
              <w:rPr>
                <w:rFonts w:ascii="Cambria Math" w:hAnsi="Cambria Math"/>
              </w:rPr>
              <m:t>N×(N+1)</m:t>
            </m:r>
          </m:num>
          <m:den>
            <m:r>
              <w:rPr>
                <w:rFonts w:ascii="Cambria Math" w:hAnsi="Cambria Math"/>
              </w:rPr>
              <m:t>2</m:t>
            </m:r>
          </m:den>
        </m:f>
      </m:oMath>
      <w:r>
        <w:t>. For example, the number of estimated parameters of 3 commodities using BEKK</w:t>
      </w:r>
      <w:r w:rsidR="00275965">
        <w:t xml:space="preserve"> </w:t>
      </w:r>
      <m:oMath>
        <m:r>
          <w:rPr>
            <w:rFonts w:ascii="Cambria Math" w:hAnsi="Cambria Math"/>
          </w:rPr>
          <m:t>(1, 1)</m:t>
        </m:r>
      </m:oMath>
      <w:r>
        <w:t xml:space="preserve"> is </w:t>
      </w:r>
      <m:oMath>
        <m:r>
          <w:rPr>
            <w:rFonts w:ascii="Cambria Math" w:hAnsi="Cambria Math"/>
          </w:rPr>
          <m:t>(1+1)×3+</m:t>
        </m:r>
        <m:f>
          <m:fPr>
            <m:ctrlPr>
              <w:rPr>
                <w:rFonts w:ascii="Cambria Math" w:hAnsi="Cambria Math"/>
              </w:rPr>
            </m:ctrlPr>
          </m:fPr>
          <m:num>
            <m:r>
              <w:rPr>
                <w:rFonts w:ascii="Cambria Math" w:hAnsi="Cambria Math"/>
              </w:rPr>
              <m:t>3×(3+1)</m:t>
            </m:r>
          </m:num>
          <m:den>
            <m:r>
              <w:rPr>
                <w:rFonts w:ascii="Cambria Math" w:hAnsi="Cambria Math"/>
              </w:rPr>
              <m:t>2</m:t>
            </m:r>
          </m:den>
        </m:f>
        <m:r>
          <w:rPr>
            <w:rFonts w:ascii="Cambria Math" w:hAnsi="Cambria Math"/>
          </w:rPr>
          <m:t>=12</m:t>
        </m:r>
      </m:oMath>
      <w:r>
        <w:t>.</w:t>
      </w:r>
    </w:p>
    <w:p w14:paraId="2D5DEBC1" w14:textId="0D00BB96" w:rsidR="00D640F1" w:rsidRDefault="00000000" w:rsidP="00D145BD">
      <w:pPr>
        <w:pStyle w:val="Heading3"/>
        <w:jc w:val="both"/>
      </w:pPr>
      <w:r>
        <w:t>3.</w:t>
      </w:r>
      <w:r w:rsidR="00E33380">
        <w:t>3</w:t>
      </w:r>
      <w:r>
        <w:t>.</w:t>
      </w:r>
      <w:r w:rsidR="00E33380">
        <w:t>3</w:t>
      </w:r>
      <w:r>
        <w:t xml:space="preserve"> CCC</w:t>
      </w:r>
    </w:p>
    <w:p w14:paraId="072A0A0F" w14:textId="797C6550" w:rsidR="00D640F1" w:rsidRDefault="00000000" w:rsidP="00D145BD">
      <w:pPr>
        <w:spacing w:after="240"/>
        <w:jc w:val="both"/>
      </w:pPr>
      <w:r>
        <w:t xml:space="preserve">The CCC model is the constant conditional correlation model where the conditional correlation is assumed to be constant while the conditional variances are time-varying </w:t>
      </w:r>
      <w:r w:rsidR="00B0055A">
        <w:fldChar w:fldCharType="begin"/>
      </w:r>
      <w:r w:rsidR="00B0055A">
        <w:instrText xml:space="preserve"> ADDIN ZOTERO_ITEM CSL_CITATION {"citationID":"OlodtdBC","properties":{"formattedCitation":"(Bollerslev, 1990)","plainCitation":"(Bollerslev, 1990)","noteIndex":0},"citationItems":[{"id":154,"uris":["http://zotero.org/users/13925666/items/S3LKFVUV"],"itemData":{"id":154,"type":"article-journal","container-title":"The review of economics and statistics","note":"publisher: JSTOR","page":"498–505","source":"Google Scholar","title":"Modelling the coherence in short-run nominal exchange rates: a multivariate generalized ARCH model","title-short":"Modelling the coherence in short-run nominal exchange rates","author":[{"family":"Bollerslev","given":"Tim"}],"issued":{"date-parts":[["1990"]]}}}],"schema":"https://github.com/citation-style-language/schema/raw/master/csl-citation.json"} </w:instrText>
      </w:r>
      <w:r w:rsidR="00B0055A">
        <w:fldChar w:fldCharType="separate"/>
      </w:r>
      <w:r w:rsidR="00B0055A" w:rsidRPr="00B0055A">
        <w:t>(Bollerslev, 1990)</w:t>
      </w:r>
      <w:r w:rsidR="00B0055A">
        <w:fldChar w:fldCharType="end"/>
      </w:r>
      <w:r>
        <w:t xml:space="preserve">. The CCC model uses the univariate GARCH to get the conditional variance, the variance equation is </w:t>
      </w:r>
      <w:r w:rsidR="00E74106">
        <w:t xml:space="preserve">defined </w:t>
      </w:r>
      <w:r>
        <w:t>as follows:</w:t>
      </w:r>
      <w:r w:rsidR="00CC1A6B">
        <w:t xml:space="preserve"> </w:t>
      </w:r>
    </w:p>
    <w:p w14:paraId="72D084BD" w14:textId="211669EE" w:rsidR="00D640F1" w:rsidRPr="006F61E1" w:rsidRDefault="00000000" w:rsidP="00D145BD">
      <w:pPr>
        <w:spacing w:after="240"/>
        <w:ind w:left="360"/>
        <w:jc w:val="center"/>
      </w:pP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h</m:t>
                  </m:r>
                </m:e>
                <m:sub>
                  <m:r>
                    <w:rPr>
                      <w:rFonts w:ascii="Cambria Math" w:hAnsi="Cambria Math"/>
                    </w:rPr>
                    <m:t>i,t</m:t>
                  </m:r>
                </m:sub>
                <m:sup>
                  <m:r>
                    <w:rPr>
                      <w:rFonts w:ascii="Cambria Math" w:hAnsi="Cambria Math"/>
                    </w:rPr>
                    <m:t xml:space="preserve"> </m:t>
                  </m:r>
                </m:sup>
              </m:sSubSup>
              <m: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i</m:t>
                  </m:r>
                </m:sub>
                <m:sup>
                  <m:r>
                    <w:rPr>
                      <w:rFonts w:ascii="Cambria Math" w:hAnsi="Cambria Math"/>
                    </w:rPr>
                    <m:t xml:space="preserve"> </m:t>
                  </m:r>
                </m:sup>
              </m:sSubSup>
              <m:r>
                <w:rPr>
                  <w:rFonts w:ascii="Cambria Math" w:hAnsi="Cambria Math"/>
                </w:rPr>
                <m:t>+</m:t>
              </m:r>
              <m:nary>
                <m:naryPr>
                  <m:chr m:val="∑"/>
                  <m:ctrlPr>
                    <w:rPr>
                      <w:rFonts w:ascii="Cambria Math" w:hAnsi="Cambria Math"/>
                    </w:rPr>
                  </m:ctrlPr>
                </m:naryPr>
                <m:sub>
                  <m:r>
                    <w:rPr>
                      <w:rFonts w:ascii="Cambria Math" w:hAnsi="Cambria Math"/>
                    </w:rPr>
                    <m:t>k=1</m:t>
                  </m:r>
                </m:sub>
                <m:sup>
                  <m:r>
                    <w:rPr>
                      <w:rFonts w:ascii="Cambria Math" w:hAnsi="Cambria Math"/>
                    </w:rPr>
                    <m:t>p</m:t>
                  </m:r>
                </m:sup>
                <m:e>
                  <m:sSub>
                    <m:sSubPr>
                      <m:ctrlPr>
                        <w:rPr>
                          <w:rFonts w:ascii="Cambria Math" w:hAnsi="Cambria Math"/>
                        </w:rPr>
                      </m:ctrlPr>
                    </m:sSubPr>
                    <m:e>
                      <m:r>
                        <w:rPr>
                          <w:rFonts w:ascii="Cambria Math" w:hAnsi="Cambria Math"/>
                        </w:rPr>
                        <m:t>a</m:t>
                      </m:r>
                    </m:e>
                    <m:sub>
                      <m:r>
                        <w:rPr>
                          <w:rFonts w:ascii="Cambria Math" w:hAnsi="Cambria Math"/>
                        </w:rPr>
                        <m:t>i,k</m:t>
                      </m:r>
                    </m:sub>
                  </m:sSub>
                  <m:sSubSup>
                    <m:sSubSupPr>
                      <m:ctrlPr>
                        <w:rPr>
                          <w:rFonts w:ascii="Cambria Math" w:hAnsi="Cambria Math"/>
                        </w:rPr>
                      </m:ctrlPr>
                    </m:sSubSupPr>
                    <m:e>
                      <m:r>
                        <w:rPr>
                          <w:rFonts w:ascii="Cambria Math" w:hAnsi="Cambria Math"/>
                        </w:rPr>
                        <m:t>ϵ</m:t>
                      </m:r>
                    </m:e>
                    <m:sub>
                      <m:r>
                        <w:rPr>
                          <w:rFonts w:ascii="Cambria Math" w:hAnsi="Cambria Math"/>
                        </w:rPr>
                        <m:t>i,t-k</m:t>
                      </m:r>
                    </m:sub>
                    <m:sup>
                      <m:r>
                        <w:rPr>
                          <w:rFonts w:ascii="Cambria Math" w:hAnsi="Cambria Math"/>
                        </w:rPr>
                        <m:t>2</m:t>
                      </m:r>
                    </m:sup>
                  </m:sSubSup>
                </m:e>
              </m:nary>
              <m:r>
                <w:rPr>
                  <w:rFonts w:ascii="Cambria Math" w:hAnsi="Cambria Math"/>
                </w:rPr>
                <m:t>+</m:t>
              </m:r>
              <m:sSub>
                <m:sSubPr>
                  <m:ctrlPr>
                    <w:rPr>
                      <w:rFonts w:ascii="Cambria Math" w:hAnsi="Cambria Math"/>
                    </w:rPr>
                  </m:ctrlPr>
                </m:sSubPr>
                <m:e>
                  <m:nary>
                    <m:naryPr>
                      <m:chr m:val="∑"/>
                      <m:ctrlPr>
                        <w:rPr>
                          <w:rFonts w:ascii="Cambria Math" w:hAnsi="Cambria Math"/>
                        </w:rPr>
                      </m:ctrlPr>
                    </m:naryPr>
                    <m:sub>
                      <m:r>
                        <w:rPr>
                          <w:rFonts w:ascii="Cambria Math" w:hAnsi="Cambria Math"/>
                        </w:rPr>
                        <m:t>l=1</m:t>
                      </m:r>
                    </m:sub>
                    <m:sup>
                      <m:r>
                        <w:rPr>
                          <w:rFonts w:ascii="Cambria Math" w:hAnsi="Cambria Math"/>
                        </w:rPr>
                        <m:t>q</m:t>
                      </m:r>
                    </m:sup>
                    <m:e>
                      <m:sSub>
                        <m:sSubPr>
                          <m:ctrlPr>
                            <w:rPr>
                              <w:rFonts w:ascii="Cambria Math" w:hAnsi="Cambria Math"/>
                            </w:rPr>
                          </m:ctrlPr>
                        </m:sSubPr>
                        <m:e>
                          <m:r>
                            <w:rPr>
                              <w:rFonts w:ascii="Cambria Math" w:hAnsi="Cambria Math"/>
                            </w:rPr>
                            <m:t>b</m:t>
                          </m:r>
                        </m:e>
                        <m:sub>
                          <m:r>
                            <w:rPr>
                              <w:rFonts w:ascii="Cambria Math" w:hAnsi="Cambria Math"/>
                            </w:rPr>
                            <m:t>i,l</m:t>
                          </m:r>
                        </m:sub>
                      </m:sSub>
                      <m:sSubSup>
                        <m:sSubSupPr>
                          <m:ctrlPr>
                            <w:rPr>
                              <w:rFonts w:ascii="Cambria Math" w:hAnsi="Cambria Math"/>
                            </w:rPr>
                          </m:ctrlPr>
                        </m:sSubSupPr>
                        <m:e>
                          <m:r>
                            <w:rPr>
                              <w:rFonts w:ascii="Cambria Math" w:hAnsi="Cambria Math"/>
                            </w:rPr>
                            <m:t>h</m:t>
                          </m:r>
                        </m:e>
                        <m:sub>
                          <m:r>
                            <w:rPr>
                              <w:rFonts w:ascii="Cambria Math" w:hAnsi="Cambria Math"/>
                            </w:rPr>
                            <m:t>i,t-l</m:t>
                          </m:r>
                        </m:sub>
                        <m:sup>
                          <m:r>
                            <w:rPr>
                              <w:rFonts w:ascii="Cambria Math" w:hAnsi="Cambria Math"/>
                            </w:rPr>
                            <m:t xml:space="preserve"> </m:t>
                          </m:r>
                        </m:sup>
                      </m:sSubSup>
                    </m:e>
                  </m:nary>
                </m:e>
                <m:sub>
                  <m:r>
                    <w:rPr>
                      <w:rFonts w:ascii="Cambria Math" w:hAnsi="Cambria Math"/>
                    </w:rPr>
                    <m:t xml:space="preserve"> </m:t>
                  </m:r>
                </m:sub>
              </m:sSub>
              <m:r>
                <w:rPr>
                  <w:rFonts w:ascii="Cambria Math" w:hAnsi="Cambria Math"/>
                </w:rPr>
                <m:t xml:space="preserve"> #</m:t>
              </m:r>
              <m:d>
                <m:dPr>
                  <m:ctrlPr>
                    <w:rPr>
                      <w:rFonts w:ascii="Cambria Math" w:hAnsi="Cambria Math"/>
                      <w:i/>
                    </w:rPr>
                  </m:ctrlPr>
                </m:dPr>
                <m:e>
                  <m:r>
                    <w:rPr>
                      <w:rFonts w:ascii="Cambria Math" w:hAnsi="Cambria Math"/>
                    </w:rPr>
                    <m:t>7</m:t>
                  </m:r>
                </m:e>
              </m:d>
            </m:e>
          </m:eqArr>
        </m:oMath>
      </m:oMathPara>
    </w:p>
    <w:p w14:paraId="448135B4" w14:textId="7B49B110" w:rsidR="00D640F1" w:rsidRDefault="00000000" w:rsidP="00D145BD">
      <w:pPr>
        <w:spacing w:after="240"/>
        <w:jc w:val="both"/>
      </w:pPr>
      <w:r>
        <w:t xml:space="preserve">where </w:t>
      </w:r>
      <m:oMath>
        <m:sSubSup>
          <m:sSubSupPr>
            <m:ctrlPr>
              <w:rPr>
                <w:rFonts w:ascii="Cambria Math" w:hAnsi="Cambria Math"/>
              </w:rPr>
            </m:ctrlPr>
          </m:sSubSupPr>
          <m:e>
            <m:r>
              <w:rPr>
                <w:rFonts w:ascii="Cambria Math" w:hAnsi="Cambria Math"/>
              </w:rPr>
              <m:t>h</m:t>
            </m:r>
          </m:e>
          <m:sub>
            <m:r>
              <w:rPr>
                <w:rFonts w:ascii="Cambria Math" w:hAnsi="Cambria Math"/>
              </w:rPr>
              <m:t>i,t</m:t>
            </m:r>
          </m:sub>
          <m:sup>
            <m:r>
              <w:rPr>
                <w:rFonts w:ascii="Cambria Math" w:hAnsi="Cambria Math"/>
              </w:rPr>
              <m:t xml:space="preserve"> </m:t>
            </m:r>
          </m:sup>
        </m:sSubSup>
      </m:oMath>
      <w:r>
        <w:t xml:space="preserve"> is the conditional variance of </w:t>
      </w:r>
      <w:r w:rsidR="00261B80">
        <w:t>each individual</w:t>
      </w:r>
      <w:r>
        <w:t xml:space="preserve"> commodity return at time </w:t>
      </w:r>
      <m:oMath>
        <m:r>
          <w:rPr>
            <w:rFonts w:ascii="Cambria Math" w:hAnsi="Cambria Math"/>
          </w:rPr>
          <m:t>t</m:t>
        </m:r>
      </m:oMath>
      <w:r>
        <w:t xml:space="preserve">, which is the expected volatility based on information available at previous times. In this variance equation, </w:t>
      </w:r>
      <m:oMath>
        <m:sSubSup>
          <m:sSubSupPr>
            <m:ctrlPr>
              <w:rPr>
                <w:rFonts w:ascii="Cambria Math" w:hAnsi="Cambria Math"/>
              </w:rPr>
            </m:ctrlPr>
          </m:sSubSupPr>
          <m:e>
            <m:r>
              <w:rPr>
                <w:rFonts w:ascii="Cambria Math" w:hAnsi="Cambria Math"/>
              </w:rPr>
              <m:t>ω</m:t>
            </m:r>
          </m:e>
          <m:sub>
            <m:r>
              <w:rPr>
                <w:rFonts w:ascii="Cambria Math" w:hAnsi="Cambria Math"/>
              </w:rPr>
              <m:t>i</m:t>
            </m:r>
          </m:sub>
          <m:sup>
            <m:r>
              <w:rPr>
                <w:rFonts w:ascii="Cambria Math" w:hAnsi="Cambria Math"/>
              </w:rPr>
              <m:t xml:space="preserve"> </m:t>
            </m:r>
          </m:sup>
        </m:sSubSup>
      </m:oMath>
      <w:r>
        <w:t xml:space="preserve"> ,</w:t>
      </w:r>
      <m:oMath>
        <m:sSub>
          <m:sSubPr>
            <m:ctrlPr>
              <w:rPr>
                <w:rFonts w:ascii="Cambria Math" w:hAnsi="Cambria Math"/>
              </w:rPr>
            </m:ctrlPr>
          </m:sSubPr>
          <m:e>
            <m:r>
              <w:rPr>
                <w:rFonts w:ascii="Cambria Math" w:hAnsi="Cambria Math"/>
              </w:rPr>
              <m:t>a</m:t>
            </m:r>
          </m:e>
          <m:sub>
            <m:r>
              <w:rPr>
                <w:rFonts w:ascii="Cambria Math" w:hAnsi="Cambria Math"/>
              </w:rPr>
              <m:t>i,k</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i,l</m:t>
            </m:r>
          </m:sub>
        </m:sSub>
      </m:oMath>
      <w:r>
        <w:t xml:space="preserve"> are the parameters to be estimated</w:t>
      </w:r>
      <w:r w:rsidR="008C58E2">
        <w:t xml:space="preserve"> based on each commodity </w:t>
      </w:r>
      <w:r w:rsidR="00C00A07">
        <w:t>return</w:t>
      </w:r>
      <w:r w:rsidR="008C58E2">
        <w:t xml:space="preserve"> </w:t>
      </w:r>
      <w:r w:rsidR="00AA19CE">
        <w:t>separately</w:t>
      </w:r>
      <w:r>
        <w:t xml:space="preserve">, where </w:t>
      </w:r>
      <m:oMath>
        <m:sSubSup>
          <m:sSubSupPr>
            <m:ctrlPr>
              <w:rPr>
                <w:rFonts w:ascii="Cambria Math" w:hAnsi="Cambria Math"/>
              </w:rPr>
            </m:ctrlPr>
          </m:sSubSupPr>
          <m:e>
            <m:r>
              <w:rPr>
                <w:rFonts w:ascii="Cambria Math" w:hAnsi="Cambria Math"/>
              </w:rPr>
              <m:t>ω</m:t>
            </m:r>
          </m:e>
          <m:sub>
            <m:r>
              <w:rPr>
                <w:rFonts w:ascii="Cambria Math" w:hAnsi="Cambria Math"/>
              </w:rPr>
              <m:t>i</m:t>
            </m:r>
          </m:sub>
          <m:sup>
            <m:r>
              <w:rPr>
                <w:rFonts w:ascii="Cambria Math" w:hAnsi="Cambria Math"/>
              </w:rPr>
              <m:t xml:space="preserve"> </m:t>
            </m:r>
          </m:sup>
        </m:sSubSup>
      </m:oMath>
      <w:r>
        <w:t xml:space="preserve"> measures the long-term average variance,</w:t>
      </w:r>
      <w:r w:rsidR="0026382E">
        <w:t xml:space="preserve"> </w:t>
      </w:r>
      <m:oMath>
        <m:sSub>
          <m:sSubPr>
            <m:ctrlPr>
              <w:rPr>
                <w:rFonts w:ascii="Cambria Math" w:hAnsi="Cambria Math"/>
              </w:rPr>
            </m:ctrlPr>
          </m:sSubPr>
          <m:e>
            <m:r>
              <w:rPr>
                <w:rFonts w:ascii="Cambria Math" w:hAnsi="Cambria Math"/>
              </w:rPr>
              <m:t>a</m:t>
            </m:r>
          </m:e>
          <m:sub>
            <m:r>
              <w:rPr>
                <w:rFonts w:ascii="Cambria Math" w:hAnsi="Cambria Math"/>
              </w:rPr>
              <m:t>i,k</m:t>
            </m:r>
          </m:sub>
        </m:sSub>
      </m:oMath>
      <w:r>
        <w:t xml:space="preserve"> captures the effect of lagged past shocks, and </w:t>
      </w:r>
      <m:oMath>
        <m:sSub>
          <m:sSubPr>
            <m:ctrlPr>
              <w:rPr>
                <w:rFonts w:ascii="Cambria Math" w:hAnsi="Cambria Math"/>
              </w:rPr>
            </m:ctrlPr>
          </m:sSubPr>
          <m:e>
            <m:r>
              <w:rPr>
                <w:rFonts w:ascii="Cambria Math" w:hAnsi="Cambria Math"/>
              </w:rPr>
              <m:t>b</m:t>
            </m:r>
          </m:e>
          <m:sub>
            <m:r>
              <w:rPr>
                <w:rFonts w:ascii="Cambria Math" w:hAnsi="Cambria Math"/>
              </w:rPr>
              <m:t>i,l</m:t>
            </m:r>
          </m:sub>
        </m:sSub>
      </m:oMath>
      <w:r w:rsidR="008012CC">
        <w:t xml:space="preserve"> </w:t>
      </w:r>
      <w:r>
        <w:t xml:space="preserve">reflects the persistence of past conditional variances. </w:t>
      </w:r>
      <m:oMath>
        <m:sSubSup>
          <m:sSubSupPr>
            <m:ctrlPr>
              <w:rPr>
                <w:rFonts w:ascii="Cambria Math" w:hAnsi="Cambria Math"/>
              </w:rPr>
            </m:ctrlPr>
          </m:sSubSupPr>
          <m:e>
            <m:r>
              <w:rPr>
                <w:rFonts w:ascii="Cambria Math" w:hAnsi="Cambria Math"/>
              </w:rPr>
              <m:t>ϵ</m:t>
            </m:r>
          </m:e>
          <m:sub>
            <m:r>
              <w:rPr>
                <w:rFonts w:ascii="Cambria Math" w:hAnsi="Cambria Math"/>
              </w:rPr>
              <m:t>i,t-k</m:t>
            </m:r>
          </m:sub>
          <m:sup>
            <m:r>
              <w:rPr>
                <w:rFonts w:ascii="Cambria Math" w:hAnsi="Cambria Math"/>
              </w:rPr>
              <m:t>2</m:t>
            </m:r>
          </m:sup>
        </m:sSubSup>
      </m:oMath>
      <w:r>
        <w:t xml:space="preserve">  are the squared innovation at time </w:t>
      </w:r>
      <m:oMath>
        <m:r>
          <w:rPr>
            <w:rFonts w:ascii="Cambria Math" w:hAnsi="Cambria Math"/>
          </w:rPr>
          <m:t>t-k</m:t>
        </m:r>
      </m:oMath>
      <w:r>
        <w:t xml:space="preserve">. </w:t>
      </w:r>
      <w:r w:rsidR="00F407A6">
        <w:t>Based on the conditional variance equation</w:t>
      </w:r>
      <w:r w:rsidR="00DB3874">
        <w:t xml:space="preserve"> (7)</w:t>
      </w:r>
      <w:r w:rsidR="00F407A6">
        <w:t xml:space="preserve">, the </w:t>
      </w:r>
      <w:r w:rsidR="0036312E">
        <w:t>conditional</w:t>
      </w:r>
      <w:r w:rsidR="00F407A6">
        <w:t xml:space="preserve"> covariance equation</w:t>
      </w:r>
      <w:r w:rsidR="004E6951">
        <w:t xml:space="preserve"> (8)</w:t>
      </w:r>
      <w:r w:rsidR="009C3396">
        <w:t xml:space="preserve"> and the combination of </w:t>
      </w:r>
      <w:r w:rsidR="00AC4760">
        <w:t xml:space="preserve">the </w:t>
      </w:r>
      <w:r w:rsidR="00C518C9">
        <w:t>variance-</w:t>
      </w:r>
      <w:r w:rsidR="00154DB3">
        <w:t>covariance</w:t>
      </w:r>
      <w:r w:rsidR="00C518C9">
        <w:t xml:space="preserve"> equation</w:t>
      </w:r>
      <w:r w:rsidR="006F088B">
        <w:t xml:space="preserve"> (10)</w:t>
      </w:r>
      <w:r w:rsidR="00C518C9">
        <w:t xml:space="preserve"> </w:t>
      </w:r>
      <w:r w:rsidR="006D3407">
        <w:t>are</w:t>
      </w:r>
      <w:r w:rsidR="00F407A6">
        <w:t xml:space="preserve"> defined as follows: </w:t>
      </w:r>
    </w:p>
    <w:p w14:paraId="1CB2AAEE" w14:textId="77777777" w:rsidR="0075367D" w:rsidRPr="00A958F0" w:rsidRDefault="00000000" w:rsidP="00D145BD">
      <w:pPr>
        <w:spacing w:after="240"/>
        <w:ind w:left="360"/>
        <w:jc w:val="center"/>
      </w:pP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h</m:t>
                  </m:r>
                </m:e>
                <m:sub>
                  <m:r>
                    <w:rPr>
                      <w:rFonts w:ascii="Cambria Math" w:hAnsi="Cambria Math"/>
                    </w:rPr>
                    <m:t>ij,t</m:t>
                  </m:r>
                </m:sub>
                <m:sup>
                  <m:r>
                    <w:rPr>
                      <w:rFonts w:ascii="Cambria Math" w:hAnsi="Cambria Math"/>
                    </w:rPr>
                    <m:t xml:space="preserve"> </m:t>
                  </m:r>
                </m:sup>
              </m:sSubSup>
              <m: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ij</m:t>
                  </m:r>
                </m:sub>
                <m:sup>
                  <m:r>
                    <w:rPr>
                      <w:rFonts w:ascii="Cambria Math" w:hAnsi="Cambria Math"/>
                    </w:rPr>
                    <m:t xml:space="preserve"> </m:t>
                  </m:r>
                </m:sup>
              </m:sSubSup>
              <m:rad>
                <m:radPr>
                  <m:degHide m:val="1"/>
                  <m:ctrlPr>
                    <w:rPr>
                      <w:rFonts w:ascii="Cambria Math" w:hAnsi="Cambria Math"/>
                    </w:rPr>
                  </m:ctrlPr>
                </m:radPr>
                <m:deg/>
                <m:e>
                  <m:sSubSup>
                    <m:sSubSupPr>
                      <m:ctrlPr>
                        <w:rPr>
                          <w:rFonts w:ascii="Cambria Math" w:hAnsi="Cambria Math"/>
                        </w:rPr>
                      </m:ctrlPr>
                    </m:sSubSupPr>
                    <m:e>
                      <m:sSubSup>
                        <m:sSubSupPr>
                          <m:ctrlPr>
                            <w:rPr>
                              <w:rFonts w:ascii="Cambria Math" w:hAnsi="Cambria Math"/>
                            </w:rPr>
                          </m:ctrlPr>
                        </m:sSubSupPr>
                        <m:e>
                          <m:r>
                            <w:rPr>
                              <w:rFonts w:ascii="Cambria Math" w:hAnsi="Cambria Math"/>
                            </w:rPr>
                            <m:t>h</m:t>
                          </m:r>
                        </m:e>
                        <m:sub>
                          <m:r>
                            <w:rPr>
                              <w:rFonts w:ascii="Cambria Math" w:hAnsi="Cambria Math"/>
                            </w:rPr>
                            <m:t>i,t</m:t>
                          </m:r>
                        </m:sub>
                        <m:sup>
                          <m:r>
                            <w:rPr>
                              <w:rFonts w:ascii="Cambria Math" w:hAnsi="Cambria Math"/>
                            </w:rPr>
                            <m:t xml:space="preserve"> </m:t>
                          </m:r>
                        </m:sup>
                      </m:sSubSup>
                      <m:r>
                        <w:rPr>
                          <w:rFonts w:ascii="Cambria Math" w:hAnsi="Cambria Math"/>
                        </w:rPr>
                        <m:t>×h</m:t>
                      </m:r>
                    </m:e>
                    <m:sub>
                      <m:r>
                        <w:rPr>
                          <w:rFonts w:ascii="Cambria Math" w:hAnsi="Cambria Math"/>
                        </w:rPr>
                        <m:t>j,t</m:t>
                      </m:r>
                    </m:sub>
                    <m:sup>
                      <m:r>
                        <w:rPr>
                          <w:rFonts w:ascii="Cambria Math" w:hAnsi="Cambria Math"/>
                        </w:rPr>
                        <m:t xml:space="preserve"> </m:t>
                      </m:r>
                    </m:sup>
                  </m:sSubSup>
                </m:e>
              </m:rad>
              <m:r>
                <w:rPr>
                  <w:rFonts w:ascii="Cambria Math" w:hAnsi="Cambria Math"/>
                </w:rPr>
                <m:t xml:space="preserve"> #</m:t>
              </m:r>
              <m:d>
                <m:dPr>
                  <m:ctrlPr>
                    <w:rPr>
                      <w:rFonts w:ascii="Cambria Math" w:hAnsi="Cambria Math"/>
                      <w:i/>
                    </w:rPr>
                  </m:ctrlPr>
                </m:dPr>
                <m:e>
                  <m:r>
                    <w:rPr>
                      <w:rFonts w:ascii="Cambria Math" w:hAnsi="Cambria Math"/>
                    </w:rPr>
                    <m:t>8</m:t>
                  </m:r>
                </m:e>
              </m:d>
            </m:e>
          </m:eqArr>
        </m:oMath>
      </m:oMathPara>
    </w:p>
    <w:p w14:paraId="5CB34DF5" w14:textId="1686FDE3" w:rsidR="00A958F0" w:rsidRPr="00A958F0" w:rsidRDefault="00000000" w:rsidP="00D145BD">
      <w:pPr>
        <w:spacing w:after="240"/>
        <w:ind w:left="360"/>
        <w:jc w:val="center"/>
      </w:pPr>
      <m:oMathPara>
        <m:oMath>
          <m:eqArr>
            <m:eqArrPr>
              <m:maxDist m:val="1"/>
              <m:ctrlPr>
                <w:rPr>
                  <w:rFonts w:ascii="Cambria Math" w:hAnsi="Cambria Math"/>
                  <w:i/>
                </w:rPr>
              </m:ctrlPr>
            </m:eqArrPr>
            <m:e>
              <m:sSubSup>
                <m:sSubSupPr>
                  <m:ctrlPr>
                    <w:rPr>
                      <w:rFonts w:ascii="Cambria Math" w:hAnsi="Cambria Math"/>
                      <w:b/>
                      <w:bCs/>
                    </w:rPr>
                  </m:ctrlPr>
                </m:sSubSupPr>
                <m:e>
                  <m:r>
                    <m:rPr>
                      <m:sty m:val="bi"/>
                    </m:rPr>
                    <w:rPr>
                      <w:rFonts w:ascii="Cambria Math" w:hAnsi="Cambria Math"/>
                    </w:rPr>
                    <m:t>D</m:t>
                  </m:r>
                </m:e>
                <m:sub>
                  <m:r>
                    <m:rPr>
                      <m:sty m:val="bi"/>
                    </m:rPr>
                    <w:rPr>
                      <w:rFonts w:ascii="Cambria Math" w:hAnsi="Cambria Math"/>
                    </w:rPr>
                    <m:t>t</m:t>
                  </m:r>
                </m:sub>
                <m:sup>
                  <m:r>
                    <m:rPr>
                      <m:sty m:val="bi"/>
                    </m:rPr>
                    <w:rPr>
                      <w:rFonts w:ascii="Cambria Math" w:hAnsi="Cambria Math"/>
                    </w:rPr>
                    <m:t xml:space="preserve"> </m:t>
                  </m:r>
                </m:sup>
              </m:sSubSup>
              <m:r>
                <w:rPr>
                  <w:rFonts w:ascii="Cambria Math" w:hAnsi="Cambria Math"/>
                </w:rPr>
                <m:t>=diag</m:t>
              </m:r>
              <m:d>
                <m:dPr>
                  <m:begChr m:val="{"/>
                  <m:endChr m:val="}"/>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h</m:t>
                          </m:r>
                        </m:e>
                        <m:sub>
                          <m:r>
                            <w:rPr>
                              <w:rFonts w:ascii="Cambria Math" w:hAnsi="Cambria Math"/>
                            </w:rPr>
                            <m:t>i,t</m:t>
                          </m:r>
                        </m:sub>
                        <m:sup>
                          <m:r>
                            <w:rPr>
                              <w:rFonts w:ascii="Cambria Math" w:hAnsi="Cambria Math"/>
                            </w:rPr>
                            <m:t xml:space="preserve"> </m:t>
                          </m:r>
                        </m:sup>
                      </m:sSubSup>
                    </m:e>
                  </m:rad>
                </m:e>
              </m:d>
              <m:r>
                <w:rPr>
                  <w:rFonts w:ascii="Cambria Math" w:hAnsi="Cambria Math"/>
                </w:rPr>
                <m:t xml:space="preserve"> #</m:t>
              </m:r>
              <m:d>
                <m:dPr>
                  <m:ctrlPr>
                    <w:rPr>
                      <w:rFonts w:ascii="Cambria Math" w:hAnsi="Cambria Math"/>
                      <w:i/>
                    </w:rPr>
                  </m:ctrlPr>
                </m:dPr>
                <m:e>
                  <m:r>
                    <w:rPr>
                      <w:rFonts w:ascii="Cambria Math" w:hAnsi="Cambria Math"/>
                    </w:rPr>
                    <m:t>9</m:t>
                  </m:r>
                </m:e>
              </m:d>
            </m:e>
          </m:eqArr>
        </m:oMath>
      </m:oMathPara>
    </w:p>
    <w:p w14:paraId="1B92602D" w14:textId="6CF4E3F8" w:rsidR="00D640F1" w:rsidRPr="002678B6" w:rsidRDefault="00000000" w:rsidP="00D145BD">
      <w:pPr>
        <w:spacing w:after="240"/>
        <w:ind w:left="360"/>
        <w:jc w:val="center"/>
        <w:rPr>
          <w:b/>
          <w:bCs/>
        </w:rPr>
      </w:pPr>
      <m:oMathPara>
        <m:oMath>
          <m:eqArr>
            <m:eqArrPr>
              <m:maxDist m:val="1"/>
              <m:ctrlPr>
                <w:rPr>
                  <w:rFonts w:ascii="Cambria Math" w:hAnsi="Cambria Math"/>
                  <w:b/>
                  <w:bCs/>
                  <w:i/>
                </w:rPr>
              </m:ctrlPr>
            </m:eqArrPr>
            <m:e>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r>
                <w:rPr>
                  <w:rFonts w:ascii="Cambria Math" w:hAnsi="Cambria Math"/>
                </w:rPr>
                <m:t>=</m:t>
              </m:r>
              <m:sSubSup>
                <m:sSubSupPr>
                  <m:ctrlPr>
                    <w:rPr>
                      <w:rFonts w:ascii="Cambria Math" w:hAnsi="Cambria Math"/>
                      <w:b/>
                      <w:bCs/>
                    </w:rPr>
                  </m:ctrlPr>
                </m:sSubSupPr>
                <m:e>
                  <m:r>
                    <m:rPr>
                      <m:sty m:val="bi"/>
                    </m:rPr>
                    <w:rPr>
                      <w:rFonts w:ascii="Cambria Math" w:hAnsi="Cambria Math"/>
                    </w:rPr>
                    <m:t>D</m:t>
                  </m:r>
                </m:e>
                <m:sub>
                  <m:r>
                    <m:rPr>
                      <m:sty m:val="bi"/>
                    </m:rPr>
                    <w:rPr>
                      <w:rFonts w:ascii="Cambria Math" w:hAnsi="Cambria Math"/>
                    </w:rPr>
                    <m:t>t</m:t>
                  </m:r>
                </m:sub>
                <m:sup>
                  <m:r>
                    <m:rPr>
                      <m:sty m:val="bi"/>
                    </m:rPr>
                    <w:rPr>
                      <w:rFonts w:ascii="Cambria Math" w:hAnsi="Cambria Math"/>
                    </w:rPr>
                    <m:t xml:space="preserve"> </m:t>
                  </m:r>
                </m:sup>
              </m:sSubSup>
              <m:sSubSup>
                <m:sSubSupPr>
                  <m:ctrlPr>
                    <w:rPr>
                      <w:rFonts w:ascii="Cambria Math" w:hAnsi="Cambria Math"/>
                      <w:b/>
                      <w:bCs/>
                    </w:rPr>
                  </m:ctrlPr>
                </m:sSubSupPr>
                <m:e>
                  <m:r>
                    <m:rPr>
                      <m:sty m:val="bi"/>
                    </m:rPr>
                    <w:rPr>
                      <w:rFonts w:ascii="Cambria Math" w:hAnsi="Cambria Math"/>
                    </w:rPr>
                    <m:t>R</m:t>
                  </m:r>
                </m:e>
                <m:sub>
                  <m:r>
                    <m:rPr>
                      <m:sty m:val="bi"/>
                    </m:rPr>
                    <w:rPr>
                      <w:rFonts w:ascii="Cambria Math" w:hAnsi="Cambria Math"/>
                    </w:rPr>
                    <m:t xml:space="preserve"> </m:t>
                  </m:r>
                </m:sub>
                <m:sup>
                  <m:r>
                    <m:rPr>
                      <m:sty m:val="bi"/>
                    </m:rPr>
                    <w:rPr>
                      <w:rFonts w:ascii="Cambria Math" w:hAnsi="Cambria Math"/>
                    </w:rPr>
                    <m:t xml:space="preserve"> </m:t>
                  </m:r>
                </m:sup>
              </m:sSubSup>
              <m:sSubSup>
                <m:sSubSupPr>
                  <m:ctrlPr>
                    <w:rPr>
                      <w:rFonts w:ascii="Cambria Math" w:hAnsi="Cambria Math"/>
                      <w:b/>
                      <w:bCs/>
                    </w:rPr>
                  </m:ctrlPr>
                </m:sSubSupPr>
                <m:e>
                  <m:r>
                    <m:rPr>
                      <m:sty m:val="bi"/>
                    </m:rPr>
                    <w:rPr>
                      <w:rFonts w:ascii="Cambria Math" w:hAnsi="Cambria Math"/>
                    </w:rPr>
                    <m:t>D</m:t>
                  </m:r>
                </m:e>
                <m:sub>
                  <m:r>
                    <m:rPr>
                      <m:sty m:val="bi"/>
                    </m:rPr>
                    <w:rPr>
                      <w:rFonts w:ascii="Cambria Math" w:hAnsi="Cambria Math"/>
                    </w:rPr>
                    <m:t>t</m:t>
                  </m:r>
                </m:sub>
                <m:sup>
                  <m:r>
                    <m:rPr>
                      <m:sty m:val="bi"/>
                    </m:rPr>
                    <w:rPr>
                      <w:rFonts w:ascii="Cambria Math" w:hAnsi="Cambria Math"/>
                    </w:rPr>
                    <m:t xml:space="preserve"> </m:t>
                  </m:r>
                </m:sup>
              </m:sSubSup>
              <m:r>
                <m:rPr>
                  <m:sty m:val="bi"/>
                </m:rPr>
                <w:rPr>
                  <w:rFonts w:ascii="Cambria Math" w:hAnsi="Cambria Math"/>
                </w:rPr>
                <m:t xml:space="preserve"> #</m:t>
              </m:r>
              <m:d>
                <m:dPr>
                  <m:ctrlPr>
                    <w:rPr>
                      <w:rFonts w:ascii="Cambria Math" w:hAnsi="Cambria Math"/>
                      <w:b/>
                      <w:bCs/>
                      <w:i/>
                    </w:rPr>
                  </m:ctrlPr>
                </m:dPr>
                <m:e>
                  <m:r>
                    <w:rPr>
                      <w:rFonts w:ascii="Cambria Math" w:hAnsi="Cambria Math"/>
                    </w:rPr>
                    <m:t>10</m:t>
                  </m:r>
                </m:e>
              </m:d>
            </m:e>
          </m:eqArr>
        </m:oMath>
      </m:oMathPara>
    </w:p>
    <w:p w14:paraId="2B9F3B5B" w14:textId="77777777" w:rsidR="002678B6" w:rsidRPr="002678B6" w:rsidRDefault="002678B6" w:rsidP="00D145BD">
      <w:pPr>
        <w:spacing w:after="240"/>
        <w:ind w:left="360"/>
        <w:jc w:val="center"/>
      </w:pPr>
    </w:p>
    <w:p w14:paraId="59805B43" w14:textId="4A4E4507" w:rsidR="00D640F1" w:rsidRDefault="00000000" w:rsidP="00D145BD">
      <w:pPr>
        <w:spacing w:after="240"/>
        <w:jc w:val="both"/>
      </w:pPr>
      <w:r>
        <w:t xml:space="preserve">where </w:t>
      </w:r>
      <m:oMath>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oMath>
      <w:r>
        <w:t xml:space="preserve"> is the conditional variance-covariance matrix of residuals, </w:t>
      </w:r>
      <m:oMath>
        <m:sSubSup>
          <m:sSubSupPr>
            <m:ctrlPr>
              <w:rPr>
                <w:rFonts w:ascii="Cambria Math" w:hAnsi="Cambria Math"/>
                <w:b/>
                <w:bCs/>
              </w:rPr>
            </m:ctrlPr>
          </m:sSubSupPr>
          <m:e>
            <m:r>
              <m:rPr>
                <m:sty m:val="bi"/>
              </m:rPr>
              <w:rPr>
                <w:rFonts w:ascii="Cambria Math" w:hAnsi="Cambria Math"/>
              </w:rPr>
              <m:t>D</m:t>
            </m:r>
          </m:e>
          <m:sub>
            <m:r>
              <m:rPr>
                <m:sty m:val="bi"/>
              </m:rPr>
              <w:rPr>
                <w:rFonts w:ascii="Cambria Math" w:hAnsi="Cambria Math"/>
              </w:rPr>
              <m:t>t</m:t>
            </m:r>
          </m:sub>
          <m:sup>
            <m:r>
              <m:rPr>
                <m:sty m:val="bi"/>
              </m:rPr>
              <w:rPr>
                <w:rFonts w:ascii="Cambria Math" w:hAnsi="Cambria Math"/>
              </w:rPr>
              <m:t xml:space="preserve"> </m:t>
            </m:r>
          </m:sup>
        </m:sSubSup>
      </m:oMath>
      <w:r w:rsidR="00243FEB">
        <w:rPr>
          <w:b/>
          <w:bCs/>
        </w:rPr>
        <w:t xml:space="preserve"> </w:t>
      </w:r>
      <w:r>
        <w:t xml:space="preserve">is the </w:t>
      </w:r>
      <w:r w:rsidR="00B416FC">
        <w:t>diagonal form of conditional variance</w:t>
      </w:r>
      <w:r>
        <w:t>.</w:t>
      </w:r>
      <w:r w:rsidRPr="007E25B1">
        <w:rPr>
          <w:b/>
          <w:bCs/>
        </w:rPr>
        <w:t xml:space="preserve"> </w:t>
      </w:r>
      <m:oMath>
        <m:r>
          <m:rPr>
            <m:sty m:val="bi"/>
          </m:rPr>
          <w:rPr>
            <w:rFonts w:ascii="Cambria Math" w:hAnsi="Cambria Math"/>
          </w:rPr>
          <m:t>R</m:t>
        </m:r>
      </m:oMath>
      <w:r>
        <w:t xml:space="preserve"> is the constant correlation matrix</w:t>
      </w:r>
      <w:r w:rsidR="00343458">
        <w:t xml:space="preserve"> </w:t>
      </w:r>
      <w:r w:rsidR="0080283A">
        <w:t>of</w:t>
      </w:r>
      <w:r w:rsidR="000860A4">
        <w:t xml:space="preserve"> symmetric</w:t>
      </w:r>
      <w:r w:rsidR="0080283A">
        <w:t xml:space="preserve"> </w:t>
      </w:r>
      <m:oMath>
        <m:r>
          <w:rPr>
            <w:rFonts w:ascii="Cambria Math" w:hAnsi="Cambria Math"/>
          </w:rPr>
          <m:t>N×N</m:t>
        </m:r>
      </m:oMath>
      <w:r w:rsidR="0080283A">
        <w:t xml:space="preserve"> </w:t>
      </w:r>
      <w:r w:rsidR="00343458">
        <w:t xml:space="preserve">with the elements of </w:t>
      </w:r>
      <m:oMath>
        <m:sSubSup>
          <m:sSubSupPr>
            <m:ctrlPr>
              <w:rPr>
                <w:rFonts w:ascii="Cambria Math" w:hAnsi="Cambria Math"/>
              </w:rPr>
            </m:ctrlPr>
          </m:sSubSupPr>
          <m:e>
            <m:r>
              <w:rPr>
                <w:rFonts w:ascii="Cambria Math" w:hAnsi="Cambria Math"/>
              </w:rPr>
              <m:t>ρ</m:t>
            </m:r>
          </m:e>
          <m:sub>
            <m:r>
              <w:rPr>
                <w:rFonts w:ascii="Cambria Math" w:hAnsi="Cambria Math"/>
              </w:rPr>
              <m:t>ij</m:t>
            </m:r>
          </m:sub>
          <m:sup>
            <m:r>
              <w:rPr>
                <w:rFonts w:ascii="Cambria Math" w:hAnsi="Cambria Math"/>
              </w:rPr>
              <m:t xml:space="preserve"> </m:t>
            </m:r>
          </m:sup>
        </m:sSubSup>
      </m:oMath>
      <w:r>
        <w:t xml:space="preserve">. </w:t>
      </w:r>
      <w:r w:rsidR="00FF14F9">
        <w:t>As a result, the total parameter</w:t>
      </w:r>
      <w:r w:rsidR="00F86EC2">
        <w:t>s</w:t>
      </w:r>
      <w:r w:rsidR="008659A5">
        <w:t xml:space="preserve"> of the CCC model</w:t>
      </w:r>
      <w:r w:rsidR="00FF14F9">
        <w:t xml:space="preserve"> to be estimated is </w:t>
      </w:r>
      <m:oMath>
        <m:r>
          <w:rPr>
            <w:rFonts w:ascii="Cambria Math" w:hAnsi="Cambria Math"/>
          </w:rPr>
          <m:t>(p+q+1)×N+</m:t>
        </m:r>
        <m:f>
          <m:fPr>
            <m:ctrlPr>
              <w:rPr>
                <w:rFonts w:ascii="Cambria Math" w:hAnsi="Cambria Math"/>
              </w:rPr>
            </m:ctrlPr>
          </m:fPr>
          <m:num>
            <m:r>
              <w:rPr>
                <w:rFonts w:ascii="Cambria Math" w:hAnsi="Cambria Math"/>
              </w:rPr>
              <m:t>N×(N-1)</m:t>
            </m:r>
          </m:num>
          <m:den>
            <m:r>
              <w:rPr>
                <w:rFonts w:ascii="Cambria Math" w:hAnsi="Cambria Math"/>
              </w:rPr>
              <m:t>2</m:t>
            </m:r>
          </m:den>
        </m:f>
      </m:oMath>
      <w:r w:rsidR="00F86EC2">
        <w:t xml:space="preserve">. </w:t>
      </w:r>
      <w:r w:rsidR="00484D13">
        <w:t>With</w:t>
      </w:r>
      <w:r w:rsidR="00F86EC2">
        <w:t xml:space="preserve"> 3 commodities</w:t>
      </w:r>
      <w:r w:rsidR="00BE4CE7">
        <w:t>’ return</w:t>
      </w:r>
      <w:r w:rsidR="00F86EC2">
        <w:t xml:space="preserve"> </w:t>
      </w:r>
      <w:r w:rsidR="00BE4CE7">
        <w:t>data fitting into the</w:t>
      </w:r>
      <w:r w:rsidR="00484D13">
        <w:t xml:space="preserve"> </w:t>
      </w:r>
      <w:r w:rsidR="0010397F">
        <w:t>CCC</w:t>
      </w:r>
      <w:r w:rsidR="00D964A3">
        <w:t>-</w:t>
      </w:r>
      <w:r w:rsidR="00484D13">
        <w:t xml:space="preserve">GARCH </w:t>
      </w:r>
      <m:oMath>
        <m:r>
          <w:rPr>
            <w:rFonts w:ascii="Cambria Math" w:hAnsi="Cambria Math"/>
          </w:rPr>
          <m:t>(1, 1)</m:t>
        </m:r>
      </m:oMath>
      <w:r w:rsidR="00F86EC2">
        <w:t xml:space="preserve"> </w:t>
      </w:r>
      <w:r w:rsidR="00EE5FAA">
        <w:t>model</w:t>
      </w:r>
      <w:r w:rsidR="00125AA1">
        <w:t xml:space="preserve">, the estimated number of </w:t>
      </w:r>
      <w:r w:rsidR="007D5B5F">
        <w:t>parameters</w:t>
      </w:r>
      <w:r w:rsidR="00125AA1">
        <w:t xml:space="preserve"> </w:t>
      </w:r>
      <w:r w:rsidR="00F86EC2">
        <w:t xml:space="preserve">is </w:t>
      </w:r>
      <m:oMath>
        <m:r>
          <w:rPr>
            <w:rFonts w:ascii="Cambria Math" w:hAnsi="Cambria Math"/>
          </w:rPr>
          <m:t>(1+1+1)×3+</m:t>
        </m:r>
        <m:f>
          <m:fPr>
            <m:ctrlPr>
              <w:rPr>
                <w:rFonts w:ascii="Cambria Math" w:hAnsi="Cambria Math"/>
              </w:rPr>
            </m:ctrlPr>
          </m:fPr>
          <m:num>
            <m:r>
              <w:rPr>
                <w:rFonts w:ascii="Cambria Math" w:hAnsi="Cambria Math"/>
              </w:rPr>
              <m:t>3×(3-1)</m:t>
            </m:r>
          </m:num>
          <m:den>
            <m:r>
              <w:rPr>
                <w:rFonts w:ascii="Cambria Math" w:hAnsi="Cambria Math"/>
              </w:rPr>
              <m:t>2</m:t>
            </m:r>
          </m:den>
        </m:f>
        <m:r>
          <w:rPr>
            <w:rFonts w:ascii="Cambria Math" w:hAnsi="Cambria Math"/>
          </w:rPr>
          <m:t>=12</m:t>
        </m:r>
      </m:oMath>
      <w:r w:rsidR="00F86EC2">
        <w:t>.</w:t>
      </w:r>
      <w:r w:rsidR="003A29C1">
        <w:t xml:space="preserve"> </w:t>
      </w:r>
    </w:p>
    <w:p w14:paraId="2C3A0D08" w14:textId="30A82528" w:rsidR="00D640F1" w:rsidRDefault="00000000" w:rsidP="00D145BD">
      <w:pPr>
        <w:pStyle w:val="Heading2"/>
        <w:jc w:val="both"/>
      </w:pPr>
      <w:bookmarkStart w:id="15" w:name="_Toc167478290"/>
      <w:r>
        <w:t>3.</w:t>
      </w:r>
      <w:r w:rsidR="00931C20">
        <w:t>4</w:t>
      </w:r>
      <w:r>
        <w:t xml:space="preserve"> Time-varying Portfolio Optimization</w:t>
      </w:r>
      <w:bookmarkEnd w:id="15"/>
    </w:p>
    <w:p w14:paraId="4A12B0C4" w14:textId="0D172DAA" w:rsidR="00D640F1" w:rsidRDefault="00000000" w:rsidP="00503769">
      <w:pPr>
        <w:spacing w:after="240"/>
        <w:jc w:val="both"/>
      </w:pPr>
      <w:r>
        <w:t xml:space="preserve">By considering different risk and return objectives. </w:t>
      </w:r>
      <w:r w:rsidR="006D4016">
        <w:t xml:space="preserve">This </w:t>
      </w:r>
      <w:r w:rsidR="00055B2C">
        <w:t>study</w:t>
      </w:r>
      <w:r>
        <w:t xml:space="preserve"> construct</w:t>
      </w:r>
      <w:r w:rsidR="00240E2A">
        <w:t>s</w:t>
      </w:r>
      <w:r>
        <w:t xml:space="preserve"> seven portfolios for optimization: equal weight, mean-variance, minimum variance, minimum correlation, maximum </w:t>
      </w:r>
      <w:r w:rsidR="00D647FD">
        <w:t>S</w:t>
      </w:r>
      <w:r>
        <w:t xml:space="preserve">harpe ratio, maximum </w:t>
      </w:r>
      <w:r w:rsidR="00B0172F">
        <w:t>S</w:t>
      </w:r>
      <w:r>
        <w:t xml:space="preserve">ortino ratio, and </w:t>
      </w:r>
      <w:r w:rsidR="00C219D0">
        <w:rPr>
          <w:highlight w:val="white"/>
        </w:rPr>
        <w:t xml:space="preserve">minimum </w:t>
      </w:r>
      <w:r>
        <w:t xml:space="preserve">CVaR. </w:t>
      </w:r>
      <w:r w:rsidR="00A3787C">
        <w:t xml:space="preserve">The </w:t>
      </w:r>
      <w:r w:rsidR="00A649EC">
        <w:t xml:space="preserve">equal weight portfolio </w:t>
      </w:r>
      <w:r w:rsidR="00FD19DC">
        <w:t xml:space="preserve">allocates the same weight for the three commodity groups and </w:t>
      </w:r>
      <w:r w:rsidR="00A649EC">
        <w:t xml:space="preserve">serves as the </w:t>
      </w:r>
      <w:r w:rsidR="00FD19DC">
        <w:t>benchmark</w:t>
      </w:r>
      <w:r w:rsidR="00A649EC">
        <w:t xml:space="preserve"> portfolio.</w:t>
      </w:r>
      <w:r w:rsidR="00FD19DC">
        <w:t xml:space="preserve"> </w:t>
      </w:r>
      <w:r w:rsidR="00EE0053" w:rsidRPr="00EE0053">
        <w:t xml:space="preserve">Mean-variance </w:t>
      </w:r>
      <w:r w:rsidR="00D10A0F">
        <w:t xml:space="preserve">portfolio </w:t>
      </w:r>
      <w:r w:rsidR="00EE0053" w:rsidRPr="00EE0053">
        <w:t xml:space="preserve">balances </w:t>
      </w:r>
      <w:r w:rsidR="00D10A0F">
        <w:t xml:space="preserve">the </w:t>
      </w:r>
      <w:r w:rsidR="00EE0053" w:rsidRPr="00EE0053">
        <w:t>expected return against variance</w:t>
      </w:r>
      <w:r w:rsidR="00EE0053">
        <w:t>, while the minimum variance</w:t>
      </w:r>
      <w:r w:rsidR="000855C3">
        <w:t xml:space="preserve"> and</w:t>
      </w:r>
      <w:r w:rsidR="00EE0053">
        <w:t xml:space="preserve"> minimum correlation</w:t>
      </w:r>
      <w:r w:rsidR="007118C6">
        <w:t xml:space="preserve"> </w:t>
      </w:r>
      <w:r w:rsidR="00810AC7">
        <w:t xml:space="preserve">focus on risk </w:t>
      </w:r>
      <w:r w:rsidR="00CC5937">
        <w:t>reduction</w:t>
      </w:r>
      <w:r w:rsidR="00810AC7">
        <w:t xml:space="preserve"> and diversification, </w:t>
      </w:r>
      <w:r w:rsidR="00CC5937">
        <w:t>respectively</w:t>
      </w:r>
      <w:r w:rsidR="00810AC7">
        <w:t xml:space="preserve">. </w:t>
      </w:r>
      <w:r w:rsidR="00CC5937">
        <w:t xml:space="preserve">Also, </w:t>
      </w:r>
      <w:r w:rsidR="00E3783C">
        <w:t>m</w:t>
      </w:r>
      <w:r w:rsidR="00CC5937" w:rsidRPr="00CC5937">
        <w:t xml:space="preserve">aximum Sharpe ratio portfolios </w:t>
      </w:r>
      <w:r w:rsidR="002E58AB">
        <w:t>focus on</w:t>
      </w:r>
      <w:r w:rsidR="00CC5937" w:rsidRPr="00CC5937">
        <w:t xml:space="preserve"> risk-adjusted performance, while maximum Sortino ratio portfolio </w:t>
      </w:r>
      <w:r w:rsidR="00F4631B">
        <w:t>aims to</w:t>
      </w:r>
      <w:r w:rsidR="00CC5937" w:rsidRPr="00CC5937">
        <w:t xml:space="preserve"> </w:t>
      </w:r>
      <w:r w:rsidR="00742AB7">
        <w:t>deal with</w:t>
      </w:r>
      <w:r w:rsidR="00CC5937" w:rsidRPr="00CC5937">
        <w:t xml:space="preserve"> downside risk</w:t>
      </w:r>
      <w:r w:rsidR="00F8013D">
        <w:t xml:space="preserve">. </w:t>
      </w:r>
      <w:r w:rsidR="00B549EF">
        <w:t>C</w:t>
      </w:r>
      <w:r w:rsidR="00061B0D">
        <w:t>o</w:t>
      </w:r>
      <w:r w:rsidR="00B549EF">
        <w:t xml:space="preserve">nsidering the extreme risk </w:t>
      </w:r>
      <w:r w:rsidR="008E4004">
        <w:t>scenarios</w:t>
      </w:r>
      <w:r w:rsidR="00B549EF">
        <w:t xml:space="preserve">, the </w:t>
      </w:r>
      <w:r w:rsidR="00316156">
        <w:rPr>
          <w:highlight w:val="white"/>
        </w:rPr>
        <w:t xml:space="preserve">minimum </w:t>
      </w:r>
      <w:r w:rsidR="00B549EF">
        <w:t>C</w:t>
      </w:r>
      <w:r w:rsidR="00704433">
        <w:t>V</w:t>
      </w:r>
      <w:r w:rsidR="00B549EF">
        <w:t xml:space="preserve">aR portfolio seeks </w:t>
      </w:r>
      <w:r w:rsidR="00D56568">
        <w:t>to minimize</w:t>
      </w:r>
      <w:r w:rsidR="00B549EF">
        <w:t xml:space="preserve"> extreme risk</w:t>
      </w:r>
      <w:r w:rsidR="00F8013D">
        <w:t>.</w:t>
      </w:r>
      <w:r w:rsidR="00431263">
        <w:t xml:space="preserve"> </w:t>
      </w:r>
    </w:p>
    <w:p w14:paraId="4A142645" w14:textId="286076E9" w:rsidR="00D640F1" w:rsidRDefault="00000000" w:rsidP="00503769">
      <w:pPr>
        <w:pStyle w:val="Heading3"/>
        <w:jc w:val="both"/>
        <w:rPr>
          <w:highlight w:val="white"/>
        </w:rPr>
      </w:pPr>
      <w:r>
        <w:rPr>
          <w:highlight w:val="white"/>
        </w:rPr>
        <w:t>3.</w:t>
      </w:r>
      <w:r w:rsidR="00751310">
        <w:rPr>
          <w:highlight w:val="white"/>
        </w:rPr>
        <w:t>4</w:t>
      </w:r>
      <w:r>
        <w:rPr>
          <w:highlight w:val="white"/>
        </w:rPr>
        <w:t xml:space="preserve">.1 Equal Weight Portfolio </w:t>
      </w:r>
    </w:p>
    <w:p w14:paraId="020D0175" w14:textId="48CF4AD8" w:rsidR="00D640F1" w:rsidRDefault="0057409D" w:rsidP="00503769">
      <w:pPr>
        <w:spacing w:after="240"/>
        <w:jc w:val="both"/>
        <w:rPr>
          <w:highlight w:val="white"/>
        </w:rPr>
      </w:pPr>
      <w:r>
        <w:rPr>
          <w:highlight w:val="white"/>
        </w:rPr>
        <w:t>The equal weight portfolio</w:t>
      </w:r>
      <w:r w:rsidR="00F96041">
        <w:rPr>
          <w:highlight w:val="white"/>
        </w:rPr>
        <w:t xml:space="preserve"> is built</w:t>
      </w:r>
      <w:r>
        <w:rPr>
          <w:highlight w:val="white"/>
        </w:rPr>
        <w:t xml:space="preserve"> by setting </w:t>
      </w:r>
      <m:oMath>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 xml:space="preserve"> </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oMath>
      <w:r>
        <w:t xml:space="preserve">, where </w:t>
      </w:r>
      <m:oMath>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 xml:space="preserve"> </m:t>
            </m:r>
          </m:sup>
        </m:sSubSup>
      </m:oMath>
      <w:r w:rsidR="00FE1F66">
        <w:t xml:space="preserve"> </w:t>
      </w:r>
      <w:r>
        <w:t xml:space="preserve">is the weight </w:t>
      </w:r>
      <w:r w:rsidR="00C94F0E">
        <w:t>of</w:t>
      </w:r>
      <w:r>
        <w:t xml:space="preserve"> </w:t>
      </w:r>
      <w:r w:rsidR="00C94F0E">
        <w:t xml:space="preserve">the </w:t>
      </w:r>
      <w:r>
        <w:t>commodity</w:t>
      </w:r>
      <w:r w:rsidR="00001B9A">
        <w:t xml:space="preserve"> </w:t>
      </w:r>
      <m:oMath>
        <m:r>
          <w:rPr>
            <w:rFonts w:ascii="Cambria Math" w:hAnsi="Cambria Math"/>
          </w:rPr>
          <m:t>i</m:t>
        </m:r>
      </m:oMath>
      <w:r>
        <w:t xml:space="preserve">, and </w:t>
      </w:r>
      <m:oMath>
        <m:r>
          <w:rPr>
            <w:rFonts w:ascii="Cambria Math" w:hAnsi="Cambria Math"/>
          </w:rPr>
          <m:t>N</m:t>
        </m:r>
      </m:oMath>
      <w:r>
        <w:t xml:space="preserve"> is the number of commodity types in the portfolio. </w:t>
      </w:r>
      <w:r>
        <w:rPr>
          <w:highlight w:val="white"/>
        </w:rPr>
        <w:t>This portfolio is not rebalanced through time, and it serves as a benchmark for all other portfolios.</w:t>
      </w:r>
    </w:p>
    <w:p w14:paraId="47FD978E" w14:textId="7F24E9C3" w:rsidR="00D640F1" w:rsidRDefault="00000000" w:rsidP="00503769">
      <w:pPr>
        <w:pStyle w:val="Heading3"/>
        <w:jc w:val="both"/>
        <w:rPr>
          <w:sz w:val="22"/>
          <w:szCs w:val="22"/>
        </w:rPr>
      </w:pPr>
      <w:r>
        <w:t>3.</w:t>
      </w:r>
      <w:r w:rsidR="00F4408D">
        <w:t>4</w:t>
      </w:r>
      <w:r>
        <w:t xml:space="preserve">.2 Mean-Variance Portfolio </w:t>
      </w:r>
    </w:p>
    <w:p w14:paraId="544C310A" w14:textId="669F7CD5" w:rsidR="00D640F1" w:rsidRDefault="00000000" w:rsidP="00503769">
      <w:pPr>
        <w:spacing w:after="240"/>
        <w:jc w:val="both"/>
      </w:pPr>
      <w:r>
        <w:t xml:space="preserve">The basic portfolio optimization method is the mean-variance method developed by Markowitz (1952), in which investors seek to find </w:t>
      </w:r>
      <w:r w:rsidR="00427E84">
        <w:t xml:space="preserve">the </w:t>
      </w:r>
      <w:r w:rsidR="003A2D69">
        <w:t xml:space="preserve">balance between </w:t>
      </w:r>
      <w:r>
        <w:t>maximum returns and minimum volatility of the portfolio</w:t>
      </w:r>
      <w:r w:rsidR="00BD212C">
        <w:t>s</w:t>
      </w:r>
      <w:r>
        <w:t xml:space="preserve">. By assuming no short-selling opportunities, we can build a quadratic optimization process by using the time-varying </w:t>
      </w:r>
      <w:r w:rsidR="00843000">
        <w:t>variance-</w:t>
      </w:r>
      <w:r>
        <w:t xml:space="preserve">covariance matrix and the expected mean return </w:t>
      </w:r>
      <w:r w:rsidR="00B0055A">
        <w:fldChar w:fldCharType="begin"/>
      </w:r>
      <w:r w:rsidR="00B0055A">
        <w:instrText xml:space="preserve"> ADDIN ZOTERO_ITEM CSL_CITATION {"citationID":"ex4rwUwU","properties":{"formattedCitation":"(Ghaemi Asl et al., 2024)","plainCitation":"(Ghaemi Asl et al., 2024)","noteIndex":0},"citationItems":[{"id":122,"uris":["http://zotero.org/users/13925666/items/UJ96EMG4"],"itemData":{"id":122,"type":"article-journal","abstract":"This paper aims to assess the performance of Islamic portfolios vis-à-vis their conventional counterparts across two distinct periods: the pre-COVID-19 era and the COVID-19 era. Departing from prior studies, this study makes a novel contribution by employing an extensive array of 18 portfolio optimization techniques to construct optimal portfolios for conventional stock indices encompassing energy, utilities, and environmental, social, and governance (ESG) dimensions, as well as their Islamic equivalents. Performance comparisons are made utilizing three risk-adjusted performance measures, namely the Sharpe ratio, the Omega ratio, and the Sortino ratio. Our findings reveal that Shariah portfolios outperform conventional portfolios across all performance measures and risk-aversion levels when the most effective optimization methods are employed, both during pre-crisis and crisis periods. Additionally, our analysis highlights certain methods, namely EWMA, GM, DCC, and SHC, which produce portfolios exhibiting superior performance relative to alternative methods, as assessed by risk-adjusted metrics. Furthermore, Islamic portfolios demonstrate higher average returns compared to their conventional counterparts. Notably, incorporating ESG-related stocks into energy and utilities assets significantly enhances average returns, underscoring the potential of ESG investments. Collectively, our findings have noteworthy implications for investors, as they emphasize the role of Islamic stocks as effective diversifiers, yielding favorable resource allocation opportunities during times of crisis as well as stability. However, investors should exercise caution in selecting the optimal portfolio optimization method, as substantial performance disparities exist among different approaches.","container-title":"The Quarterly Review of Economics and Finance","DOI":"10.1016/j.qref.2023.12.010","ISSN":"1062-9769","journalAbbreviation":"The Quarterly Review of Economics and Finance","page":"37-57","source":"ScienceDirect","title":"Does Islamic investing modify portfolio performance? Time-varying optimization strategies for conventional and Shariah energy-ESG-utilities portfolio","title-short":"Does Islamic investing modify portfolio performance?","volume":"94","author":[{"family":"Ghaemi Asl","given":"Mahdi"},{"family":"Rashidi","given":"Muhammad Mahdi"},{"family":"Tavakkoli","given":"Hamid Raza"},{"family":"Rezgui","given":"Hichem"}],"issued":{"date-parts":[["2024",4,1]]}}}],"schema":"https://github.com/citation-style-language/schema/raw/master/csl-citation.json"} </w:instrText>
      </w:r>
      <w:r w:rsidR="00B0055A">
        <w:fldChar w:fldCharType="separate"/>
      </w:r>
      <w:r w:rsidR="00B0055A" w:rsidRPr="00B0055A">
        <w:t>(</w:t>
      </w:r>
      <w:r w:rsidR="00393FDE">
        <w:t xml:space="preserve">see </w:t>
      </w:r>
      <w:r w:rsidR="00B0055A" w:rsidRPr="00B0055A">
        <w:t>Ghaemi Asl et al., 2024)</w:t>
      </w:r>
      <w:r w:rsidR="00B0055A">
        <w:fldChar w:fldCharType="end"/>
      </w:r>
      <w:r>
        <w:t xml:space="preserve">: </w:t>
      </w:r>
    </w:p>
    <w:p w14:paraId="0A02207B" w14:textId="401DE195" w:rsidR="00D640F1" w:rsidRPr="00437A49" w:rsidRDefault="00000000" w:rsidP="00503769">
      <w:pPr>
        <w:spacing w:after="240"/>
        <w:ind w:left="360"/>
        <w:jc w:val="center"/>
      </w:pPr>
      <m:oMathPara>
        <m:oMath>
          <m:eqArr>
            <m:eqArrPr>
              <m:maxDist m:val="1"/>
              <m:ctrlPr>
                <w:rPr>
                  <w:rFonts w:ascii="Cambria Math" w:hAnsi="Cambria Math"/>
                  <w:i/>
                </w:rPr>
              </m:ctrlPr>
            </m:eqArrPr>
            <m:e>
              <m:r>
                <w:rPr>
                  <w:rFonts w:ascii="Cambria Math" w:hAnsi="Cambria Math"/>
                </w:rPr>
                <m:t xml:space="preserve">Max </m:t>
              </m:r>
              <m:d>
                <m:dPr>
                  <m:begChr m:val="{"/>
                  <m:endChr m:val="}"/>
                  <m:ctrlPr>
                    <w:rPr>
                      <w:rFonts w:ascii="Cambria Math" w:hAnsi="Cambria Math"/>
                    </w:rPr>
                  </m:ctrlPr>
                </m:dPr>
                <m:e>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 xml:space="preserve"> </m:t>
                      </m:r>
                    </m:sub>
                    <m:sup>
                      <m:r>
                        <m:rPr>
                          <m:sty m:val="bi"/>
                        </m:rPr>
                        <w:rPr>
                          <w:rFonts w:ascii="Cambria Math" w:hAnsi="Cambria Math"/>
                        </w:rPr>
                        <m:t>T</m:t>
                      </m:r>
                    </m:sup>
                  </m:sSubSup>
                  <m:r>
                    <m:rPr>
                      <m:sty m:val="bi"/>
                    </m:rPr>
                    <w:rPr>
                      <w:rFonts w:ascii="Cambria Math" w:hAnsi="Cambria Math"/>
                    </w:rPr>
                    <m:t>E(R)</m:t>
                  </m:r>
                  <m: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2</m:t>
                      </m:r>
                    </m:den>
                  </m:f>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 xml:space="preserve"> </m:t>
                      </m:r>
                    </m:sub>
                    <m:sup>
                      <m:r>
                        <m:rPr>
                          <m:sty m:val="bi"/>
                        </m:rPr>
                        <w:rPr>
                          <w:rFonts w:ascii="Cambria Math" w:hAnsi="Cambria Math"/>
                        </w:rPr>
                        <m:t>T</m:t>
                      </m:r>
                    </m:sup>
                  </m:sSubSup>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r>
                    <m:rPr>
                      <m:sty m:val="bi"/>
                    </m:rPr>
                    <w:rPr>
                      <w:rFonts w:ascii="Cambria Math" w:hAnsi="Cambria Math"/>
                    </w:rPr>
                    <m:t>w</m:t>
                  </m:r>
                </m:e>
              </m:d>
              <m:r>
                <w:rPr>
                  <w:rFonts w:ascii="Cambria Math" w:hAnsi="Cambria Math"/>
                </w:rPr>
                <m:t xml:space="preserve">, subject to </m:t>
              </m:r>
              <m:sSubSup>
                <m:sSubSupPr>
                  <m:ctrlPr>
                    <w:rPr>
                      <w:rFonts w:ascii="Cambria Math" w:hAnsi="Cambria Math"/>
                    </w:rPr>
                  </m:ctrlPr>
                </m:sSubSupPr>
                <m:e>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w</m:t>
                      </m:r>
                    </m:e>
                  </m:nary>
                </m:e>
                <m:sub>
                  <m:r>
                    <w:rPr>
                      <w:rFonts w:ascii="Cambria Math" w:hAnsi="Cambria Math"/>
                    </w:rPr>
                    <m:t>it</m:t>
                  </m:r>
                </m:sub>
                <m:sup>
                  <m:r>
                    <w:rPr>
                      <w:rFonts w:ascii="Cambria Math" w:hAnsi="Cambria Math"/>
                    </w:rPr>
                    <m:t xml:space="preserve"> </m:t>
                  </m:r>
                </m:sup>
              </m:sSubSup>
              <m:r>
                <w:rPr>
                  <w:rFonts w:ascii="Cambria Math" w:hAnsi="Cambria Math"/>
                </w:rPr>
                <m:t xml:space="preserve">=1 and </m:t>
              </m:r>
              <m:sSubSup>
                <m:sSubSupPr>
                  <m:ctrlPr>
                    <w:rPr>
                      <w:rFonts w:ascii="Cambria Math" w:hAnsi="Cambria Math"/>
                    </w:rPr>
                  </m:ctrlPr>
                </m:sSubSupPr>
                <m:e>
                  <m:r>
                    <m:rPr>
                      <m:sty m:val="p"/>
                    </m:rPr>
                    <w:rPr>
                      <w:rFonts w:ascii="Cambria Math" w:hAnsi="Cambria Math"/>
                    </w:rPr>
                    <m:t>w</m:t>
                  </m:r>
                </m:e>
                <m:sub>
                  <m:r>
                    <w:rPr>
                      <w:rFonts w:ascii="Cambria Math" w:hAnsi="Cambria Math"/>
                    </w:rPr>
                    <m:t>it</m:t>
                  </m:r>
                </m:sub>
                <m:sup>
                  <m:r>
                    <w:rPr>
                      <w:rFonts w:ascii="Cambria Math" w:hAnsi="Cambria Math"/>
                    </w:rPr>
                    <m:t xml:space="preserve"> </m:t>
                  </m:r>
                </m:sup>
              </m:sSubSup>
              <m:r>
                <w:rPr>
                  <w:rFonts w:ascii="Cambria Math" w:hAnsi="Cambria Math"/>
                </w:rPr>
                <m:t>&gt;0 #</m:t>
              </m:r>
              <m:d>
                <m:dPr>
                  <m:ctrlPr>
                    <w:rPr>
                      <w:rFonts w:ascii="Cambria Math" w:hAnsi="Cambria Math"/>
                      <w:i/>
                    </w:rPr>
                  </m:ctrlPr>
                </m:dPr>
                <m:e>
                  <m:r>
                    <w:rPr>
                      <w:rFonts w:ascii="Cambria Math" w:hAnsi="Cambria Math"/>
                    </w:rPr>
                    <m:t>11</m:t>
                  </m:r>
                </m:e>
              </m:d>
            </m:e>
          </m:eqArr>
        </m:oMath>
      </m:oMathPara>
    </w:p>
    <w:p w14:paraId="0EA4CBFA" w14:textId="368D0E9C" w:rsidR="00D640F1" w:rsidRDefault="00000000" w:rsidP="00503769">
      <w:pPr>
        <w:spacing w:after="240"/>
        <w:jc w:val="both"/>
      </w:pPr>
      <w:r>
        <w:t xml:space="preserve">where </w:t>
      </w:r>
      <m:oMath>
        <m:r>
          <w:rPr>
            <w:rFonts w:ascii="Cambria Math" w:hAnsi="Cambria Math"/>
          </w:rPr>
          <m:t>γ</m:t>
        </m:r>
      </m:oMath>
      <w:r>
        <w:t xml:space="preserve"> is the risk aversion coefficient, </w:t>
      </w:r>
      <m:oMath>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oMath>
      <w:r>
        <w:t xml:space="preserve"> is the </w:t>
      </w:r>
      <w:r w:rsidR="00955556">
        <w:t xml:space="preserve">time-varying </w:t>
      </w:r>
      <w:r w:rsidR="00FE21DC">
        <w:t xml:space="preserve">conditional </w:t>
      </w:r>
      <w:r w:rsidR="00DC03ED">
        <w:t>variance-</w:t>
      </w:r>
      <w:r>
        <w:t xml:space="preserve">covariance matrix with the dimension of </w:t>
      </w:r>
      <m:oMath>
        <m:r>
          <w:rPr>
            <w:rFonts w:ascii="Cambria Math" w:hAnsi="Cambria Math"/>
          </w:rPr>
          <m:t>N×N×T</m:t>
        </m:r>
      </m:oMath>
      <w:r w:rsidR="00882537">
        <w:t>,</w:t>
      </w:r>
      <w:r>
        <w:t xml:space="preserve"> </w:t>
      </w:r>
      <m:oMath>
        <m:r>
          <m:rPr>
            <m:sty m:val="bi"/>
          </m:rPr>
          <w:rPr>
            <w:rFonts w:ascii="Cambria Math" w:hAnsi="Cambria Math"/>
          </w:rPr>
          <m:t>E(R)</m:t>
        </m:r>
      </m:oMath>
      <w:r>
        <w:t xml:space="preserve"> </w:t>
      </w:r>
      <w:r w:rsidR="008441E1" w:rsidRPr="008441E1">
        <w:t>is the fixed expected mean return for each commodity group calculated as the average of each commodity’s historical data</w:t>
      </w:r>
      <w:r>
        <w:t xml:space="preserve">, and </w:t>
      </w:r>
      <m:oMath>
        <m:r>
          <m:rPr>
            <m:sty m:val="bi"/>
          </m:rPr>
          <w:rPr>
            <w:rFonts w:ascii="Cambria Math" w:hAnsi="Cambria Math"/>
          </w:rPr>
          <m:t>w</m:t>
        </m:r>
      </m:oMath>
      <w:r>
        <w:t xml:space="preserve"> is </w:t>
      </w:r>
      <w:r w:rsidR="00F6630F">
        <w:t xml:space="preserve">the </w:t>
      </w:r>
      <w:r w:rsidR="00FB4A49">
        <w:t>optimal</w:t>
      </w:r>
      <w:r w:rsidR="00F6630F">
        <w:t xml:space="preserve"> time-varying </w:t>
      </w:r>
      <w:r w:rsidR="00D3356A">
        <w:t>weight</w:t>
      </w:r>
      <w:r w:rsidR="006C11F5">
        <w:t xml:space="preserve"> matrix</w:t>
      </w:r>
      <w:r w:rsidR="00F6630F">
        <w:t xml:space="preserve">, with </w:t>
      </w:r>
      <w:r w:rsidR="00BE1624">
        <w:t>elements of</w:t>
      </w:r>
      <w:r w:rsidR="009C1EF2">
        <w:t xml:space="preserve"> </w:t>
      </w:r>
      <m:oMath>
        <m:sSubSup>
          <m:sSubSupPr>
            <m:ctrlPr>
              <w:rPr>
                <w:rFonts w:ascii="Cambria Math" w:hAnsi="Cambria Math"/>
              </w:rPr>
            </m:ctrlPr>
          </m:sSubSupPr>
          <m:e>
            <m:r>
              <m:rPr>
                <m:sty m:val="p"/>
              </m:rPr>
              <w:rPr>
                <w:rFonts w:ascii="Cambria Math" w:hAnsi="Cambria Math"/>
              </w:rPr>
              <m:t>w</m:t>
            </m:r>
          </m:e>
          <m:sub>
            <m:r>
              <w:rPr>
                <w:rFonts w:ascii="Cambria Math" w:hAnsi="Cambria Math"/>
              </w:rPr>
              <m:t>it</m:t>
            </m:r>
          </m:sub>
          <m:sup>
            <m:r>
              <w:rPr>
                <w:rFonts w:ascii="Cambria Math" w:hAnsi="Cambria Math"/>
              </w:rPr>
              <m:t xml:space="preserve"> </m:t>
            </m:r>
          </m:sup>
        </m:sSubSup>
      </m:oMath>
      <w:r w:rsidR="00F6630F">
        <w:t xml:space="preserve"> as</w:t>
      </w:r>
      <w:r>
        <w:t xml:space="preserve"> </w:t>
      </w:r>
      <w:r w:rsidR="00BE1624">
        <w:t xml:space="preserve">the </w:t>
      </w:r>
      <w:r>
        <w:t xml:space="preserve">weight of each </w:t>
      </w:r>
      <w:r w:rsidR="004003F2">
        <w:t>commodit</w:t>
      </w:r>
      <w:r w:rsidR="000C77EC">
        <w:t>y’s proportion</w:t>
      </w:r>
      <w:r w:rsidR="00001B9A">
        <w:t xml:space="preserve"> at time </w:t>
      </w:r>
      <m:oMath>
        <m:r>
          <w:rPr>
            <w:rFonts w:ascii="Cambria Math" w:hAnsi="Cambria Math"/>
          </w:rPr>
          <m:t>t</m:t>
        </m:r>
      </m:oMath>
      <w:r>
        <w:t>.</w:t>
      </w:r>
      <w:r w:rsidR="00366EF5">
        <w:t xml:space="preserve"> </w:t>
      </w:r>
    </w:p>
    <w:p w14:paraId="6331FF9F" w14:textId="36BA1990" w:rsidR="00D640F1" w:rsidRDefault="00000000" w:rsidP="00503769">
      <w:pPr>
        <w:pStyle w:val="Heading3"/>
        <w:jc w:val="both"/>
      </w:pPr>
      <w:r>
        <w:t>3.</w:t>
      </w:r>
      <w:r w:rsidR="00B622AD">
        <w:t>4</w:t>
      </w:r>
      <w:r>
        <w:t xml:space="preserve">.3 Minimum Variance Portfolio </w:t>
      </w:r>
    </w:p>
    <w:p w14:paraId="102873BF" w14:textId="736ABF73" w:rsidR="00D640F1" w:rsidRDefault="000B73EF" w:rsidP="00503769">
      <w:pPr>
        <w:spacing w:after="240"/>
        <w:jc w:val="both"/>
      </w:pPr>
      <w:r>
        <w:t xml:space="preserve">The minimum variance portfolio is built to reduce the investor's risk by minimizing the portfolio's variance. </w:t>
      </w:r>
      <w:r w:rsidR="00057E70" w:rsidRPr="00057E70">
        <w:t xml:space="preserve">This is </w:t>
      </w:r>
      <w:r w:rsidR="00192B3E">
        <w:t>achieved</w:t>
      </w:r>
      <w:r w:rsidR="00057E70" w:rsidRPr="00057E70">
        <w:t xml:space="preserve"> by selecting </w:t>
      </w:r>
      <w:r w:rsidR="00947FE3">
        <w:t>the</w:t>
      </w:r>
      <w:r w:rsidR="00057E70" w:rsidRPr="00057E70">
        <w:t xml:space="preserve"> combination of </w:t>
      </w:r>
      <w:r w:rsidR="004D1846">
        <w:t xml:space="preserve">the </w:t>
      </w:r>
      <w:r w:rsidR="00057E70" w:rsidRPr="00057E70">
        <w:t xml:space="preserve">assets whose returns have the lowest overall variance, considering </w:t>
      </w:r>
      <w:r w:rsidR="00026405">
        <w:t>eac</w:t>
      </w:r>
      <w:r w:rsidR="003E379A">
        <w:t>h</w:t>
      </w:r>
      <w:r w:rsidR="00057E70" w:rsidRPr="00057E70">
        <w:t xml:space="preserve"> individual </w:t>
      </w:r>
      <w:r w:rsidR="00026405">
        <w:t xml:space="preserve">commodity’s </w:t>
      </w:r>
      <w:r w:rsidR="00057E70" w:rsidRPr="00057E70">
        <w:t>volatilit</w:t>
      </w:r>
      <w:r w:rsidR="00056185">
        <w:t>y</w:t>
      </w:r>
      <w:r w:rsidR="00057E70">
        <w:t xml:space="preserve">. </w:t>
      </w:r>
      <w:r w:rsidR="00550952" w:rsidRPr="00381C36">
        <w:t xml:space="preserve">During market volatile times, investors </w:t>
      </w:r>
      <w:r w:rsidR="00094006">
        <w:t>might</w:t>
      </w:r>
      <w:r w:rsidR="00550952" w:rsidRPr="00381C36">
        <w:t xml:space="preserve"> prefer the </w:t>
      </w:r>
      <w:r w:rsidR="00111E61">
        <w:t>m</w:t>
      </w:r>
      <w:r w:rsidR="00550952" w:rsidRPr="00381C36">
        <w:t xml:space="preserve">inimum </w:t>
      </w:r>
      <w:r w:rsidR="00111E61">
        <w:t>v</w:t>
      </w:r>
      <w:r w:rsidR="00550952" w:rsidRPr="00381C36">
        <w:t xml:space="preserve">ariance </w:t>
      </w:r>
      <w:r w:rsidR="00111E61">
        <w:t>p</w:t>
      </w:r>
      <w:r w:rsidR="00550952" w:rsidRPr="00381C36">
        <w:t>ortfolio as the</w:t>
      </w:r>
      <w:r w:rsidR="00DC1837">
        <w:t xml:space="preserve">ir goal is </w:t>
      </w:r>
      <w:r w:rsidR="00550952" w:rsidRPr="00381C36">
        <w:t>to preserve their asset value</w:t>
      </w:r>
      <w:r w:rsidR="007B63B9">
        <w:t xml:space="preserve">s </w:t>
      </w:r>
      <w:r w:rsidR="00550952" w:rsidRPr="00381C36">
        <w:t xml:space="preserve">by focusing on minimizing risk rather than maximizing returns. This portfolio can provide a conservative investment strategy that </w:t>
      </w:r>
      <w:r w:rsidR="00C94F0E">
        <w:t>suits</w:t>
      </w:r>
      <w:r w:rsidR="00550952" w:rsidRPr="00381C36">
        <w:t xml:space="preserve"> the risk tolerance</w:t>
      </w:r>
      <w:r w:rsidR="004B1645">
        <w:t xml:space="preserve"> level</w:t>
      </w:r>
      <w:r w:rsidR="00550952" w:rsidRPr="00381C36">
        <w:t xml:space="preserve"> </w:t>
      </w:r>
      <w:r w:rsidR="0024766C">
        <w:t>of</w:t>
      </w:r>
      <w:r w:rsidR="00550952" w:rsidRPr="00381C36">
        <w:t xml:space="preserve"> certain investors.</w:t>
      </w:r>
      <w:r w:rsidR="00550952">
        <w:t xml:space="preserve"> </w:t>
      </w:r>
      <w:r>
        <w:t xml:space="preserve">The function is defined as follows: </w:t>
      </w:r>
    </w:p>
    <w:p w14:paraId="3A325538" w14:textId="34A7F0A7" w:rsidR="005E7690" w:rsidRPr="00437A49" w:rsidRDefault="00000000" w:rsidP="005E7690">
      <w:pPr>
        <w:spacing w:after="240"/>
        <w:ind w:left="360"/>
        <w:jc w:val="center"/>
      </w:pPr>
      <m:oMathPara>
        <m:oMath>
          <m:eqArr>
            <m:eqArrPr>
              <m:maxDist m:val="1"/>
              <m:ctrlPr>
                <w:rPr>
                  <w:rFonts w:ascii="Cambria Math" w:hAnsi="Cambria Math"/>
                  <w:i/>
                </w:rPr>
              </m:ctrlPr>
            </m:eqArrPr>
            <m:e>
              <m:r>
                <w:rPr>
                  <w:rFonts w:ascii="Cambria Math" w:hAnsi="Cambria Math"/>
                </w:rPr>
                <m:t xml:space="preserve">Min </m:t>
              </m:r>
              <m:d>
                <m:dPr>
                  <m:begChr m:val="{"/>
                  <m:endChr m:val="}"/>
                  <m:ctrlPr>
                    <w:rPr>
                      <w:rFonts w:ascii="Cambria Math" w:hAnsi="Cambria Math"/>
                    </w:rPr>
                  </m:ctrlPr>
                </m:dPr>
                <m:e>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 xml:space="preserve"> </m:t>
                      </m:r>
                    </m:sub>
                    <m:sup>
                      <m:r>
                        <m:rPr>
                          <m:sty m:val="bi"/>
                        </m:rPr>
                        <w:rPr>
                          <w:rFonts w:ascii="Cambria Math" w:hAnsi="Cambria Math"/>
                        </w:rPr>
                        <m:t>T</m:t>
                      </m:r>
                    </m:sup>
                  </m:sSubSup>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r>
                    <m:rPr>
                      <m:sty m:val="bi"/>
                    </m:rPr>
                    <w:rPr>
                      <w:rFonts w:ascii="Cambria Math" w:hAnsi="Cambria Math"/>
                    </w:rPr>
                    <m:t>w</m:t>
                  </m:r>
                </m:e>
              </m:d>
              <m:r>
                <w:rPr>
                  <w:rFonts w:ascii="Cambria Math" w:hAnsi="Cambria Math"/>
                </w:rPr>
                <m:t xml:space="preserve">, subject to </m:t>
              </m:r>
              <m:sSubSup>
                <m:sSubSupPr>
                  <m:ctrlPr>
                    <w:rPr>
                      <w:rFonts w:ascii="Cambria Math" w:hAnsi="Cambria Math"/>
                    </w:rPr>
                  </m:ctrlPr>
                </m:sSubSupPr>
                <m:e>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w</m:t>
                      </m:r>
                    </m:e>
                  </m:nary>
                </m:e>
                <m:sub>
                  <m:r>
                    <w:rPr>
                      <w:rFonts w:ascii="Cambria Math" w:hAnsi="Cambria Math"/>
                    </w:rPr>
                    <m:t>it</m:t>
                  </m:r>
                </m:sub>
                <m:sup>
                  <m:r>
                    <w:rPr>
                      <w:rFonts w:ascii="Cambria Math" w:hAnsi="Cambria Math"/>
                    </w:rPr>
                    <m:t xml:space="preserve"> </m:t>
                  </m:r>
                </m:sup>
              </m:sSubSup>
              <m:r>
                <w:rPr>
                  <w:rFonts w:ascii="Cambria Math" w:hAnsi="Cambria Math"/>
                </w:rPr>
                <m:t xml:space="preserve">=1 and </m:t>
              </m:r>
              <m:sSubSup>
                <m:sSubSupPr>
                  <m:ctrlPr>
                    <w:rPr>
                      <w:rFonts w:ascii="Cambria Math" w:hAnsi="Cambria Math"/>
                    </w:rPr>
                  </m:ctrlPr>
                </m:sSubSupPr>
                <m:e>
                  <m:r>
                    <m:rPr>
                      <m:sty m:val="p"/>
                    </m:rPr>
                    <w:rPr>
                      <w:rFonts w:ascii="Cambria Math" w:hAnsi="Cambria Math"/>
                    </w:rPr>
                    <m:t>w</m:t>
                  </m:r>
                </m:e>
                <m:sub>
                  <m:r>
                    <w:rPr>
                      <w:rFonts w:ascii="Cambria Math" w:hAnsi="Cambria Math"/>
                    </w:rPr>
                    <m:t>it</m:t>
                  </m:r>
                </m:sub>
                <m:sup>
                  <m:r>
                    <w:rPr>
                      <w:rFonts w:ascii="Cambria Math" w:hAnsi="Cambria Math"/>
                    </w:rPr>
                    <m:t xml:space="preserve"> </m:t>
                  </m:r>
                </m:sup>
              </m:sSubSup>
              <m:r>
                <w:rPr>
                  <w:rFonts w:ascii="Cambria Math" w:hAnsi="Cambria Math"/>
                </w:rPr>
                <m:t>&gt;0 #</m:t>
              </m:r>
              <m:d>
                <m:dPr>
                  <m:ctrlPr>
                    <w:rPr>
                      <w:rFonts w:ascii="Cambria Math" w:hAnsi="Cambria Math"/>
                      <w:i/>
                    </w:rPr>
                  </m:ctrlPr>
                </m:dPr>
                <m:e>
                  <m:r>
                    <w:rPr>
                      <w:rFonts w:ascii="Cambria Math" w:hAnsi="Cambria Math"/>
                    </w:rPr>
                    <m:t>12</m:t>
                  </m:r>
                </m:e>
              </m:d>
            </m:e>
          </m:eqArr>
        </m:oMath>
      </m:oMathPara>
    </w:p>
    <w:p w14:paraId="0AA6C077" w14:textId="377C6CD6" w:rsidR="005E7690" w:rsidRDefault="004E664B" w:rsidP="00503769">
      <w:pPr>
        <w:spacing w:after="240"/>
        <w:jc w:val="both"/>
      </w:pPr>
      <w:r>
        <w:t>w</w:t>
      </w:r>
      <w:r w:rsidR="006B7D8F">
        <w:t xml:space="preserve">here </w:t>
      </w:r>
      <m:oMath>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oMath>
      <w:r w:rsidR="006B7D8F">
        <w:t xml:space="preserve"> is the time-varying </w:t>
      </w:r>
      <w:r w:rsidR="00922137">
        <w:t xml:space="preserve">conditional </w:t>
      </w:r>
      <w:r w:rsidR="002500B8">
        <w:t>variance-</w:t>
      </w:r>
      <w:r w:rsidR="006B7D8F">
        <w:t>covariance matrix</w:t>
      </w:r>
      <w:r w:rsidR="000F25D5">
        <w:t xml:space="preserve">. </w:t>
      </w:r>
    </w:p>
    <w:p w14:paraId="74E38682" w14:textId="3BA23C73" w:rsidR="00D640F1" w:rsidRDefault="00000000" w:rsidP="00503769">
      <w:pPr>
        <w:pStyle w:val="Heading3"/>
        <w:jc w:val="both"/>
        <w:rPr>
          <w:highlight w:val="white"/>
        </w:rPr>
      </w:pPr>
      <w:r>
        <w:rPr>
          <w:highlight w:val="white"/>
        </w:rPr>
        <w:t>3.</w:t>
      </w:r>
      <w:r w:rsidR="009838B9">
        <w:rPr>
          <w:highlight w:val="white"/>
        </w:rPr>
        <w:t>4</w:t>
      </w:r>
      <w:r>
        <w:rPr>
          <w:highlight w:val="white"/>
        </w:rPr>
        <w:t>.4 Minimum Correlation Portfolio</w:t>
      </w:r>
    </w:p>
    <w:p w14:paraId="57AC0DDB" w14:textId="4BC677DB" w:rsidR="00D640F1" w:rsidRDefault="00263E06" w:rsidP="00503769">
      <w:pPr>
        <w:spacing w:after="240"/>
        <w:jc w:val="both"/>
        <w:rPr>
          <w:highlight w:val="white"/>
        </w:rPr>
      </w:pPr>
      <w:r>
        <w:rPr>
          <w:highlight w:val="white"/>
        </w:rPr>
        <w:t xml:space="preserve">This </w:t>
      </w:r>
      <w:r w:rsidR="006F5E5F">
        <w:rPr>
          <w:highlight w:val="white"/>
        </w:rPr>
        <w:t>study</w:t>
      </w:r>
      <w:r>
        <w:rPr>
          <w:highlight w:val="white"/>
        </w:rPr>
        <w:t xml:space="preserve"> creates the minimum correlation portfolio based on the time-varying conditional correlation matrix. </w:t>
      </w:r>
      <w:r w:rsidR="00E65B95">
        <w:rPr>
          <w:highlight w:val="white"/>
        </w:rPr>
        <w:t xml:space="preserve">The time-varying conditional correlation matrix is calculated based on the time-varying variance-covariance matrix. </w:t>
      </w:r>
      <w:r>
        <w:rPr>
          <w:highlight w:val="white"/>
        </w:rPr>
        <w:t xml:space="preserve">The correlation between assets has a significant </w:t>
      </w:r>
      <w:r w:rsidR="00C03C05">
        <w:rPr>
          <w:highlight w:val="white"/>
        </w:rPr>
        <w:t>influence</w:t>
      </w:r>
      <w:r>
        <w:rPr>
          <w:highlight w:val="white"/>
        </w:rPr>
        <w:t xml:space="preserve"> on the risk and return of the portfolio. If assets are highly positively correlated, when one asset suffers losses, others may also be affected, thereby increasing the overall risk of the portfolio. Conversely, if assets exhibit a negative correlation or low correlation, it may provide some degree of hedging when some assets perform poorly, thereby reducing the overall risk of the portfolio.</w:t>
      </w:r>
      <w:r w:rsidR="00456723">
        <w:rPr>
          <w:highlight w:val="white"/>
        </w:rPr>
        <w:t xml:space="preserve"> </w:t>
      </w:r>
      <w:r w:rsidR="009C589B">
        <w:rPr>
          <w:highlight w:val="white"/>
        </w:rPr>
        <w:t xml:space="preserve">The </w:t>
      </w:r>
      <w:r w:rsidR="00521628">
        <w:rPr>
          <w:highlight w:val="white"/>
        </w:rPr>
        <w:t xml:space="preserve">calculation of </w:t>
      </w:r>
      <w:r w:rsidR="00A81EE6">
        <w:rPr>
          <w:highlight w:val="white"/>
        </w:rPr>
        <w:t xml:space="preserve">the </w:t>
      </w:r>
      <w:r w:rsidR="0043020C">
        <w:rPr>
          <w:highlight w:val="white"/>
        </w:rPr>
        <w:t xml:space="preserve">time-varying correlation equation and </w:t>
      </w:r>
      <w:r w:rsidR="009C589B">
        <w:rPr>
          <w:highlight w:val="white"/>
        </w:rPr>
        <w:t xml:space="preserve">minimum correlation portfolio </w:t>
      </w:r>
      <w:r w:rsidR="004E4068">
        <w:rPr>
          <w:highlight w:val="white"/>
        </w:rPr>
        <w:t>function</w:t>
      </w:r>
      <w:r w:rsidR="009C589B">
        <w:rPr>
          <w:highlight w:val="white"/>
        </w:rPr>
        <w:t xml:space="preserve"> </w:t>
      </w:r>
      <w:r w:rsidR="008F36D7">
        <w:rPr>
          <w:highlight w:val="white"/>
        </w:rPr>
        <w:t>are</w:t>
      </w:r>
      <w:r w:rsidR="009C589B">
        <w:rPr>
          <w:highlight w:val="white"/>
        </w:rPr>
        <w:t xml:space="preserve"> defined as follows:</w:t>
      </w:r>
      <w:r w:rsidR="00D4577A">
        <w:rPr>
          <w:highlight w:val="white"/>
        </w:rPr>
        <w:t xml:space="preserve"> </w:t>
      </w:r>
    </w:p>
    <w:p w14:paraId="4EF3AABC" w14:textId="38379C2D" w:rsidR="00DA0917" w:rsidRPr="00DA0917" w:rsidRDefault="00000000" w:rsidP="00DA0917">
      <w:pPr>
        <w:spacing w:after="240"/>
        <w:ind w:left="360"/>
        <w:jc w:val="center"/>
        <w:rPr>
          <w:b/>
          <w:bCs/>
        </w:rPr>
      </w:pPr>
      <m:oMathPara>
        <m:oMath>
          <m:eqArr>
            <m:eqArrPr>
              <m:maxDist m:val="1"/>
              <m:ctrlPr>
                <w:rPr>
                  <w:rFonts w:ascii="Cambria Math" w:hAnsi="Cambria Math"/>
                  <w:b/>
                  <w:bCs/>
                  <w:i/>
                </w:rPr>
              </m:ctrlPr>
            </m:eqArrPr>
            <m:e>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r>
                <w:rPr>
                  <w:rFonts w:ascii="Cambria Math" w:hAnsi="Cambria Math"/>
                </w:rPr>
                <m:t>=</m:t>
              </m:r>
              <m:sSubSup>
                <m:sSubSupPr>
                  <m:ctrlPr>
                    <w:rPr>
                      <w:rFonts w:ascii="Cambria Math" w:hAnsi="Cambria Math"/>
                      <w:b/>
                      <w:bCs/>
                    </w:rPr>
                  </m:ctrlPr>
                </m:sSubSupPr>
                <m:e>
                  <m:r>
                    <m:rPr>
                      <m:sty m:val="bi"/>
                    </m:rPr>
                    <w:rPr>
                      <w:rFonts w:ascii="Cambria Math" w:hAnsi="Cambria Math"/>
                    </w:rPr>
                    <m:t>D</m:t>
                  </m:r>
                </m:e>
                <m:sub>
                  <m:r>
                    <m:rPr>
                      <m:sty m:val="bi"/>
                    </m:rPr>
                    <w:rPr>
                      <w:rFonts w:ascii="Cambria Math" w:hAnsi="Cambria Math"/>
                    </w:rPr>
                    <m:t>t</m:t>
                  </m:r>
                </m:sub>
                <m:sup>
                  <m:r>
                    <m:rPr>
                      <m:sty m:val="bi"/>
                    </m:rPr>
                    <w:rPr>
                      <w:rFonts w:ascii="Cambria Math" w:hAnsi="Cambria Math"/>
                    </w:rPr>
                    <m:t xml:space="preserve"> </m:t>
                  </m:r>
                </m:sup>
              </m:sSubSup>
              <m:sSubSup>
                <m:sSubSupPr>
                  <m:ctrlPr>
                    <w:rPr>
                      <w:rFonts w:ascii="Cambria Math" w:hAnsi="Cambria Math"/>
                      <w:b/>
                      <w:bCs/>
                    </w:rPr>
                  </m:ctrlPr>
                </m:sSubSupPr>
                <m:e>
                  <m:r>
                    <m:rPr>
                      <m:sty m:val="bi"/>
                    </m:rPr>
                    <w:rPr>
                      <w:rFonts w:ascii="Cambria Math" w:hAnsi="Cambria Math"/>
                    </w:rPr>
                    <m:t>R</m:t>
                  </m:r>
                </m:e>
                <m:sub>
                  <m:r>
                    <m:rPr>
                      <m:sty m:val="bi"/>
                    </m:rPr>
                    <w:rPr>
                      <w:rFonts w:ascii="Cambria Math" w:hAnsi="Cambria Math"/>
                    </w:rPr>
                    <m:t>t</m:t>
                  </m:r>
                </m:sub>
                <m:sup>
                  <m:r>
                    <m:rPr>
                      <m:sty m:val="bi"/>
                    </m:rPr>
                    <w:rPr>
                      <w:rFonts w:ascii="Cambria Math" w:hAnsi="Cambria Math"/>
                    </w:rPr>
                    <m:t xml:space="preserve"> </m:t>
                  </m:r>
                </m:sup>
              </m:sSubSup>
              <m:sSubSup>
                <m:sSubSupPr>
                  <m:ctrlPr>
                    <w:rPr>
                      <w:rFonts w:ascii="Cambria Math" w:hAnsi="Cambria Math"/>
                      <w:b/>
                      <w:bCs/>
                    </w:rPr>
                  </m:ctrlPr>
                </m:sSubSupPr>
                <m:e>
                  <m:r>
                    <m:rPr>
                      <m:sty m:val="bi"/>
                    </m:rPr>
                    <w:rPr>
                      <w:rFonts w:ascii="Cambria Math" w:hAnsi="Cambria Math"/>
                    </w:rPr>
                    <m:t>D</m:t>
                  </m:r>
                </m:e>
                <m:sub>
                  <m:r>
                    <m:rPr>
                      <m:sty m:val="bi"/>
                    </m:rPr>
                    <w:rPr>
                      <w:rFonts w:ascii="Cambria Math" w:hAnsi="Cambria Math"/>
                    </w:rPr>
                    <m:t>t</m:t>
                  </m:r>
                </m:sub>
                <m:sup>
                  <m:r>
                    <m:rPr>
                      <m:sty m:val="bi"/>
                    </m:rPr>
                    <w:rPr>
                      <w:rFonts w:ascii="Cambria Math" w:hAnsi="Cambria Math"/>
                    </w:rPr>
                    <m:t xml:space="preserve"> </m:t>
                  </m:r>
                </m:sup>
              </m:sSubSup>
              <m:r>
                <m:rPr>
                  <m:sty m:val="bi"/>
                </m:rPr>
                <w:rPr>
                  <w:rFonts w:ascii="Cambria Math" w:hAnsi="Cambria Math"/>
                </w:rPr>
                <m:t xml:space="preserve"> #</m:t>
              </m:r>
              <m:d>
                <m:dPr>
                  <m:ctrlPr>
                    <w:rPr>
                      <w:rFonts w:ascii="Cambria Math" w:hAnsi="Cambria Math"/>
                      <w:b/>
                      <w:bCs/>
                      <w:i/>
                    </w:rPr>
                  </m:ctrlPr>
                </m:dPr>
                <m:e>
                  <m:r>
                    <w:rPr>
                      <w:rFonts w:ascii="Cambria Math" w:hAnsi="Cambria Math"/>
                    </w:rPr>
                    <m:t>13</m:t>
                  </m:r>
                </m:e>
              </m:d>
            </m:e>
          </m:eqArr>
        </m:oMath>
      </m:oMathPara>
    </w:p>
    <w:p w14:paraId="0398C257" w14:textId="5F929019" w:rsidR="00F45C3C" w:rsidRPr="00437A49" w:rsidRDefault="00000000" w:rsidP="00F45C3C">
      <w:pPr>
        <w:spacing w:after="240"/>
        <w:ind w:left="360"/>
        <w:jc w:val="center"/>
      </w:pPr>
      <m:oMathPara>
        <m:oMath>
          <m:eqArr>
            <m:eqArrPr>
              <m:maxDist m:val="1"/>
              <m:ctrlPr>
                <w:rPr>
                  <w:rFonts w:ascii="Cambria Math" w:hAnsi="Cambria Math"/>
                  <w:i/>
                </w:rPr>
              </m:ctrlPr>
            </m:eqArrPr>
            <m:e>
              <m:r>
                <w:rPr>
                  <w:rFonts w:ascii="Cambria Math" w:hAnsi="Cambria Math"/>
                </w:rPr>
                <m:t xml:space="preserve">Min </m:t>
              </m:r>
              <m:d>
                <m:dPr>
                  <m:begChr m:val="{"/>
                  <m:endChr m:val="}"/>
                  <m:ctrlPr>
                    <w:rPr>
                      <w:rFonts w:ascii="Cambria Math" w:hAnsi="Cambria Math"/>
                    </w:rPr>
                  </m:ctrlPr>
                </m:dPr>
                <m:e>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 xml:space="preserve"> </m:t>
                      </m:r>
                    </m:sub>
                    <m:sup>
                      <m:r>
                        <m:rPr>
                          <m:sty m:val="bi"/>
                        </m:rPr>
                        <w:rPr>
                          <w:rFonts w:ascii="Cambria Math" w:hAnsi="Cambria Math"/>
                        </w:rPr>
                        <m:t>T</m:t>
                      </m:r>
                    </m:sup>
                  </m:sSubSup>
                  <m:sSubSup>
                    <m:sSubSupPr>
                      <m:ctrlPr>
                        <w:rPr>
                          <w:rFonts w:ascii="Cambria Math" w:hAnsi="Cambria Math"/>
                          <w:b/>
                          <w:bCs/>
                        </w:rPr>
                      </m:ctrlPr>
                    </m:sSubSupPr>
                    <m:e>
                      <m:r>
                        <m:rPr>
                          <m:sty m:val="bi"/>
                        </m:rPr>
                        <w:rPr>
                          <w:rFonts w:ascii="Cambria Math" w:hAnsi="Cambria Math"/>
                        </w:rPr>
                        <m:t>R</m:t>
                      </m:r>
                    </m:e>
                    <m:sub>
                      <m:r>
                        <m:rPr>
                          <m:sty m:val="bi"/>
                        </m:rPr>
                        <w:rPr>
                          <w:rFonts w:ascii="Cambria Math" w:hAnsi="Cambria Math"/>
                        </w:rPr>
                        <m:t>t</m:t>
                      </m:r>
                    </m:sub>
                    <m:sup>
                      <m:r>
                        <m:rPr>
                          <m:sty m:val="bi"/>
                        </m:rPr>
                        <w:rPr>
                          <w:rFonts w:ascii="Cambria Math" w:hAnsi="Cambria Math"/>
                        </w:rPr>
                        <m:t xml:space="preserve"> </m:t>
                      </m:r>
                    </m:sup>
                  </m:sSubSup>
                  <m:r>
                    <m:rPr>
                      <m:sty m:val="bi"/>
                    </m:rPr>
                    <w:rPr>
                      <w:rFonts w:ascii="Cambria Math" w:hAnsi="Cambria Math"/>
                    </w:rPr>
                    <m:t>w</m:t>
                  </m:r>
                </m:e>
              </m:d>
              <m:r>
                <w:rPr>
                  <w:rFonts w:ascii="Cambria Math" w:hAnsi="Cambria Math"/>
                </w:rPr>
                <m:t xml:space="preserve">, subject to </m:t>
              </m:r>
              <m:sSubSup>
                <m:sSubSupPr>
                  <m:ctrlPr>
                    <w:rPr>
                      <w:rFonts w:ascii="Cambria Math" w:hAnsi="Cambria Math"/>
                    </w:rPr>
                  </m:ctrlPr>
                </m:sSubSupPr>
                <m:e>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w</m:t>
                      </m:r>
                    </m:e>
                  </m:nary>
                </m:e>
                <m:sub>
                  <m:r>
                    <w:rPr>
                      <w:rFonts w:ascii="Cambria Math" w:hAnsi="Cambria Math"/>
                    </w:rPr>
                    <m:t>it</m:t>
                  </m:r>
                </m:sub>
                <m:sup>
                  <m:r>
                    <w:rPr>
                      <w:rFonts w:ascii="Cambria Math" w:hAnsi="Cambria Math"/>
                    </w:rPr>
                    <m:t xml:space="preserve"> </m:t>
                  </m:r>
                </m:sup>
              </m:sSubSup>
              <m:r>
                <w:rPr>
                  <w:rFonts w:ascii="Cambria Math" w:hAnsi="Cambria Math"/>
                </w:rPr>
                <m:t xml:space="preserve">=1 and </m:t>
              </m:r>
              <m:sSubSup>
                <m:sSubSupPr>
                  <m:ctrlPr>
                    <w:rPr>
                      <w:rFonts w:ascii="Cambria Math" w:hAnsi="Cambria Math"/>
                    </w:rPr>
                  </m:ctrlPr>
                </m:sSubSupPr>
                <m:e>
                  <m:r>
                    <m:rPr>
                      <m:sty m:val="p"/>
                    </m:rPr>
                    <w:rPr>
                      <w:rFonts w:ascii="Cambria Math" w:hAnsi="Cambria Math"/>
                    </w:rPr>
                    <m:t>w</m:t>
                  </m:r>
                </m:e>
                <m:sub>
                  <m:r>
                    <w:rPr>
                      <w:rFonts w:ascii="Cambria Math" w:hAnsi="Cambria Math"/>
                    </w:rPr>
                    <m:t>it</m:t>
                  </m:r>
                </m:sub>
                <m:sup>
                  <m:r>
                    <w:rPr>
                      <w:rFonts w:ascii="Cambria Math" w:hAnsi="Cambria Math"/>
                    </w:rPr>
                    <m:t xml:space="preserve"> </m:t>
                  </m:r>
                </m:sup>
              </m:sSubSup>
              <m:r>
                <w:rPr>
                  <w:rFonts w:ascii="Cambria Math" w:hAnsi="Cambria Math"/>
                </w:rPr>
                <m:t>&gt;0 #</m:t>
              </m:r>
              <m:d>
                <m:dPr>
                  <m:ctrlPr>
                    <w:rPr>
                      <w:rFonts w:ascii="Cambria Math" w:hAnsi="Cambria Math"/>
                      <w:i/>
                    </w:rPr>
                  </m:ctrlPr>
                </m:dPr>
                <m:e>
                  <m:r>
                    <w:rPr>
                      <w:rFonts w:ascii="Cambria Math" w:hAnsi="Cambria Math"/>
                    </w:rPr>
                    <m:t>14</m:t>
                  </m:r>
                </m:e>
              </m:d>
            </m:e>
          </m:eqArr>
        </m:oMath>
      </m:oMathPara>
    </w:p>
    <w:p w14:paraId="5073F259" w14:textId="63896A65" w:rsidR="00D640F1" w:rsidRDefault="00026BD6" w:rsidP="00503769">
      <w:pPr>
        <w:spacing w:after="240"/>
        <w:jc w:val="both"/>
      </w:pPr>
      <w:r>
        <w:t>where</w:t>
      </w:r>
      <w:r w:rsidR="00FD1E01">
        <w:t xml:space="preserve"> </w:t>
      </w:r>
      <m:oMath>
        <m:sSubSup>
          <m:sSubSupPr>
            <m:ctrlPr>
              <w:rPr>
                <w:rFonts w:ascii="Cambria Math" w:hAnsi="Cambria Math"/>
                <w:b/>
                <w:bCs/>
              </w:rPr>
            </m:ctrlPr>
          </m:sSubSupPr>
          <m:e>
            <m:r>
              <m:rPr>
                <m:sty m:val="bi"/>
              </m:rPr>
              <w:rPr>
                <w:rFonts w:ascii="Cambria Math" w:hAnsi="Cambria Math"/>
              </w:rPr>
              <m:t>D</m:t>
            </m:r>
          </m:e>
          <m:sub>
            <m:r>
              <m:rPr>
                <m:sty m:val="bi"/>
              </m:rPr>
              <w:rPr>
                <w:rFonts w:ascii="Cambria Math" w:hAnsi="Cambria Math"/>
              </w:rPr>
              <m:t>t</m:t>
            </m:r>
          </m:sub>
          <m:sup>
            <m:r>
              <m:rPr>
                <m:sty m:val="bi"/>
              </m:rPr>
              <w:rPr>
                <w:rFonts w:ascii="Cambria Math" w:hAnsi="Cambria Math"/>
              </w:rPr>
              <m:t xml:space="preserve"> </m:t>
            </m:r>
          </m:sup>
        </m:sSubSup>
      </m:oMath>
      <w:r w:rsidR="00FD1E01">
        <w:rPr>
          <w:b/>
          <w:bCs/>
        </w:rPr>
        <w:t xml:space="preserve"> </w:t>
      </w:r>
      <w:r w:rsidR="00FD1E01">
        <w:t xml:space="preserve">is the diagonal form of conditional </w:t>
      </w:r>
      <w:r w:rsidR="00A96492">
        <w:t>volatility</w:t>
      </w:r>
      <w:r w:rsidR="00FD1E01">
        <w:t xml:space="preserve"> as shown in Equation (</w:t>
      </w:r>
      <w:r w:rsidR="004303E1">
        <w:t>9</w:t>
      </w:r>
      <w:r w:rsidR="00FD1E01">
        <w:t>)</w:t>
      </w:r>
      <w:r w:rsidR="004303E1">
        <w:t>,</w:t>
      </w:r>
      <w:r>
        <w:t xml:space="preserve"> </w:t>
      </w:r>
      <m:oMath>
        <m:sSubSup>
          <m:sSubSupPr>
            <m:ctrlPr>
              <w:rPr>
                <w:rFonts w:ascii="Cambria Math" w:hAnsi="Cambria Math"/>
                <w:b/>
                <w:bCs/>
              </w:rPr>
            </m:ctrlPr>
          </m:sSubSupPr>
          <m:e>
            <m:r>
              <m:rPr>
                <m:sty m:val="bi"/>
              </m:rPr>
              <w:rPr>
                <w:rFonts w:ascii="Cambria Math" w:hAnsi="Cambria Math"/>
              </w:rPr>
              <m:t>R</m:t>
            </m:r>
          </m:e>
          <m:sub>
            <m:r>
              <m:rPr>
                <m:sty m:val="bi"/>
              </m:rPr>
              <w:rPr>
                <w:rFonts w:ascii="Cambria Math" w:hAnsi="Cambria Math"/>
              </w:rPr>
              <m:t>t</m:t>
            </m:r>
          </m:sub>
          <m:sup>
            <m:r>
              <m:rPr>
                <m:sty m:val="bi"/>
              </m:rPr>
              <w:rPr>
                <w:rFonts w:ascii="Cambria Math" w:hAnsi="Cambria Math"/>
              </w:rPr>
              <m:t xml:space="preserve"> </m:t>
            </m:r>
          </m:sup>
        </m:sSubSup>
      </m:oMath>
      <w:r>
        <w:t xml:space="preserve"> is the time-varying conditional correlation matrix.</w:t>
      </w:r>
      <w:r w:rsidR="006C0104">
        <w:t xml:space="preserve"> </w:t>
      </w:r>
    </w:p>
    <w:p w14:paraId="0B251A2D" w14:textId="42E93127" w:rsidR="00D640F1" w:rsidRDefault="00000000" w:rsidP="00503769">
      <w:pPr>
        <w:pStyle w:val="Heading3"/>
        <w:jc w:val="both"/>
      </w:pPr>
      <w:r>
        <w:t>3.</w:t>
      </w:r>
      <w:r w:rsidR="007827AF">
        <w:t>4</w:t>
      </w:r>
      <w:r>
        <w:t>.5 Maximum Sharpe Ratio Portfolio</w:t>
      </w:r>
    </w:p>
    <w:p w14:paraId="2969DBA8" w14:textId="0A22C427" w:rsidR="00D640F1" w:rsidRDefault="00000000" w:rsidP="00503769">
      <w:pPr>
        <w:spacing w:after="240"/>
        <w:jc w:val="both"/>
      </w:pPr>
      <w:r>
        <w:t xml:space="preserve">The maximum </w:t>
      </w:r>
      <w:r w:rsidR="00C62569">
        <w:t>Sharpe</w:t>
      </w:r>
      <w:r>
        <w:t xml:space="preserve"> ratio aims to optimize the ratio of the portfolio's excess return to its </w:t>
      </w:r>
      <w:r w:rsidR="00970072">
        <w:t>volatility</w:t>
      </w:r>
      <w:r>
        <w:t xml:space="preserve">, thus maximizing risk-adjusted return. The function for the maximized </w:t>
      </w:r>
      <w:r w:rsidR="00C62569">
        <w:t>Sharpe</w:t>
      </w:r>
      <w:r>
        <w:t xml:space="preserve"> ratio with a fixed risk-free rate is as follows: </w:t>
      </w:r>
    </w:p>
    <w:p w14:paraId="39AB6A85" w14:textId="2B4FDD2C" w:rsidR="00887C24" w:rsidRDefault="00000000" w:rsidP="0039576C">
      <w:pPr>
        <w:spacing w:after="240"/>
        <w:ind w:left="360"/>
        <w:jc w:val="center"/>
      </w:pPr>
      <m:oMathPara>
        <m:oMath>
          <m:eqArr>
            <m:eqArrPr>
              <m:maxDist m:val="1"/>
              <m:ctrlPr>
                <w:rPr>
                  <w:rFonts w:ascii="Cambria Math" w:hAnsi="Cambria Math"/>
                  <w:i/>
                </w:rPr>
              </m:ctrlPr>
            </m:eqArrPr>
            <m:e>
              <m:r>
                <w:rPr>
                  <w:rFonts w:ascii="Cambria Math" w:hAnsi="Cambria Math"/>
                </w:rPr>
                <m:t xml:space="preserve">Max </m:t>
              </m:r>
              <m:d>
                <m:dPr>
                  <m:begChr m:val="{"/>
                  <m:endChr m:val="}"/>
                  <m:ctrlPr>
                    <w:rPr>
                      <w:rFonts w:ascii="Cambria Math" w:hAnsi="Cambria Math"/>
                    </w:rPr>
                  </m:ctrlPr>
                </m:dPr>
                <m:e>
                  <m:f>
                    <m:fPr>
                      <m:ctrlPr>
                        <w:rPr>
                          <w:rFonts w:ascii="Cambria Math" w:hAnsi="Cambria Math"/>
                        </w:rPr>
                      </m:ctrlPr>
                    </m:fPr>
                    <m:num>
                      <m:r>
                        <m:rPr>
                          <m:sty m:val="bi"/>
                        </m:rPr>
                        <w:rPr>
                          <w:rFonts w:ascii="Cambria Math" w:hAnsi="Cambria Math"/>
                        </w:rPr>
                        <m:t>E(R)</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m:t>
                          </m:r>
                        </m:sub>
                        <m:sup>
                          <m:r>
                            <w:rPr>
                              <w:rFonts w:ascii="Cambria Math" w:hAnsi="Cambria Math"/>
                            </w:rPr>
                            <m:t xml:space="preserve"> </m:t>
                          </m:r>
                        </m:sup>
                      </m:sSubSup>
                    </m:num>
                    <m:den>
                      <m:rad>
                        <m:radPr>
                          <m:degHide m:val="1"/>
                          <m:ctrlPr>
                            <w:rPr>
                              <w:rFonts w:ascii="Cambria Math" w:hAnsi="Cambria Math"/>
                            </w:rPr>
                          </m:ctrlPr>
                        </m:radPr>
                        <m:deg/>
                        <m:e>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 xml:space="preserve"> </m:t>
                              </m:r>
                            </m:sub>
                            <m:sup>
                              <m:r>
                                <m:rPr>
                                  <m:sty m:val="bi"/>
                                </m:rPr>
                                <w:rPr>
                                  <w:rFonts w:ascii="Cambria Math" w:hAnsi="Cambria Math"/>
                                </w:rPr>
                                <m:t>T</m:t>
                              </m:r>
                            </m:sup>
                          </m:sSubSup>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r>
                            <m:rPr>
                              <m:sty m:val="bi"/>
                            </m:rPr>
                            <w:rPr>
                              <w:rFonts w:ascii="Cambria Math" w:hAnsi="Cambria Math"/>
                            </w:rPr>
                            <m:t>w</m:t>
                          </m:r>
                        </m:e>
                      </m:rad>
                    </m:den>
                  </m:f>
                </m:e>
              </m:d>
              <m:r>
                <w:rPr>
                  <w:rFonts w:ascii="Cambria Math" w:hAnsi="Cambria Math"/>
                </w:rPr>
                <m:t xml:space="preserve">, subject to </m:t>
              </m:r>
              <m:sSubSup>
                <m:sSubSupPr>
                  <m:ctrlPr>
                    <w:rPr>
                      <w:rFonts w:ascii="Cambria Math" w:hAnsi="Cambria Math"/>
                    </w:rPr>
                  </m:ctrlPr>
                </m:sSubSupPr>
                <m:e>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w</m:t>
                      </m:r>
                    </m:e>
                  </m:nary>
                </m:e>
                <m:sub>
                  <m:r>
                    <w:rPr>
                      <w:rFonts w:ascii="Cambria Math" w:hAnsi="Cambria Math"/>
                    </w:rPr>
                    <m:t>it</m:t>
                  </m:r>
                </m:sub>
                <m:sup>
                  <m:r>
                    <w:rPr>
                      <w:rFonts w:ascii="Cambria Math" w:hAnsi="Cambria Math"/>
                    </w:rPr>
                    <m:t xml:space="preserve"> </m:t>
                  </m:r>
                </m:sup>
              </m:sSubSup>
              <m:r>
                <w:rPr>
                  <w:rFonts w:ascii="Cambria Math" w:hAnsi="Cambria Math"/>
                </w:rPr>
                <m:t xml:space="preserve">=1 and </m:t>
              </m:r>
              <m:sSubSup>
                <m:sSubSupPr>
                  <m:ctrlPr>
                    <w:rPr>
                      <w:rFonts w:ascii="Cambria Math" w:hAnsi="Cambria Math"/>
                    </w:rPr>
                  </m:ctrlPr>
                </m:sSubSupPr>
                <m:e>
                  <m:r>
                    <m:rPr>
                      <m:sty m:val="p"/>
                    </m:rPr>
                    <w:rPr>
                      <w:rFonts w:ascii="Cambria Math" w:hAnsi="Cambria Math"/>
                    </w:rPr>
                    <m:t>w</m:t>
                  </m:r>
                </m:e>
                <m:sub>
                  <m:r>
                    <w:rPr>
                      <w:rFonts w:ascii="Cambria Math" w:hAnsi="Cambria Math"/>
                    </w:rPr>
                    <m:t>it</m:t>
                  </m:r>
                </m:sub>
                <m:sup>
                  <m:r>
                    <w:rPr>
                      <w:rFonts w:ascii="Cambria Math" w:hAnsi="Cambria Math"/>
                    </w:rPr>
                    <m:t xml:space="preserve"> </m:t>
                  </m:r>
                </m:sup>
              </m:sSubSup>
              <m:r>
                <w:rPr>
                  <w:rFonts w:ascii="Cambria Math" w:hAnsi="Cambria Math"/>
                </w:rPr>
                <m:t>&gt;0 #</m:t>
              </m:r>
              <m:d>
                <m:dPr>
                  <m:ctrlPr>
                    <w:rPr>
                      <w:rFonts w:ascii="Cambria Math" w:hAnsi="Cambria Math"/>
                      <w:i/>
                    </w:rPr>
                  </m:ctrlPr>
                </m:dPr>
                <m:e>
                  <m:r>
                    <w:rPr>
                      <w:rFonts w:ascii="Cambria Math" w:hAnsi="Cambria Math"/>
                    </w:rPr>
                    <m:t>15</m:t>
                  </m:r>
                </m:e>
              </m:d>
            </m:e>
          </m:eqArr>
        </m:oMath>
      </m:oMathPara>
    </w:p>
    <w:p w14:paraId="2C9D1E76" w14:textId="194D593E" w:rsidR="00D640F1" w:rsidRDefault="00000000" w:rsidP="00503769">
      <w:pPr>
        <w:spacing w:after="240"/>
        <w:jc w:val="both"/>
      </w:pPr>
      <w:r>
        <w:t xml:space="preserve">where </w:t>
      </w:r>
      <m:oMath>
        <m:sSubSup>
          <m:sSubSupPr>
            <m:ctrlPr>
              <w:rPr>
                <w:rFonts w:ascii="Cambria Math" w:hAnsi="Cambria Math"/>
              </w:rPr>
            </m:ctrlPr>
          </m:sSubSupPr>
          <m:e>
            <m:r>
              <w:rPr>
                <w:rFonts w:ascii="Cambria Math" w:hAnsi="Cambria Math"/>
              </w:rPr>
              <m:t>R</m:t>
            </m:r>
          </m:e>
          <m:sub>
            <m:r>
              <w:rPr>
                <w:rFonts w:ascii="Cambria Math" w:hAnsi="Cambria Math"/>
              </w:rPr>
              <m:t>f</m:t>
            </m:r>
          </m:sub>
          <m:sup>
            <m:r>
              <w:rPr>
                <w:rFonts w:ascii="Cambria Math" w:hAnsi="Cambria Math"/>
              </w:rPr>
              <m:t xml:space="preserve"> </m:t>
            </m:r>
          </m:sup>
        </m:sSubSup>
      </m:oMath>
      <w:r>
        <w:t xml:space="preserve"> is the </w:t>
      </w:r>
      <w:r w:rsidR="00404361">
        <w:t xml:space="preserve">fixed </w:t>
      </w:r>
      <w:r>
        <w:t>risk-free rate</w:t>
      </w:r>
      <w:r w:rsidR="006A4BDB">
        <w:t xml:space="preserve"> </w:t>
      </w:r>
      <w:r w:rsidR="00404361">
        <w:t>of 0.02%</w:t>
      </w:r>
      <w:r w:rsidR="00F11CA3">
        <w:t xml:space="preserve">. By using the fixed risk-free rate, the consistency </w:t>
      </w:r>
      <w:r w:rsidR="00F11CA3" w:rsidRPr="00F11CA3">
        <w:t>across different optimizations</w:t>
      </w:r>
      <w:r w:rsidR="00F11CA3">
        <w:t xml:space="preserve"> is guaranteed.</w:t>
      </w:r>
      <w:r w:rsidR="006A4BDB">
        <w:t xml:space="preserve"> </w:t>
      </w:r>
      <m:oMath>
        <m:r>
          <w:rPr>
            <w:rFonts w:ascii="Cambria Math" w:hAnsi="Cambria Math"/>
          </w:rPr>
          <m:t>E(R</m:t>
        </m:r>
        <m:r>
          <m:rPr>
            <m:sty m:val="bi"/>
          </m:rPr>
          <w:rPr>
            <w:rFonts w:ascii="Cambria Math" w:hAnsi="Cambria Math"/>
          </w:rPr>
          <m:t>)</m:t>
        </m:r>
      </m:oMath>
      <w:r w:rsidR="006A4BDB">
        <w:t xml:space="preserve"> is the fixed expected mean return for each commodity group calculated </w:t>
      </w:r>
      <w:r w:rsidR="00E6503B">
        <w:t xml:space="preserve">as the average of </w:t>
      </w:r>
      <w:r w:rsidR="002055D4">
        <w:t xml:space="preserve">each commodity’s </w:t>
      </w:r>
      <w:r w:rsidR="00E6503B">
        <w:t xml:space="preserve">historical </w:t>
      </w:r>
      <w:r w:rsidR="00C92D3A">
        <w:t>data</w:t>
      </w:r>
      <w:r w:rsidR="00E04652">
        <w:t xml:space="preserve"> and </w:t>
      </w:r>
      <m:oMath>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oMath>
      <w:r w:rsidR="00E04652">
        <w:t xml:space="preserve"> is the time-varying conditional </w:t>
      </w:r>
      <w:r w:rsidR="00FA42C4">
        <w:t>variance-</w:t>
      </w:r>
      <w:r w:rsidR="00E04652">
        <w:t>covariance matrix</w:t>
      </w:r>
      <w:r>
        <w:t xml:space="preserve">. </w:t>
      </w:r>
    </w:p>
    <w:p w14:paraId="22A6609F" w14:textId="21272BBB" w:rsidR="00D640F1" w:rsidRDefault="00000000" w:rsidP="00503769">
      <w:pPr>
        <w:pStyle w:val="Heading3"/>
        <w:jc w:val="both"/>
      </w:pPr>
      <w:r>
        <w:t>3.</w:t>
      </w:r>
      <w:r w:rsidR="00862113">
        <w:t>4</w:t>
      </w:r>
      <w:r>
        <w:t>.6 Maximum Sortino Ratio Portfolio</w:t>
      </w:r>
    </w:p>
    <w:p w14:paraId="63D57FBD" w14:textId="4AD5C073" w:rsidR="00D640F1" w:rsidRDefault="00000000" w:rsidP="00503769">
      <w:pPr>
        <w:spacing w:after="240"/>
        <w:jc w:val="both"/>
      </w:pPr>
      <w:r>
        <w:t xml:space="preserve">The maximum </w:t>
      </w:r>
      <w:r w:rsidR="001C7C2B">
        <w:t>S</w:t>
      </w:r>
      <w:r>
        <w:t xml:space="preserve">ortino ratio is similar to the maximum </w:t>
      </w:r>
      <w:r w:rsidR="000763E4">
        <w:t>Sharpe</w:t>
      </w:r>
      <w:r>
        <w:t xml:space="preserve"> ratio, but it focuses on downside risk rather than </w:t>
      </w:r>
      <w:r w:rsidR="001C7C2B">
        <w:t xml:space="preserve">the </w:t>
      </w:r>
      <w:r>
        <w:t xml:space="preserve">total </w:t>
      </w:r>
      <w:r w:rsidR="00FA0C30">
        <w:t>risk</w:t>
      </w:r>
      <w:r>
        <w:t xml:space="preserve"> of </w:t>
      </w:r>
      <w:r w:rsidR="00D56ECC">
        <w:t>assets</w:t>
      </w:r>
      <w:r>
        <w:t xml:space="preserve">, making it more suited for portfolios that </w:t>
      </w:r>
      <w:r w:rsidR="003142D6">
        <w:t>aim</w:t>
      </w:r>
      <w:r>
        <w:t xml:space="preserve"> to prevent losses rather than maximize risk-adjusted returns. </w:t>
      </w:r>
    </w:p>
    <w:p w14:paraId="3AF8C510" w14:textId="7DEB3697" w:rsidR="002F5F58" w:rsidRDefault="00000000" w:rsidP="002F5F58">
      <w:pPr>
        <w:spacing w:after="240"/>
        <w:ind w:left="360"/>
        <w:jc w:val="center"/>
      </w:pPr>
      <m:oMathPara>
        <m:oMath>
          <m:eqArr>
            <m:eqArrPr>
              <m:maxDist m:val="1"/>
              <m:ctrlPr>
                <w:rPr>
                  <w:rFonts w:ascii="Cambria Math" w:hAnsi="Cambria Math"/>
                  <w:i/>
                </w:rPr>
              </m:ctrlPr>
            </m:eqArrPr>
            <m:e>
              <m:r>
                <w:rPr>
                  <w:rFonts w:ascii="Cambria Math" w:hAnsi="Cambria Math"/>
                </w:rPr>
                <m:t xml:space="preserve">Max </m:t>
              </m:r>
              <m:d>
                <m:dPr>
                  <m:begChr m:val="{"/>
                  <m:endChr m:val="}"/>
                  <m:ctrlPr>
                    <w:rPr>
                      <w:rFonts w:ascii="Cambria Math" w:hAnsi="Cambria Math"/>
                    </w:rPr>
                  </m:ctrlPr>
                </m:dPr>
                <m:e>
                  <m:f>
                    <m:fPr>
                      <m:ctrlPr>
                        <w:rPr>
                          <w:rFonts w:ascii="Cambria Math" w:hAnsi="Cambria Math"/>
                        </w:rPr>
                      </m:ctrlPr>
                    </m:fPr>
                    <m:num>
                      <m:r>
                        <m:rPr>
                          <m:sty m:val="bi"/>
                        </m:rPr>
                        <w:rPr>
                          <w:rFonts w:ascii="Cambria Math" w:hAnsi="Cambria Math"/>
                        </w:rPr>
                        <m:t>E(R)</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m:t>
                          </m:r>
                        </m:sub>
                        <m:sup>
                          <m:r>
                            <w:rPr>
                              <w:rFonts w:ascii="Cambria Math" w:hAnsi="Cambria Math"/>
                            </w:rPr>
                            <m:t xml:space="preserve"> </m:t>
                          </m:r>
                        </m:sup>
                      </m:sSubSup>
                    </m:num>
                    <m:den>
                      <m:rad>
                        <m:radPr>
                          <m:degHide m:val="1"/>
                          <m:ctrlPr>
                            <w:rPr>
                              <w:rFonts w:ascii="Cambria Math" w:hAnsi="Cambria Math"/>
                            </w:rPr>
                          </m:ctrlPr>
                        </m:radPr>
                        <m:deg/>
                        <m:e>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 xml:space="preserve"> </m:t>
                              </m:r>
                            </m:sub>
                            <m:sup>
                              <m:r>
                                <m:rPr>
                                  <m:sty m:val="bi"/>
                                </m:rPr>
                                <w:rPr>
                                  <w:rFonts w:ascii="Cambria Math" w:hAnsi="Cambria Math"/>
                                </w:rPr>
                                <m:t>T</m:t>
                              </m:r>
                            </m:sup>
                          </m:sSubSup>
                          <m:sSubSup>
                            <m:sSubSupPr>
                              <m:ctrlPr>
                                <w:rPr>
                                  <w:rFonts w:ascii="Cambria Math" w:hAnsi="Cambria Math"/>
                                  <w:b/>
                                  <w:bCs/>
                                </w:rPr>
                              </m:ctrlPr>
                            </m:sSubSupPr>
                            <m:e>
                              <m:r>
                                <m:rPr>
                                  <m:sty m:val="bi"/>
                                </m:rPr>
                                <w:rPr>
                                  <w:rFonts w:ascii="Cambria Math" w:hAnsi="Cambria Math"/>
                                </w:rPr>
                                <m:t>S</m:t>
                              </m:r>
                            </m:e>
                            <m:sub>
                              <m:r>
                                <m:rPr>
                                  <m:sty m:val="bi"/>
                                </m:rPr>
                                <w:rPr>
                                  <w:rFonts w:ascii="Cambria Math" w:hAnsi="Cambria Math"/>
                                </w:rPr>
                                <m:t>t</m:t>
                              </m:r>
                            </m:sub>
                            <m:sup>
                              <m:r>
                                <m:rPr>
                                  <m:sty m:val="bi"/>
                                </m:rPr>
                                <w:rPr>
                                  <w:rFonts w:ascii="Cambria Math" w:hAnsi="Cambria Math"/>
                                </w:rPr>
                                <m:t xml:space="preserve"> </m:t>
                              </m:r>
                            </m:sup>
                          </m:sSubSup>
                          <m:r>
                            <m:rPr>
                              <m:sty m:val="bi"/>
                            </m:rPr>
                            <w:rPr>
                              <w:rFonts w:ascii="Cambria Math" w:hAnsi="Cambria Math"/>
                            </w:rPr>
                            <m:t>w</m:t>
                          </m:r>
                        </m:e>
                      </m:rad>
                    </m:den>
                  </m:f>
                </m:e>
              </m:d>
              <m:r>
                <w:rPr>
                  <w:rFonts w:ascii="Cambria Math" w:hAnsi="Cambria Math"/>
                </w:rPr>
                <m:t xml:space="preserve">, subject to </m:t>
              </m:r>
              <m:sSubSup>
                <m:sSubSupPr>
                  <m:ctrlPr>
                    <w:rPr>
                      <w:rFonts w:ascii="Cambria Math" w:hAnsi="Cambria Math"/>
                    </w:rPr>
                  </m:ctrlPr>
                </m:sSubSupPr>
                <m:e>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w</m:t>
                      </m:r>
                    </m:e>
                  </m:nary>
                </m:e>
                <m:sub>
                  <m:r>
                    <w:rPr>
                      <w:rFonts w:ascii="Cambria Math" w:hAnsi="Cambria Math"/>
                    </w:rPr>
                    <m:t>it</m:t>
                  </m:r>
                </m:sub>
                <m:sup>
                  <m:r>
                    <w:rPr>
                      <w:rFonts w:ascii="Cambria Math" w:hAnsi="Cambria Math"/>
                    </w:rPr>
                    <m:t xml:space="preserve"> </m:t>
                  </m:r>
                </m:sup>
              </m:sSubSup>
              <m:r>
                <w:rPr>
                  <w:rFonts w:ascii="Cambria Math" w:hAnsi="Cambria Math"/>
                </w:rPr>
                <m:t xml:space="preserve">=1 and </m:t>
              </m:r>
              <m:sSubSup>
                <m:sSubSupPr>
                  <m:ctrlPr>
                    <w:rPr>
                      <w:rFonts w:ascii="Cambria Math" w:hAnsi="Cambria Math"/>
                    </w:rPr>
                  </m:ctrlPr>
                </m:sSubSupPr>
                <m:e>
                  <m:r>
                    <m:rPr>
                      <m:sty m:val="p"/>
                    </m:rPr>
                    <w:rPr>
                      <w:rFonts w:ascii="Cambria Math" w:hAnsi="Cambria Math"/>
                    </w:rPr>
                    <m:t>w</m:t>
                  </m:r>
                </m:e>
                <m:sub>
                  <m:r>
                    <w:rPr>
                      <w:rFonts w:ascii="Cambria Math" w:hAnsi="Cambria Math"/>
                    </w:rPr>
                    <m:t>it</m:t>
                  </m:r>
                </m:sub>
                <m:sup>
                  <m:r>
                    <w:rPr>
                      <w:rFonts w:ascii="Cambria Math" w:hAnsi="Cambria Math"/>
                    </w:rPr>
                    <m:t xml:space="preserve"> </m:t>
                  </m:r>
                </m:sup>
              </m:sSubSup>
              <m:r>
                <w:rPr>
                  <w:rFonts w:ascii="Cambria Math" w:hAnsi="Cambria Math"/>
                </w:rPr>
                <m:t>&gt;0 #</m:t>
              </m:r>
              <m:d>
                <m:dPr>
                  <m:ctrlPr>
                    <w:rPr>
                      <w:rFonts w:ascii="Cambria Math" w:hAnsi="Cambria Math"/>
                      <w:i/>
                    </w:rPr>
                  </m:ctrlPr>
                </m:dPr>
                <m:e>
                  <m:r>
                    <w:rPr>
                      <w:rFonts w:ascii="Cambria Math" w:hAnsi="Cambria Math"/>
                    </w:rPr>
                    <m:t>16</m:t>
                  </m:r>
                </m:e>
              </m:d>
            </m:e>
          </m:eqArr>
        </m:oMath>
      </m:oMathPara>
    </w:p>
    <w:p w14:paraId="590EE704" w14:textId="129836A7" w:rsidR="00D640F1" w:rsidRDefault="00000000" w:rsidP="00503769">
      <w:pPr>
        <w:spacing w:after="240"/>
        <w:jc w:val="both"/>
      </w:pPr>
      <w:r>
        <w:t xml:space="preserve">where </w:t>
      </w:r>
      <m:oMath>
        <m:sSubSup>
          <m:sSubSupPr>
            <m:ctrlPr>
              <w:rPr>
                <w:rFonts w:ascii="Cambria Math" w:hAnsi="Cambria Math"/>
                <w:b/>
                <w:bCs/>
              </w:rPr>
            </m:ctrlPr>
          </m:sSubSupPr>
          <m:e>
            <m:r>
              <m:rPr>
                <m:sty m:val="bi"/>
              </m:rPr>
              <w:rPr>
                <w:rFonts w:ascii="Cambria Math" w:hAnsi="Cambria Math"/>
              </w:rPr>
              <m:t>S</m:t>
            </m:r>
          </m:e>
          <m:sub>
            <m:r>
              <m:rPr>
                <m:sty m:val="bi"/>
              </m:rPr>
              <w:rPr>
                <w:rFonts w:ascii="Cambria Math" w:hAnsi="Cambria Math"/>
              </w:rPr>
              <m:t>t</m:t>
            </m:r>
          </m:sub>
          <m:sup>
            <m:r>
              <m:rPr>
                <m:sty m:val="bi"/>
              </m:rPr>
              <w:rPr>
                <w:rFonts w:ascii="Cambria Math" w:hAnsi="Cambria Math"/>
              </w:rPr>
              <m:t xml:space="preserve"> </m:t>
            </m:r>
          </m:sup>
        </m:sSubSup>
      </m:oMath>
      <w:r>
        <w:t xml:space="preserve"> is the downside risk</w:t>
      </w:r>
      <w:r w:rsidR="002659D9">
        <w:t xml:space="preserve"> matrix</w:t>
      </w:r>
      <w:r>
        <w:t xml:space="preserve">, which considers only the variance-covariance of returns falling below </w:t>
      </w:r>
      <w:r w:rsidR="000763E4">
        <w:t xml:space="preserve">the </w:t>
      </w:r>
      <w:r>
        <w:t>risk-free rate</w:t>
      </w:r>
      <w:r w:rsidR="008E4073">
        <w:t xml:space="preserve"> of 0.02%</w:t>
      </w:r>
      <w:r>
        <w:t xml:space="preserve">. </w:t>
      </w:r>
    </w:p>
    <w:p w14:paraId="2BC15A19" w14:textId="1A967152" w:rsidR="00D640F1" w:rsidRDefault="00000000" w:rsidP="00503769">
      <w:pPr>
        <w:pStyle w:val="Heading3"/>
        <w:jc w:val="both"/>
      </w:pPr>
      <w:r>
        <w:t>3.</w:t>
      </w:r>
      <w:r w:rsidR="005662EE">
        <w:t>4</w:t>
      </w:r>
      <w:r>
        <w:t xml:space="preserve">.7 </w:t>
      </w:r>
      <w:r w:rsidR="0056009F">
        <w:rPr>
          <w:highlight w:val="white"/>
        </w:rPr>
        <w:t xml:space="preserve">Minimum </w:t>
      </w:r>
      <w:r>
        <w:t>CVaR Portfolio</w:t>
      </w:r>
    </w:p>
    <w:p w14:paraId="33AA3C29" w14:textId="5DE73B66" w:rsidR="00D640F1" w:rsidRDefault="00000000" w:rsidP="00503769">
      <w:pPr>
        <w:spacing w:after="240"/>
        <w:jc w:val="both"/>
        <w:rPr>
          <w:highlight w:val="white"/>
        </w:rPr>
      </w:pPr>
      <w:r>
        <w:rPr>
          <w:highlight w:val="white"/>
        </w:rPr>
        <w:t xml:space="preserve">The </w:t>
      </w:r>
      <w:r w:rsidR="0005358D">
        <w:rPr>
          <w:highlight w:val="white"/>
        </w:rPr>
        <w:t xml:space="preserve">minimum </w:t>
      </w:r>
      <w:r>
        <w:rPr>
          <w:highlight w:val="white"/>
        </w:rPr>
        <w:t>C</w:t>
      </w:r>
      <w:r w:rsidR="0009000A">
        <w:rPr>
          <w:highlight w:val="white"/>
        </w:rPr>
        <w:t>V</w:t>
      </w:r>
      <w:r>
        <w:rPr>
          <w:highlight w:val="white"/>
        </w:rPr>
        <w:t>aR</w:t>
      </w:r>
      <w:r w:rsidR="00776872">
        <w:rPr>
          <w:highlight w:val="white"/>
        </w:rPr>
        <w:t xml:space="preserve"> portfolio,</w:t>
      </w:r>
      <w:r>
        <w:rPr>
          <w:highlight w:val="white"/>
        </w:rPr>
        <w:t xml:space="preserve"> </w:t>
      </w:r>
      <w:r w:rsidR="00F40CC3">
        <w:rPr>
          <w:highlight w:val="white"/>
        </w:rPr>
        <w:t xml:space="preserve">which is the </w:t>
      </w:r>
      <w:r w:rsidR="00C17697">
        <w:rPr>
          <w:highlight w:val="white"/>
        </w:rPr>
        <w:t>minimum</w:t>
      </w:r>
      <w:r w:rsidR="00F40CC3">
        <w:rPr>
          <w:highlight w:val="white"/>
        </w:rPr>
        <w:t xml:space="preserve"> </w:t>
      </w:r>
      <w:r>
        <w:rPr>
          <w:highlight w:val="white"/>
        </w:rPr>
        <w:t>conditional value-at-risk</w:t>
      </w:r>
      <w:r w:rsidR="00776872">
        <w:rPr>
          <w:highlight w:val="white"/>
        </w:rPr>
        <w:t xml:space="preserve"> portfolio</w:t>
      </w:r>
      <w:r w:rsidR="00BE7A43">
        <w:rPr>
          <w:highlight w:val="white"/>
        </w:rPr>
        <w:t>,</w:t>
      </w:r>
      <w:r w:rsidR="00776872">
        <w:rPr>
          <w:highlight w:val="white"/>
        </w:rPr>
        <w:t xml:space="preserve"> </w:t>
      </w:r>
      <w:r>
        <w:rPr>
          <w:highlight w:val="white"/>
        </w:rPr>
        <w:t>focuses on</w:t>
      </w:r>
      <w:r w:rsidR="0038686C">
        <w:rPr>
          <w:highlight w:val="white"/>
        </w:rPr>
        <w:t xml:space="preserve"> reducing</w:t>
      </w:r>
      <w:r>
        <w:rPr>
          <w:highlight w:val="white"/>
        </w:rPr>
        <w:t xml:space="preserve"> the extreme losses during the sample period. During the optimization process, VaR is calculated using the historical simulation as no assumptions of distribution are required for this non-parametric method. </w:t>
      </w:r>
      <w:r w:rsidR="00A00219">
        <w:rPr>
          <w:highlight w:val="white"/>
        </w:rPr>
        <w:t>The Conditional VaR is</w:t>
      </w:r>
      <w:r w:rsidR="005B2517">
        <w:rPr>
          <w:highlight w:val="white"/>
        </w:rPr>
        <w:t xml:space="preserve"> also called the </w:t>
      </w:r>
      <w:r w:rsidR="00523759">
        <w:rPr>
          <w:highlight w:val="white"/>
        </w:rPr>
        <w:t>e</w:t>
      </w:r>
      <w:r w:rsidR="005B2517">
        <w:rPr>
          <w:highlight w:val="white"/>
        </w:rPr>
        <w:t xml:space="preserve">xpected </w:t>
      </w:r>
      <w:r w:rsidR="0017477F">
        <w:rPr>
          <w:highlight w:val="white"/>
        </w:rPr>
        <w:t>s</w:t>
      </w:r>
      <w:r w:rsidR="005B2517">
        <w:rPr>
          <w:highlight w:val="white"/>
        </w:rPr>
        <w:t>hortfall and it is calculated</w:t>
      </w:r>
      <w:r w:rsidR="004C0581">
        <w:rPr>
          <w:highlight w:val="white"/>
        </w:rPr>
        <w:t xml:space="preserve"> as the average losses</w:t>
      </w:r>
      <w:r w:rsidR="00A00219">
        <w:rPr>
          <w:highlight w:val="white"/>
        </w:rPr>
        <w:t xml:space="preserve"> </w:t>
      </w:r>
      <w:r w:rsidR="004C0581">
        <w:rPr>
          <w:highlight w:val="white"/>
        </w:rPr>
        <w:t>above the VaR</w:t>
      </w:r>
      <w:r w:rsidR="00677B00">
        <w:rPr>
          <w:highlight w:val="white"/>
        </w:rPr>
        <w:t xml:space="preserve"> </w:t>
      </w:r>
      <w:r w:rsidR="00501B8E">
        <w:rPr>
          <w:highlight w:val="white"/>
        </w:rPr>
        <w:t>threshold</w:t>
      </w:r>
      <w:r w:rsidR="004C0581">
        <w:rPr>
          <w:highlight w:val="white"/>
        </w:rPr>
        <w:t>.</w:t>
      </w:r>
      <w:r w:rsidR="00A00219">
        <w:rPr>
          <w:highlight w:val="white"/>
        </w:rPr>
        <w:t xml:space="preserve"> </w:t>
      </w:r>
      <w:r>
        <w:rPr>
          <w:highlight w:val="white"/>
        </w:rPr>
        <w:t>The</w:t>
      </w:r>
      <w:r w:rsidR="00C91850">
        <w:rPr>
          <w:highlight w:val="white"/>
        </w:rPr>
        <w:t xml:space="preserve"> minimum</w:t>
      </w:r>
      <w:r>
        <w:rPr>
          <w:highlight w:val="white"/>
        </w:rPr>
        <w:t xml:space="preserve"> CVaR is calculated as </w:t>
      </w:r>
      <w:r w:rsidR="00653F10">
        <w:rPr>
          <w:highlight w:val="white"/>
        </w:rPr>
        <w:t>follows</w:t>
      </w:r>
      <w:r w:rsidR="00F367C2">
        <w:rPr>
          <w:highlight w:val="white"/>
        </w:rPr>
        <w:t xml:space="preserve">: </w:t>
      </w:r>
    </w:p>
    <w:p w14:paraId="1DE091CE" w14:textId="6C973F88" w:rsidR="00F367C2" w:rsidRDefault="00000000" w:rsidP="00F367C2">
      <w:pPr>
        <w:spacing w:after="240"/>
        <w:ind w:left="360"/>
        <w:jc w:val="center"/>
      </w:pPr>
      <m:oMathPara>
        <m:oMath>
          <m:eqArr>
            <m:eqArrPr>
              <m:maxDist m:val="1"/>
              <m:ctrlPr>
                <w:rPr>
                  <w:rFonts w:ascii="Cambria Math" w:hAnsi="Cambria Math"/>
                  <w:i/>
                </w:rPr>
              </m:ctrlPr>
            </m:eqArrPr>
            <m:e>
              <m:r>
                <w:rPr>
                  <w:rFonts w:ascii="Cambria Math" w:hAnsi="Cambria Math"/>
                </w:rPr>
                <m:t xml:space="preserve"> </m:t>
              </m:r>
              <m:sSubSup>
                <m:sSubSupPr>
                  <m:ctrlPr>
                    <w:rPr>
                      <w:rFonts w:ascii="Cambria Math" w:eastAsia="MS Gothic" w:hAnsi="Cambria Math"/>
                      <w:highlight w:val="white"/>
                    </w:rPr>
                  </m:ctrlPr>
                </m:sSubSupPr>
                <m:e>
                  <m:r>
                    <w:rPr>
                      <w:rFonts w:ascii="Cambria Math" w:eastAsia="MS Gothic" w:hAnsi="Cambria Math"/>
                      <w:highlight w:val="white"/>
                    </w:rPr>
                    <m:t>VaR</m:t>
                  </m:r>
                </m:e>
                <m:sub>
                  <m:r>
                    <w:rPr>
                      <w:rFonts w:ascii="Cambria Math" w:eastAsia="MS Gothic" w:hAnsi="Cambria Math"/>
                      <w:highlight w:val="white"/>
                    </w:rPr>
                    <m:t>α</m:t>
                  </m:r>
                </m:sub>
                <m:sup>
                  <m:r>
                    <w:rPr>
                      <w:rFonts w:ascii="Cambria Math" w:eastAsia="MS Gothic" w:hAnsi="Cambria Math"/>
                      <w:highlight w:val="white"/>
                    </w:rPr>
                    <m:t xml:space="preserve"> </m:t>
                  </m:r>
                </m:sup>
              </m:sSubSup>
              <m:r>
                <w:rPr>
                  <w:rFonts w:ascii="Cambria Math" w:eastAsia="MS Gothic" w:hAnsi="Cambria Math"/>
                  <w:highlight w:val="white"/>
                </w:rPr>
                <m:t>=inf</m:t>
              </m:r>
              <m:d>
                <m:dPr>
                  <m:begChr m:val="{"/>
                  <m:endChr m:val="}"/>
                  <m:ctrlPr>
                    <w:rPr>
                      <w:rFonts w:ascii="Cambria Math" w:eastAsia="MS Gothic" w:hAnsi="Cambria Math"/>
                    </w:rPr>
                  </m:ctrlPr>
                </m:dPr>
                <m:e>
                  <m:r>
                    <w:rPr>
                      <w:rFonts w:ascii="Cambria Math" w:eastAsia="MS Gothic" w:hAnsi="Cambria Math"/>
                    </w:rPr>
                    <m:t>l</m:t>
                  </m:r>
                  <m:r>
                    <m:rPr>
                      <m:scr m:val="double-struck"/>
                      <m:sty m:val="p"/>
                    </m:rPr>
                    <w:rPr>
                      <w:rFonts w:ascii="Cambria Math" w:eastAsia="MS Gothic" w:hAnsi="Cambria Math"/>
                    </w:rPr>
                    <m:t>∊R</m:t>
                  </m:r>
                  <m:r>
                    <w:rPr>
                      <w:rFonts w:ascii="Cambria Math" w:eastAsia="MS Gothic" w:hAnsi="Cambria Math"/>
                    </w:rPr>
                    <m:t>:P</m:t>
                  </m:r>
                  <m:d>
                    <m:dPr>
                      <m:ctrlPr>
                        <w:rPr>
                          <w:rFonts w:ascii="Cambria Math" w:eastAsia="MS Gothic" w:hAnsi="Cambria Math"/>
                          <w:i/>
                        </w:rPr>
                      </m:ctrlPr>
                    </m:dPr>
                    <m:e>
                      <m:r>
                        <w:rPr>
                          <w:rFonts w:ascii="Cambria Math" w:eastAsia="MS Gothic" w:hAnsi="Cambria Math"/>
                        </w:rPr>
                        <m:t>L&gt;l</m:t>
                      </m:r>
                    </m:e>
                  </m:d>
                  <m:r>
                    <w:rPr>
                      <w:rFonts w:ascii="Cambria Math" w:eastAsia="MS Gothic" w:hAnsi="Cambria Math"/>
                    </w:rPr>
                    <m:t>≤1-α</m:t>
                  </m:r>
                </m:e>
              </m:d>
              <m:r>
                <w:rPr>
                  <w:rFonts w:ascii="Cambria Math" w:eastAsia="MS Gothic" w:hAnsi="Cambria Math"/>
                  <w:highlight w:val="white"/>
                </w:rPr>
                <m:t>=inf</m:t>
              </m:r>
              <m:d>
                <m:dPr>
                  <m:begChr m:val="{"/>
                  <m:endChr m:val="}"/>
                  <m:ctrlPr>
                    <w:rPr>
                      <w:rFonts w:ascii="Cambria Math" w:eastAsia="MS Gothic" w:hAnsi="Cambria Math"/>
                    </w:rPr>
                  </m:ctrlPr>
                </m:dPr>
                <m:e>
                  <m:r>
                    <w:rPr>
                      <w:rFonts w:ascii="Cambria Math" w:eastAsia="MS Gothic" w:hAnsi="Cambria Math"/>
                    </w:rPr>
                    <m:t>l</m:t>
                  </m:r>
                  <m:r>
                    <m:rPr>
                      <m:scr m:val="double-struck"/>
                      <m:sty m:val="p"/>
                    </m:rPr>
                    <w:rPr>
                      <w:rFonts w:ascii="Cambria Math" w:eastAsia="MS Gothic" w:hAnsi="Cambria Math"/>
                    </w:rPr>
                    <m:t>∊R</m:t>
                  </m:r>
                  <m:r>
                    <w:rPr>
                      <w:rFonts w:ascii="Cambria Math" w:eastAsia="MS Gothic" w:hAnsi="Cambria Math"/>
                    </w:rPr>
                    <m:t>:</m:t>
                  </m:r>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 xml:space="preserve"> </m:t>
                      </m:r>
                    </m:sup>
                  </m:sSubSup>
                  <m:d>
                    <m:dPr>
                      <m:ctrlPr>
                        <w:rPr>
                          <w:rFonts w:ascii="Cambria Math" w:eastAsia="MS Gothic" w:hAnsi="Cambria Math"/>
                          <w:i/>
                        </w:rPr>
                      </m:ctrlPr>
                    </m:dPr>
                    <m:e>
                      <m:r>
                        <w:rPr>
                          <w:rFonts w:ascii="Cambria Math" w:eastAsia="MS Gothic" w:hAnsi="Cambria Math"/>
                        </w:rPr>
                        <m:t>l</m:t>
                      </m:r>
                    </m:e>
                  </m:d>
                  <m:r>
                    <w:rPr>
                      <w:rFonts w:ascii="Cambria Math" w:eastAsia="MS Gothic" w:hAnsi="Cambria Math"/>
                    </w:rPr>
                    <m:t>≥α</m:t>
                  </m:r>
                </m:e>
              </m:d>
              <m:r>
                <w:rPr>
                  <w:rFonts w:ascii="Cambria Math" w:hAnsi="Cambria Math"/>
                </w:rPr>
                <m:t>#</m:t>
              </m:r>
              <m:d>
                <m:dPr>
                  <m:ctrlPr>
                    <w:rPr>
                      <w:rFonts w:ascii="Cambria Math" w:hAnsi="Cambria Math"/>
                      <w:i/>
                    </w:rPr>
                  </m:ctrlPr>
                </m:dPr>
                <m:e>
                  <m:r>
                    <w:rPr>
                      <w:rFonts w:ascii="Cambria Math" w:hAnsi="Cambria Math"/>
                    </w:rPr>
                    <m:t>17</m:t>
                  </m:r>
                </m:e>
              </m:d>
            </m:e>
          </m:eqArr>
        </m:oMath>
      </m:oMathPara>
    </w:p>
    <w:p w14:paraId="4106C18E" w14:textId="576F6C1C" w:rsidR="00C2037A" w:rsidRDefault="00000000" w:rsidP="00C2037A">
      <w:pPr>
        <w:spacing w:after="240"/>
        <w:ind w:left="360"/>
        <w:jc w:val="center"/>
      </w:pPr>
      <m:oMathPara>
        <m:oMath>
          <m:eqArr>
            <m:eqArrPr>
              <m:maxDist m:val="1"/>
              <m:ctrlPr>
                <w:rPr>
                  <w:rFonts w:ascii="Cambria Math" w:hAnsi="Cambria Math"/>
                  <w:i/>
                </w:rPr>
              </m:ctrlPr>
            </m:eqArrPr>
            <m:e>
              <m:r>
                <w:rPr>
                  <w:rFonts w:ascii="Cambria Math" w:hAnsi="Cambria Math"/>
                </w:rPr>
                <m:t xml:space="preserve"> </m:t>
              </m:r>
              <m:sSubSup>
                <m:sSubSupPr>
                  <m:ctrlPr>
                    <w:rPr>
                      <w:rFonts w:ascii="Cambria Math" w:hAnsi="Cambria Math"/>
                    </w:rPr>
                  </m:ctrlPr>
                </m:sSubSupPr>
                <m:e>
                  <m:r>
                    <w:rPr>
                      <w:rFonts w:ascii="Cambria Math" w:hAnsi="Cambria Math"/>
                    </w:rPr>
                    <m:t>CVaR</m:t>
                  </m:r>
                </m:e>
                <m:sub>
                  <m:r>
                    <w:rPr>
                      <w:rFonts w:ascii="Cambria Math" w:hAnsi="Cambria Math"/>
                    </w:rPr>
                    <m:t>α</m:t>
                  </m:r>
                </m:sub>
                <m:sup>
                  <m:r>
                    <w:rPr>
                      <w:rFonts w:ascii="Cambria Math" w:hAnsi="Cambria Math"/>
                    </w:rPr>
                    <m:t xml:space="preserve"> </m:t>
                  </m:r>
                </m:sup>
              </m:sSubSup>
              <m:r>
                <w:rPr>
                  <w:rFonts w:ascii="Cambria Math" w:hAnsi="Cambria Math"/>
                </w:rPr>
                <m:t>=E(R|R≤</m:t>
              </m:r>
              <m:sSubSup>
                <m:sSubSupPr>
                  <m:ctrlPr>
                    <w:rPr>
                      <w:rFonts w:ascii="Cambria Math" w:hAnsi="Cambria Math"/>
                    </w:rPr>
                  </m:ctrlPr>
                </m:sSubSupPr>
                <m:e>
                  <m:r>
                    <w:rPr>
                      <w:rFonts w:ascii="Cambria Math" w:hAnsi="Cambria Math"/>
                    </w:rPr>
                    <m:t>VaR</m:t>
                  </m:r>
                </m:e>
                <m:sub>
                  <m:r>
                    <w:rPr>
                      <w:rFonts w:ascii="Cambria Math" w:hAnsi="Cambria Math"/>
                    </w:rPr>
                    <m:t>α</m:t>
                  </m:r>
                </m:sub>
                <m:sup>
                  <m:r>
                    <w:rPr>
                      <w:rFonts w:ascii="Cambria Math" w:hAnsi="Cambria Math"/>
                    </w:rPr>
                    <m:t xml:space="preserve"> </m:t>
                  </m:r>
                </m:sup>
              </m:sSubSup>
              <m:r>
                <w:rPr>
                  <w:rFonts w:ascii="Cambria Math" w:hAnsi="Cambria Math"/>
                </w:rPr>
                <m:t>)#</m:t>
              </m:r>
              <m:d>
                <m:dPr>
                  <m:ctrlPr>
                    <w:rPr>
                      <w:rFonts w:ascii="Cambria Math" w:hAnsi="Cambria Math"/>
                      <w:i/>
                    </w:rPr>
                  </m:ctrlPr>
                </m:dPr>
                <m:e>
                  <m:r>
                    <w:rPr>
                      <w:rFonts w:ascii="Cambria Math" w:hAnsi="Cambria Math"/>
                    </w:rPr>
                    <m:t>18</m:t>
                  </m:r>
                </m:e>
              </m:d>
            </m:e>
          </m:eqArr>
        </m:oMath>
      </m:oMathPara>
    </w:p>
    <w:p w14:paraId="68C59092" w14:textId="6DABAACD" w:rsidR="006D6FA9" w:rsidRDefault="00000000" w:rsidP="006D6FA9">
      <w:pPr>
        <w:spacing w:after="240"/>
        <w:ind w:left="360"/>
        <w:jc w:val="center"/>
      </w:pPr>
      <m:oMathPara>
        <m:oMath>
          <m:eqArr>
            <m:eqArrPr>
              <m:maxDist m:val="1"/>
              <m:ctrlPr>
                <w:rPr>
                  <w:rFonts w:ascii="Cambria Math" w:hAnsi="Cambria Math"/>
                  <w:i/>
                </w:rPr>
              </m:ctrlPr>
            </m:eqArrPr>
            <m:e>
              <m:r>
                <w:rPr>
                  <w:rFonts w:ascii="Cambria Math" w:hAnsi="Cambria Math"/>
                </w:rPr>
                <m:t xml:space="preserve">Min </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CVaR</m:t>
                      </m:r>
                    </m:e>
                    <m:sub>
                      <m:r>
                        <w:rPr>
                          <w:rFonts w:ascii="Cambria Math" w:hAnsi="Cambria Math"/>
                        </w:rPr>
                        <m:t>α</m:t>
                      </m:r>
                    </m:sub>
                    <m:sup>
                      <m:r>
                        <w:rPr>
                          <w:rFonts w:ascii="Cambria Math" w:hAnsi="Cambria Math"/>
                        </w:rPr>
                        <m:t xml:space="preserve"> </m:t>
                      </m:r>
                    </m:sup>
                  </m:sSubSup>
                </m:e>
              </m:d>
              <m:r>
                <w:rPr>
                  <w:rFonts w:ascii="Cambria Math" w:hAnsi="Cambria Math"/>
                </w:rPr>
                <m:t xml:space="preserve">, subject to </m:t>
              </m:r>
              <m:sSubSup>
                <m:sSubSupPr>
                  <m:ctrlPr>
                    <w:rPr>
                      <w:rFonts w:ascii="Cambria Math" w:hAnsi="Cambria Math"/>
                    </w:rPr>
                  </m:ctrlPr>
                </m:sSubSupPr>
                <m:e>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w</m:t>
                      </m:r>
                    </m:e>
                  </m:nary>
                </m:e>
                <m:sub>
                  <m:r>
                    <w:rPr>
                      <w:rFonts w:ascii="Cambria Math" w:hAnsi="Cambria Math"/>
                    </w:rPr>
                    <m:t>it</m:t>
                  </m:r>
                </m:sub>
                <m:sup>
                  <m:r>
                    <w:rPr>
                      <w:rFonts w:ascii="Cambria Math" w:hAnsi="Cambria Math"/>
                    </w:rPr>
                    <m:t xml:space="preserve"> </m:t>
                  </m:r>
                </m:sup>
              </m:sSubSup>
              <m:r>
                <w:rPr>
                  <w:rFonts w:ascii="Cambria Math" w:hAnsi="Cambria Math"/>
                </w:rPr>
                <m:t xml:space="preserve">=1 and </m:t>
              </m:r>
              <m:sSubSup>
                <m:sSubSupPr>
                  <m:ctrlPr>
                    <w:rPr>
                      <w:rFonts w:ascii="Cambria Math" w:hAnsi="Cambria Math"/>
                    </w:rPr>
                  </m:ctrlPr>
                </m:sSubSupPr>
                <m:e>
                  <m:r>
                    <m:rPr>
                      <m:sty m:val="p"/>
                    </m:rPr>
                    <w:rPr>
                      <w:rFonts w:ascii="Cambria Math" w:hAnsi="Cambria Math"/>
                    </w:rPr>
                    <m:t>w</m:t>
                  </m:r>
                </m:e>
                <m:sub>
                  <m:r>
                    <w:rPr>
                      <w:rFonts w:ascii="Cambria Math" w:hAnsi="Cambria Math"/>
                    </w:rPr>
                    <m:t>it</m:t>
                  </m:r>
                </m:sub>
                <m:sup>
                  <m:r>
                    <w:rPr>
                      <w:rFonts w:ascii="Cambria Math" w:hAnsi="Cambria Math"/>
                    </w:rPr>
                    <m:t xml:space="preserve"> </m:t>
                  </m:r>
                </m:sup>
              </m:sSubSup>
              <m:r>
                <w:rPr>
                  <w:rFonts w:ascii="Cambria Math" w:hAnsi="Cambria Math"/>
                </w:rPr>
                <m:t>&gt;0 #</m:t>
              </m:r>
              <m:d>
                <m:dPr>
                  <m:ctrlPr>
                    <w:rPr>
                      <w:rFonts w:ascii="Cambria Math" w:hAnsi="Cambria Math"/>
                      <w:i/>
                    </w:rPr>
                  </m:ctrlPr>
                </m:dPr>
                <m:e>
                  <m:r>
                    <w:rPr>
                      <w:rFonts w:ascii="Cambria Math" w:hAnsi="Cambria Math"/>
                    </w:rPr>
                    <m:t>19</m:t>
                  </m:r>
                </m:e>
              </m:d>
            </m:e>
          </m:eqArr>
        </m:oMath>
      </m:oMathPara>
    </w:p>
    <w:p w14:paraId="2C3AB1AE" w14:textId="001F1149" w:rsidR="00D640F1" w:rsidRDefault="00000000" w:rsidP="00503769">
      <w:pPr>
        <w:spacing w:after="240"/>
        <w:jc w:val="both"/>
      </w:pPr>
      <w:r>
        <w:t xml:space="preserve">where α represents the confidence level </w:t>
      </w:r>
      <w:r w:rsidR="000B7D4E">
        <w:t xml:space="preserve">for </w:t>
      </w:r>
      <w:r w:rsidR="00D66061">
        <w:t>calculating the</w:t>
      </w:r>
      <w:r>
        <w:t xml:space="preserve"> VaR</w:t>
      </w:r>
      <w:r w:rsidR="00DA467C">
        <w:t xml:space="preserve"> and is set to </w:t>
      </w:r>
      <w:r w:rsidR="007168E6">
        <w:t>95</w:t>
      </w:r>
      <w:r w:rsidR="00DA467C">
        <w:t>%</w:t>
      </w:r>
      <w:r w:rsidR="005B2517">
        <w:t xml:space="preserve">. </w:t>
      </w:r>
      <w:r w:rsidR="00AB4D81">
        <w:t xml:space="preserve">Also, the </w:t>
      </w:r>
      <w:r w:rsidR="00A019D1">
        <w:t xml:space="preserve">function </w:t>
      </w:r>
      <m:oMath>
        <m:r>
          <w:rPr>
            <w:rFonts w:ascii="Cambria Math" w:eastAsia="MS Gothic" w:hAnsi="Cambria Math"/>
            <w:highlight w:val="white"/>
          </w:rPr>
          <m:t>inf</m:t>
        </m:r>
      </m:oMath>
      <w:r w:rsidR="00A019D1">
        <w:t xml:space="preserve"> represents</w:t>
      </w:r>
      <w:r w:rsidR="00420457">
        <w:t xml:space="preserve"> </w:t>
      </w:r>
      <w:r w:rsidR="00420457" w:rsidRPr="00420457">
        <w:t>the infimum of the set of numbers</w:t>
      </w:r>
      <w:r w:rsidR="007A4BB4">
        <w:t xml:space="preserve"> </w:t>
      </w:r>
      <w:r w:rsidR="005F4BF7">
        <w:t xml:space="preserve">of losses </w:t>
      </w:r>
      <m:oMath>
        <m:r>
          <w:rPr>
            <w:rFonts w:ascii="Cambria Math" w:eastAsia="MS Gothic" w:hAnsi="Cambria Math"/>
          </w:rPr>
          <m:t>l</m:t>
        </m:r>
      </m:oMath>
      <w:r w:rsidR="00FF3177">
        <w:t xml:space="preserve"> </w:t>
      </w:r>
      <w:r w:rsidR="005F7638">
        <w:t xml:space="preserve">and the </w:t>
      </w:r>
      <w:r w:rsidR="00FF0286">
        <w:t>function</w:t>
      </w:r>
      <w:r w:rsidR="005F7638">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 xml:space="preserve"> </m:t>
            </m:r>
          </m:sup>
        </m:sSubSup>
      </m:oMath>
      <w:r w:rsidR="005E60C0">
        <w:t xml:space="preserve"> </w:t>
      </w:r>
      <w:r w:rsidR="005F7638">
        <w:t>denotes the</w:t>
      </w:r>
      <w:r w:rsidR="00795F39">
        <w:t xml:space="preserve"> </w:t>
      </w:r>
      <w:r w:rsidR="0018673D" w:rsidRPr="0018673D">
        <w:t xml:space="preserve">cumulative </w:t>
      </w:r>
      <w:r w:rsidR="00795F39" w:rsidRPr="00795F39">
        <w:t>distribution function</w:t>
      </w:r>
      <w:r w:rsidR="002436C4">
        <w:t>.</w:t>
      </w:r>
      <w:r w:rsidR="00E71F50">
        <w:t xml:space="preserve"> </w:t>
      </w:r>
    </w:p>
    <w:p w14:paraId="62BF24EB" w14:textId="58CDA9C3" w:rsidR="00D640F1" w:rsidRDefault="00000000" w:rsidP="00503769">
      <w:pPr>
        <w:pStyle w:val="Heading2"/>
        <w:jc w:val="both"/>
      </w:pPr>
      <w:bookmarkStart w:id="16" w:name="_Toc167478291"/>
      <w:r>
        <w:t>3.</w:t>
      </w:r>
      <w:r w:rsidR="004D54D0">
        <w:t>5</w:t>
      </w:r>
      <w:r>
        <w:t xml:space="preserve"> Hedge Ratios</w:t>
      </w:r>
      <w:bookmarkEnd w:id="16"/>
    </w:p>
    <w:p w14:paraId="59F83ADD" w14:textId="262CE8CD" w:rsidR="00D640F1" w:rsidRDefault="00000000" w:rsidP="00503769">
      <w:pPr>
        <w:spacing w:after="240"/>
        <w:jc w:val="both"/>
      </w:pPr>
      <w:r>
        <w:t xml:space="preserve">The commodity market is highly volatile, which can be caused by a range of factors. For metal commodities, industrial metal prices can </w:t>
      </w:r>
      <w:r w:rsidR="00383445">
        <w:t>fluctuate</w:t>
      </w:r>
      <w:r>
        <w:t xml:space="preserve"> due to changes in industry demand, mining production levels, and geopolitical events. Energy prices, such as oil and gas, are influenced by wars and heating. Agricultural commodities are particularly sensitive to seasonal changes and weather conditions, which will affect crop yields and livestock production. One effective way to reduce the above risk is hedging. By focusing on commodity futures, </w:t>
      </w:r>
      <w:r w:rsidR="00BE46B6">
        <w:t xml:space="preserve">this </w:t>
      </w:r>
      <w:r w:rsidR="008E540A">
        <w:t>study</w:t>
      </w:r>
      <w:r w:rsidR="00BE46B6">
        <w:t xml:space="preserve"> can </w:t>
      </w:r>
      <w:r>
        <w:t xml:space="preserve">analyze inter-commodity hedging. The primary benefit of inter-commodity hedging is diversification. By spreading risk across different but related commodities, investors can reduce the impact of price volatility in the commodity future market. </w:t>
      </w:r>
      <w:r w:rsidR="00F14BB0">
        <w:t xml:space="preserve">This </w:t>
      </w:r>
      <w:r w:rsidR="00503494">
        <w:t>study</w:t>
      </w:r>
      <w:r>
        <w:t xml:space="preserve"> use</w:t>
      </w:r>
      <w:r w:rsidR="00A45120">
        <w:t>s</w:t>
      </w:r>
      <w:r w:rsidR="0092093B">
        <w:t xml:space="preserve"> the</w:t>
      </w:r>
      <w:r>
        <w:t xml:space="preserve"> conditional volatility from the multivariate GARCH model</w:t>
      </w:r>
      <w:r w:rsidR="000641AE">
        <w:t>s</w:t>
      </w:r>
      <w:r>
        <w:t xml:space="preserve"> to construct the hedge ratios </w:t>
      </w:r>
      <w:r w:rsidR="00B0055A">
        <w:fldChar w:fldCharType="begin"/>
      </w:r>
      <w:r w:rsidR="00B0055A">
        <w:instrText xml:space="preserve"> ADDIN ZOTERO_ITEM CSL_CITATION {"citationID":"z6v4MdKQ","properties":{"formattedCitation":"(Kroner &amp; Sultan, 1993)","plainCitation":"(Kroner &amp; Sultan, 1993)","noteIndex":0},"citationItems":[{"id":171,"uris":["http://zotero.org/users/13925666/items/92YJFVLH"],"itemData":{"id":171,"type":"article-journal","container-title":"Journal of financial and quantitative analysis","issue":"4","note":"publisher: Cambridge University Press","page":"535–551","source":"Google Scholar","title":"Time-varying distributions and dynamic hedging with foreign currency futures","volume":"28","author":[{"family":"Kroner","given":"Kenneth F."},{"family":"Sultan","given":"Jahangir"}],"issued":{"date-parts":[["1993"]]}}}],"schema":"https://github.com/citation-style-language/schema/raw/master/csl-citation.json"} </w:instrText>
      </w:r>
      <w:r w:rsidR="00B0055A">
        <w:fldChar w:fldCharType="separate"/>
      </w:r>
      <w:r w:rsidR="00B0055A" w:rsidRPr="00B0055A">
        <w:t>(Kroner &amp; Sultan, 1993)</w:t>
      </w:r>
      <w:r w:rsidR="00B0055A">
        <w:fldChar w:fldCharType="end"/>
      </w:r>
      <w:r>
        <w:t xml:space="preserve">. </w:t>
      </w:r>
    </w:p>
    <w:p w14:paraId="22F714EA" w14:textId="72DD1B16" w:rsidR="00D640F1" w:rsidRPr="00C2441F" w:rsidRDefault="00000000" w:rsidP="00503769">
      <w:pPr>
        <w:spacing w:after="240"/>
        <w:jc w:val="center"/>
      </w:pP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β</m:t>
                  </m:r>
                </m:e>
                <m:sub>
                  <m:r>
                    <w:rPr>
                      <w:rFonts w:ascii="Cambria Math" w:hAnsi="Cambria Math"/>
                    </w:rPr>
                    <m:t>ij,t</m:t>
                  </m:r>
                </m:sub>
                <m:sup>
                  <m:r>
                    <w:rPr>
                      <w:rFonts w:ascii="Cambria Math" w:hAnsi="Cambria Math"/>
                    </w:rPr>
                    <m:t xml:space="preserve"> </m:t>
                  </m:r>
                </m:sup>
              </m:sSub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w:rPr>
                          <w:rFonts w:ascii="Cambria Math" w:hAnsi="Cambria Math"/>
                        </w:rPr>
                        <m:t>ij,t</m:t>
                      </m:r>
                    </m:sub>
                    <m:sup>
                      <m:r>
                        <w:rPr>
                          <w:rFonts w:ascii="Cambria Math" w:hAnsi="Cambria Math"/>
                        </w:rPr>
                        <m:t xml:space="preserve"> </m:t>
                      </m:r>
                    </m:sup>
                  </m:sSubSup>
                </m:num>
                <m:den>
                  <m:sSubSup>
                    <m:sSubSupPr>
                      <m:ctrlPr>
                        <w:rPr>
                          <w:rFonts w:ascii="Cambria Math" w:hAnsi="Cambria Math"/>
                        </w:rPr>
                      </m:ctrlPr>
                    </m:sSubSupPr>
                    <m:e>
                      <m:r>
                        <w:rPr>
                          <w:rFonts w:ascii="Cambria Math" w:hAnsi="Cambria Math"/>
                        </w:rPr>
                        <m:t>h</m:t>
                      </m:r>
                    </m:e>
                    <m:sub>
                      <m:r>
                        <w:rPr>
                          <w:rFonts w:ascii="Cambria Math" w:hAnsi="Cambria Math"/>
                        </w:rPr>
                        <m:t>j,t</m:t>
                      </m:r>
                    </m:sub>
                    <m:sup>
                      <m:r>
                        <w:rPr>
                          <w:rFonts w:ascii="Cambria Math" w:hAnsi="Cambria Math"/>
                        </w:rPr>
                        <m:t xml:space="preserve"> </m:t>
                      </m:r>
                    </m:sup>
                  </m:sSubSup>
                </m:den>
              </m:f>
              <m:r>
                <w:rPr>
                  <w:rFonts w:ascii="Cambria Math" w:hAnsi="Cambria Math"/>
                </w:rPr>
                <m:t xml:space="preserve"> #</m:t>
              </m:r>
              <m:d>
                <m:dPr>
                  <m:ctrlPr>
                    <w:rPr>
                      <w:rFonts w:ascii="Cambria Math" w:hAnsi="Cambria Math"/>
                      <w:i/>
                    </w:rPr>
                  </m:ctrlPr>
                </m:dPr>
                <m:e>
                  <m:r>
                    <w:rPr>
                      <w:rFonts w:ascii="Cambria Math" w:hAnsi="Cambria Math"/>
                    </w:rPr>
                    <m:t>20</m:t>
                  </m:r>
                </m:e>
              </m:d>
            </m:e>
          </m:eqArr>
        </m:oMath>
      </m:oMathPara>
    </w:p>
    <w:p w14:paraId="1BE62B39" w14:textId="55E5ABB2" w:rsidR="00BE11BC" w:rsidRDefault="00000000" w:rsidP="00B83406">
      <w:pPr>
        <w:tabs>
          <w:tab w:val="left" w:pos="5429"/>
        </w:tabs>
        <w:spacing w:after="240"/>
        <w:jc w:val="both"/>
      </w:pPr>
      <w:r>
        <w:t xml:space="preserve">where </w:t>
      </w:r>
      <m:oMath>
        <m:sSubSup>
          <m:sSubSupPr>
            <m:ctrlPr>
              <w:rPr>
                <w:rFonts w:ascii="Cambria Math" w:hAnsi="Cambria Math"/>
              </w:rPr>
            </m:ctrlPr>
          </m:sSubSupPr>
          <m:e>
            <m:r>
              <w:rPr>
                <w:rFonts w:ascii="Cambria Math" w:hAnsi="Cambria Math"/>
              </w:rPr>
              <m:t>β</m:t>
            </m:r>
          </m:e>
          <m:sub>
            <m:r>
              <w:rPr>
                <w:rFonts w:ascii="Cambria Math" w:hAnsi="Cambria Math"/>
              </w:rPr>
              <m:t>ij,t</m:t>
            </m:r>
          </m:sub>
          <m:sup>
            <m:r>
              <w:rPr>
                <w:rFonts w:ascii="Cambria Math" w:hAnsi="Cambria Math"/>
              </w:rPr>
              <m:t xml:space="preserve"> </m:t>
            </m:r>
          </m:sup>
        </m:sSubSup>
      </m:oMath>
      <w:r>
        <w:t xml:space="preserve"> is the hedge ratio over time between </w:t>
      </w:r>
      <w:r w:rsidR="00AF648F">
        <w:t xml:space="preserve">primary </w:t>
      </w:r>
      <w:r>
        <w:t xml:space="preserve">asset </w:t>
      </w:r>
      <m:oMath>
        <m:r>
          <w:rPr>
            <w:rFonts w:ascii="Cambria Math" w:hAnsi="Cambria Math"/>
          </w:rPr>
          <m:t>i</m:t>
        </m:r>
      </m:oMath>
      <w:r>
        <w:t xml:space="preserve"> and </w:t>
      </w:r>
      <w:r w:rsidR="005D7015">
        <w:t xml:space="preserve">hedging </w:t>
      </w:r>
      <w:r>
        <w:t xml:space="preserve">asset </w:t>
      </w:r>
      <m:oMath>
        <m:r>
          <w:rPr>
            <w:rFonts w:ascii="Cambria Math" w:hAnsi="Cambria Math"/>
          </w:rPr>
          <m:t>j</m:t>
        </m:r>
      </m:oMath>
      <w:r>
        <w:t xml:space="preserve">. </w:t>
      </w:r>
      <m:oMath>
        <m:sSubSup>
          <m:sSubSupPr>
            <m:ctrlPr>
              <w:rPr>
                <w:rFonts w:ascii="Cambria Math" w:hAnsi="Cambria Math"/>
              </w:rPr>
            </m:ctrlPr>
          </m:sSubSupPr>
          <m:e>
            <m:r>
              <w:rPr>
                <w:rFonts w:ascii="Cambria Math" w:hAnsi="Cambria Math"/>
              </w:rPr>
              <m:t>h</m:t>
            </m:r>
          </m:e>
          <m:sub>
            <m:r>
              <w:rPr>
                <w:rFonts w:ascii="Cambria Math" w:hAnsi="Cambria Math"/>
              </w:rPr>
              <m:t>ij,t</m:t>
            </m:r>
          </m:sub>
          <m:sup>
            <m:r>
              <w:rPr>
                <w:rFonts w:ascii="Cambria Math" w:hAnsi="Cambria Math"/>
              </w:rPr>
              <m:t xml:space="preserve"> </m:t>
            </m:r>
          </m:sup>
        </m:sSubSup>
      </m:oMath>
      <w:r>
        <w:t xml:space="preserve"> are the conditional covariance between asset </w:t>
      </w:r>
      <m:oMath>
        <m:r>
          <w:rPr>
            <w:rFonts w:ascii="Cambria Math" w:hAnsi="Cambria Math"/>
          </w:rPr>
          <m:t>i</m:t>
        </m:r>
      </m:oMath>
      <w:r>
        <w:t xml:space="preserve"> and asset </w:t>
      </w:r>
      <m:oMath>
        <m:r>
          <w:rPr>
            <w:rFonts w:ascii="Cambria Math" w:hAnsi="Cambria Math"/>
          </w:rPr>
          <m:t>j</m:t>
        </m:r>
      </m:oMath>
      <w:r>
        <w:t xml:space="preserve">, while </w:t>
      </w:r>
      <m:oMath>
        <m:sSubSup>
          <m:sSubSupPr>
            <m:ctrlPr>
              <w:rPr>
                <w:rFonts w:ascii="Cambria Math" w:hAnsi="Cambria Math"/>
              </w:rPr>
            </m:ctrlPr>
          </m:sSubSupPr>
          <m:e>
            <m:r>
              <w:rPr>
                <w:rFonts w:ascii="Cambria Math" w:hAnsi="Cambria Math"/>
              </w:rPr>
              <m:t>h</m:t>
            </m:r>
          </m:e>
          <m:sub>
            <m:r>
              <w:rPr>
                <w:rFonts w:ascii="Cambria Math" w:hAnsi="Cambria Math"/>
              </w:rPr>
              <m:t>j,t</m:t>
            </m:r>
          </m:sub>
          <m:sup>
            <m:r>
              <w:rPr>
                <w:rFonts w:ascii="Cambria Math" w:hAnsi="Cambria Math"/>
              </w:rPr>
              <m:t xml:space="preserve"> </m:t>
            </m:r>
          </m:sup>
        </m:sSubSup>
      </m:oMath>
      <w:r>
        <w:t xml:space="preserve"> is the conditional variance of the returns of asset </w:t>
      </w:r>
      <m:oMath>
        <m:r>
          <w:rPr>
            <w:rFonts w:ascii="Cambria Math" w:hAnsi="Cambria Math"/>
          </w:rPr>
          <m:t>j</m:t>
        </m:r>
      </m:oMath>
      <w:r>
        <w:t xml:space="preserve"> at time </w:t>
      </w:r>
      <m:oMath>
        <m:r>
          <w:rPr>
            <w:rFonts w:ascii="Cambria Math" w:hAnsi="Cambria Math"/>
          </w:rPr>
          <m:t>t</m:t>
        </m:r>
      </m:oMath>
      <w:r>
        <w:t xml:space="preserve">. This hedge ratio normalizes the conditional covariance, which is useful for determining the size of the hedge position. When the conditional covariance between the two commodities is high and the variance of the hedging commodity is low, the hedge ratio will be higher. This means that </w:t>
      </w:r>
      <w:r w:rsidR="0009741F">
        <w:t>investors</w:t>
      </w:r>
      <w:r>
        <w:t xml:space="preserve"> need a larger position in the hedging commodity to effectively hedge the risk associated with the primary commodity. </w:t>
      </w:r>
      <w:bookmarkStart w:id="17" w:name="_ji8f3xpyrayd" w:colFirst="0" w:colLast="0"/>
      <w:bookmarkEnd w:id="17"/>
    </w:p>
    <w:p w14:paraId="63C5FE53" w14:textId="01DD2522" w:rsidR="00D640F1" w:rsidRDefault="00000000" w:rsidP="00C2441F">
      <w:pPr>
        <w:tabs>
          <w:tab w:val="left" w:pos="5429"/>
        </w:tabs>
        <w:spacing w:after="240"/>
      </w:pPr>
      <w:r>
        <w:br w:type="page"/>
      </w:r>
    </w:p>
    <w:p w14:paraId="3DBAA858" w14:textId="32F52E36" w:rsidR="00D640F1" w:rsidRDefault="00000000" w:rsidP="00C6771C">
      <w:pPr>
        <w:pStyle w:val="Heading1"/>
        <w:spacing w:before="0" w:after="200"/>
        <w:jc w:val="both"/>
      </w:pPr>
      <w:bookmarkStart w:id="18" w:name="_Toc167478292"/>
      <w:r>
        <w:t>4. Result</w:t>
      </w:r>
      <w:r w:rsidR="008E6569">
        <w:t>s</w:t>
      </w:r>
      <w:bookmarkEnd w:id="18"/>
    </w:p>
    <w:p w14:paraId="3CD90AEA" w14:textId="271502A9" w:rsidR="00D640F1" w:rsidRDefault="00000000" w:rsidP="006A2407">
      <w:pPr>
        <w:spacing w:after="200"/>
        <w:jc w:val="both"/>
      </w:pPr>
      <w:r>
        <w:t>This section presents the empirical results by using the returns of the three commodity groups of metal, energy, and agricultur</w:t>
      </w:r>
      <w:r w:rsidR="0093458E">
        <w:t>e</w:t>
      </w:r>
      <w:r w:rsidR="00D5184C">
        <w:t xml:space="preserve"> from 1991 to 2023</w:t>
      </w:r>
      <w:r>
        <w:t>.</w:t>
      </w:r>
      <w:r w:rsidR="00B74373">
        <w:t xml:space="preserve"> </w:t>
      </w:r>
      <w:r w:rsidR="00B671F3">
        <w:t xml:space="preserve">This </w:t>
      </w:r>
      <w:r w:rsidR="007700FF">
        <w:t>study</w:t>
      </w:r>
      <w:r w:rsidR="00B671F3">
        <w:t xml:space="preserve"> </w:t>
      </w:r>
      <w:r w:rsidR="00A43663">
        <w:t>o</w:t>
      </w:r>
      <w:r w:rsidR="00B86B1E">
        <w:t>b</w:t>
      </w:r>
      <w:r w:rsidR="00A43663">
        <w:t>tains</w:t>
      </w:r>
      <w:r>
        <w:t xml:space="preserve"> the estimated parameters of the multivariate GARCH model: diagonal VECH, diagonal BEKK, and CCC. By using the time-varying </w:t>
      </w:r>
      <w:r w:rsidR="007929D5">
        <w:t>volatility</w:t>
      </w:r>
      <w:r>
        <w:t xml:space="preserve"> and correlation of these multivariate models, </w:t>
      </w:r>
      <w:r w:rsidR="00FB5045">
        <w:t xml:space="preserve">the </w:t>
      </w:r>
      <w:r>
        <w:t>portfolio</w:t>
      </w:r>
      <w:r w:rsidR="00FB5045">
        <w:t>s can be</w:t>
      </w:r>
      <w:r>
        <w:t xml:space="preserve"> optimiz</w:t>
      </w:r>
      <w:r w:rsidR="00FB5045">
        <w:t>ed</w:t>
      </w:r>
      <w:r>
        <w:t xml:space="preserve"> and thus</w:t>
      </w:r>
      <w:r w:rsidR="00FB5045">
        <w:t xml:space="preserve"> </w:t>
      </w:r>
      <w:r>
        <w:t>the time-varying weights for the commodities groups</w:t>
      </w:r>
      <w:r w:rsidR="00FB5045">
        <w:t xml:space="preserve"> are obtained</w:t>
      </w:r>
      <w:r>
        <w:t xml:space="preserve">. By calculating the portfolio performance of return, variance, and CVaR, </w:t>
      </w:r>
      <w:r w:rsidR="00FB5045">
        <w:t xml:space="preserve">this </w:t>
      </w:r>
      <w:r w:rsidR="008709F9">
        <w:t>study</w:t>
      </w:r>
      <w:r>
        <w:t xml:space="preserve"> compare</w:t>
      </w:r>
      <w:r w:rsidR="00FB5045">
        <w:t>s</w:t>
      </w:r>
      <w:r>
        <w:t xml:space="preserve"> the portfolios </w:t>
      </w:r>
      <w:r w:rsidR="00FB5045">
        <w:t>over time</w:t>
      </w:r>
      <w:r>
        <w:t>. Additionally, in order to hedge against the risk associated with the commodities, the hedge ratios</w:t>
      </w:r>
      <w:r w:rsidR="00860733">
        <w:t xml:space="preserve"> are calculated </w:t>
      </w:r>
      <w:r>
        <w:t xml:space="preserve">for commodity pairs. In conclusion, the presented result will be the </w:t>
      </w:r>
      <w:r w:rsidR="00CA4DEE">
        <w:t xml:space="preserve">multivariate </w:t>
      </w:r>
      <w:r>
        <w:t>GARCH result</w:t>
      </w:r>
      <w:r w:rsidR="009969E5">
        <w:t>s</w:t>
      </w:r>
      <w:r>
        <w:t xml:space="preserve">, average optimal weights, portfolio performance, and hedge ratios. </w:t>
      </w:r>
    </w:p>
    <w:p w14:paraId="6D848FC4" w14:textId="5E15DD4A" w:rsidR="00D640F1" w:rsidRDefault="00000000" w:rsidP="006A2407">
      <w:pPr>
        <w:pStyle w:val="Heading2"/>
        <w:spacing w:after="200"/>
        <w:jc w:val="both"/>
      </w:pPr>
      <w:bookmarkStart w:id="19" w:name="_Toc167478293"/>
      <w:r>
        <w:t xml:space="preserve">4.1 </w:t>
      </w:r>
      <w:r w:rsidR="00A35F3F" w:rsidRPr="00A35F3F">
        <w:t>Multivariate</w:t>
      </w:r>
      <w:r w:rsidR="00BF00F5" w:rsidRPr="00BF00F5">
        <w:t xml:space="preserve"> </w:t>
      </w:r>
      <w:r>
        <w:t>GARCH Model</w:t>
      </w:r>
      <w:r w:rsidR="00BF00F5">
        <w:t>s</w:t>
      </w:r>
      <w:bookmarkEnd w:id="19"/>
    </w:p>
    <w:p w14:paraId="118C4D77" w14:textId="6B785FE8" w:rsidR="00D640F1" w:rsidRDefault="00000000" w:rsidP="005B4FFE">
      <w:pPr>
        <w:spacing w:after="200"/>
        <w:jc w:val="both"/>
      </w:pPr>
      <w:r>
        <w:t xml:space="preserve">As </w:t>
      </w:r>
      <w:r w:rsidR="00876298">
        <w:t>the</w:t>
      </w:r>
      <w:r>
        <w:t xml:space="preserve"> data displays asymmetry and fat</w:t>
      </w:r>
      <w:r w:rsidR="00F51A21">
        <w:t xml:space="preserve"> </w:t>
      </w:r>
      <w:r>
        <w:t xml:space="preserve">tail features, </w:t>
      </w:r>
      <w:r w:rsidR="00F5677E">
        <w:t xml:space="preserve">this </w:t>
      </w:r>
      <w:r w:rsidR="001F0792">
        <w:t>study</w:t>
      </w:r>
      <w:r>
        <w:t xml:space="preserve"> </w:t>
      </w:r>
      <w:r w:rsidR="00F5677E">
        <w:t>chooses</w:t>
      </w:r>
      <w:r>
        <w:t xml:space="preserve"> different distributions of normal and student</w:t>
      </w:r>
      <w:r w:rsidR="00C82CBA">
        <w:t xml:space="preserve"> </w:t>
      </w:r>
      <w:r>
        <w:t xml:space="preserve">t distribution to fit the errors. The multivariate GARCH models that are used for comparison are diagonal VECH, diagonal BEKK, and CCC. </w:t>
      </w:r>
      <w:r w:rsidR="0069230E">
        <w:t>The input data is the three commodity group data</w:t>
      </w:r>
      <w:r w:rsidR="00735E85">
        <w:t xml:space="preserve"> of metal, energy</w:t>
      </w:r>
      <w:r w:rsidR="0069230E">
        <w:t>,</w:t>
      </w:r>
      <w:r w:rsidR="00735E85">
        <w:t xml:space="preserve"> and agriculture,</w:t>
      </w:r>
      <w:r w:rsidR="0069230E">
        <w:t xml:space="preserve"> each with a period of 6329 observations</w:t>
      </w:r>
      <w:r w:rsidR="004D58E0">
        <w:t xml:space="preserve"> from 1991 to 2023</w:t>
      </w:r>
      <w:r w:rsidR="0069230E">
        <w:t>.</w:t>
      </w:r>
    </w:p>
    <w:p w14:paraId="4E847A10" w14:textId="77777777" w:rsidR="00D640F1" w:rsidRDefault="00000000" w:rsidP="005B4FFE">
      <w:pPr>
        <w:pStyle w:val="Heading3"/>
        <w:spacing w:after="200"/>
        <w:jc w:val="both"/>
      </w:pPr>
      <w:r>
        <w:t>4.1.1 GARCH Model Results</w:t>
      </w:r>
    </w:p>
    <w:p w14:paraId="1BB1D99E" w14:textId="1E7689FB" w:rsidR="00046B16" w:rsidRDefault="00233B4C" w:rsidP="00F3377E">
      <w:pPr>
        <w:spacing w:after="200"/>
        <w:jc w:val="both"/>
      </w:pPr>
      <w:r>
        <w:t xml:space="preserve">By inputting the </w:t>
      </w:r>
      <w:r w:rsidR="00635313">
        <w:t>three commodity group return data into the multivariate GARCH models of diagonal VECH, diagonal BEKK, and CCC</w:t>
      </w:r>
      <w:r w:rsidR="005E45D6">
        <w:t>, the estimated parameters</w:t>
      </w:r>
      <w:r w:rsidR="00860733">
        <w:t xml:space="preserve"> obtained </w:t>
      </w:r>
      <w:r w:rsidR="004F3E65">
        <w:t>are</w:t>
      </w:r>
      <w:r w:rsidR="005E45D6">
        <w:t xml:space="preserve"> displayed in the </w:t>
      </w:r>
      <w:r w:rsidR="00E461D9" w:rsidRPr="00642674">
        <w:fldChar w:fldCharType="begin"/>
      </w:r>
      <w:r w:rsidR="00E461D9" w:rsidRPr="00642674">
        <w:instrText xml:space="preserve"> REF _Ref167229747 \h </w:instrText>
      </w:r>
      <w:r w:rsidR="00642674">
        <w:instrText xml:space="preserve"> \* MERGEFORMAT </w:instrText>
      </w:r>
      <w:r w:rsidR="00E461D9" w:rsidRPr="00642674">
        <w:fldChar w:fldCharType="separate"/>
      </w:r>
      <w:r w:rsidR="002E6614" w:rsidRPr="002E6614">
        <w:t xml:space="preserve">Appendix </w:t>
      </w:r>
      <w:r w:rsidR="002E6614" w:rsidRPr="002E6614">
        <w:rPr>
          <w:noProof/>
        </w:rPr>
        <w:t>B</w:t>
      </w:r>
      <w:r w:rsidR="00E461D9" w:rsidRPr="00642674">
        <w:fldChar w:fldCharType="end"/>
      </w:r>
      <w:r w:rsidR="001A78BA">
        <w:t xml:space="preserve"> </w:t>
      </w:r>
      <w:r w:rsidR="005E45D6">
        <w:t xml:space="preserve">of </w:t>
      </w:r>
      <w:r w:rsidR="009D6A52">
        <w:t>Tables</w:t>
      </w:r>
      <w:r w:rsidR="005E45D6">
        <w:t xml:space="preserve"> </w:t>
      </w:r>
      <w:r w:rsidR="00E87566">
        <w:t>B1</w:t>
      </w:r>
      <w:r w:rsidR="001C30D6">
        <w:t xml:space="preserve">, </w:t>
      </w:r>
      <w:r w:rsidR="00E87566">
        <w:t>B2</w:t>
      </w:r>
      <w:r w:rsidR="001C30D6">
        <w:t xml:space="preserve">, and </w:t>
      </w:r>
      <w:r w:rsidR="00361330">
        <w:t>B3</w:t>
      </w:r>
      <w:r w:rsidR="00635313">
        <w:t>.</w:t>
      </w:r>
      <w:r w:rsidR="002C4E1B">
        <w:t xml:space="preserve"> </w:t>
      </w:r>
      <w:r w:rsidR="00C85DF1">
        <w:t xml:space="preserve">Within the mean equation, </w:t>
      </w:r>
      <w:r w:rsidR="00080D70">
        <w:t>t</w:t>
      </w:r>
      <w:r w:rsidR="00875C76">
        <w:t xml:space="preserve">he coefficient </w:t>
      </w:r>
      <m:oMath>
        <m:r>
          <w:rPr>
            <w:rFonts w:ascii="Cambria Math" w:hAnsi="Cambria Math"/>
          </w:rPr>
          <m:t>C (i)</m:t>
        </m:r>
      </m:oMath>
      <w:r w:rsidR="00875C76">
        <w:t xml:space="preserve"> denotes the </w:t>
      </w:r>
      <w:r w:rsidR="00CF7E74">
        <w:t xml:space="preserve">estimated </w:t>
      </w:r>
      <w:r w:rsidR="00875C76">
        <w:t>parameters</w:t>
      </w:r>
      <w:r w:rsidR="00CF7E74">
        <w:t xml:space="preserve">, </w:t>
      </w:r>
      <w:r w:rsidR="00F47154">
        <w:t xml:space="preserve">in </w:t>
      </w:r>
      <w:r w:rsidR="00CF7E74">
        <w:t xml:space="preserve">which </w:t>
      </w:r>
      <m:oMath>
        <m:r>
          <w:rPr>
            <w:rFonts w:ascii="Cambria Math" w:hAnsi="Cambria Math"/>
          </w:rPr>
          <m:t xml:space="preserve">C </m:t>
        </m:r>
        <m:d>
          <m:dPr>
            <m:ctrlPr>
              <w:rPr>
                <w:rFonts w:ascii="Cambria Math" w:hAnsi="Cambria Math"/>
                <w:i/>
              </w:rPr>
            </m:ctrlPr>
          </m:dPr>
          <m:e>
            <m:r>
              <w:rPr>
                <w:rFonts w:ascii="Cambria Math" w:hAnsi="Cambria Math"/>
              </w:rPr>
              <m:t>1</m:t>
            </m:r>
          </m:e>
        </m:d>
      </m:oMath>
      <w:r w:rsidR="0061515F">
        <w:t xml:space="preserve">, </w:t>
      </w:r>
      <m:oMath>
        <m:r>
          <w:rPr>
            <w:rFonts w:ascii="Cambria Math" w:hAnsi="Cambria Math"/>
          </w:rPr>
          <m:t>C (3)</m:t>
        </m:r>
      </m:oMath>
      <w:r w:rsidR="0061515F">
        <w:t xml:space="preserve">, and </w:t>
      </w:r>
      <m:oMath>
        <m:r>
          <w:rPr>
            <w:rFonts w:ascii="Cambria Math" w:hAnsi="Cambria Math"/>
          </w:rPr>
          <m:t>C (5)</m:t>
        </m:r>
      </m:oMath>
      <w:r w:rsidR="000B5C7A">
        <w:t xml:space="preserve"> are the constant term</w:t>
      </w:r>
      <w:r w:rsidR="00932E62">
        <w:t>s</w:t>
      </w:r>
      <w:r w:rsidR="000B5C7A">
        <w:t xml:space="preserve"> for each </w:t>
      </w:r>
      <w:r w:rsidR="00CE3BA5">
        <w:t>commodity</w:t>
      </w:r>
      <w:r w:rsidR="000B5C7A">
        <w:t xml:space="preserve"> group</w:t>
      </w:r>
      <w:r w:rsidR="004C220E">
        <w:t xml:space="preserve">, and </w:t>
      </w:r>
      <m:oMath>
        <m:r>
          <w:rPr>
            <w:rFonts w:ascii="Cambria Math" w:hAnsi="Cambria Math"/>
          </w:rPr>
          <m:t xml:space="preserve">C </m:t>
        </m:r>
        <m:d>
          <m:dPr>
            <m:ctrlPr>
              <w:rPr>
                <w:rFonts w:ascii="Cambria Math" w:hAnsi="Cambria Math"/>
                <w:i/>
              </w:rPr>
            </m:ctrlPr>
          </m:dPr>
          <m:e>
            <m:r>
              <w:rPr>
                <w:rFonts w:ascii="Cambria Math" w:hAnsi="Cambria Math"/>
              </w:rPr>
              <m:t>2</m:t>
            </m:r>
          </m:e>
        </m:d>
      </m:oMath>
      <w:r w:rsidR="00CE3BA5">
        <w:t xml:space="preserve">, </w:t>
      </w:r>
      <m:oMath>
        <m:r>
          <w:rPr>
            <w:rFonts w:ascii="Cambria Math" w:hAnsi="Cambria Math"/>
          </w:rPr>
          <m:t>C (4)</m:t>
        </m:r>
      </m:oMath>
      <w:r w:rsidR="00CE3BA5">
        <w:t xml:space="preserve">, and </w:t>
      </w:r>
      <m:oMath>
        <m:r>
          <w:rPr>
            <w:rFonts w:ascii="Cambria Math" w:hAnsi="Cambria Math"/>
          </w:rPr>
          <m:t>C (6)</m:t>
        </m:r>
      </m:oMath>
      <w:r w:rsidR="00CE3BA5">
        <w:t xml:space="preserve"> are</w:t>
      </w:r>
      <w:r w:rsidR="00882A14">
        <w:t xml:space="preserve"> </w:t>
      </w:r>
      <w:r w:rsidR="006E7D89">
        <w:t>l</w:t>
      </w:r>
      <w:r w:rsidR="00BF7CBB">
        <w:t>a</w:t>
      </w:r>
      <w:r w:rsidR="006E7D89">
        <w:t>gged</w:t>
      </w:r>
      <w:r w:rsidR="00882A14">
        <w:t xml:space="preserve"> </w:t>
      </w:r>
      <w:r w:rsidR="0046234C">
        <w:t>values</w:t>
      </w:r>
      <w:r w:rsidR="00882A14">
        <w:t xml:space="preserve"> of each </w:t>
      </w:r>
      <w:r w:rsidR="00F8331F">
        <w:t>commodity</w:t>
      </w:r>
      <w:r w:rsidR="00875C76">
        <w:t xml:space="preserve">. </w:t>
      </w:r>
      <w:r w:rsidR="00475EFD">
        <w:t xml:space="preserve">For example, </w:t>
      </w:r>
      <m:oMath>
        <m:r>
          <w:rPr>
            <w:rFonts w:ascii="Cambria Math" w:hAnsi="Cambria Math"/>
          </w:rPr>
          <m:t>C (6)</m:t>
        </m:r>
      </m:oMath>
      <w:r w:rsidR="00475EFD">
        <w:t xml:space="preserve"> </w:t>
      </w:r>
      <w:r w:rsidR="008405A1">
        <w:t xml:space="preserve">of the agricultural commodity’s constant term </w:t>
      </w:r>
      <w:r w:rsidR="00C71BB3">
        <w:t xml:space="preserve">is </w:t>
      </w:r>
      <w:r w:rsidR="00C71BB3" w:rsidRPr="00C71BB3">
        <w:t xml:space="preserve">significant </w:t>
      </w:r>
      <w:r w:rsidR="002A037B">
        <w:t xml:space="preserve">at </w:t>
      </w:r>
      <w:r w:rsidR="000E5756">
        <w:t>a 9</w:t>
      </w:r>
      <w:r w:rsidR="002A037B">
        <w:t xml:space="preserve">5% </w:t>
      </w:r>
      <w:r w:rsidR="00EC3168">
        <w:t>confidence</w:t>
      </w:r>
      <w:r w:rsidR="000E5756">
        <w:t xml:space="preserve"> </w:t>
      </w:r>
      <w:r w:rsidR="002A037B">
        <w:t xml:space="preserve">level </w:t>
      </w:r>
      <w:r w:rsidR="00C71BB3" w:rsidRPr="00C71BB3">
        <w:t>across all models, indicating a strong effect on the mean returns</w:t>
      </w:r>
      <w:r w:rsidR="00C71BB3">
        <w:t xml:space="preserve">. </w:t>
      </w:r>
      <w:r w:rsidR="00862B16">
        <w:t xml:space="preserve">As different GARCH models model the </w:t>
      </w:r>
      <w:r w:rsidR="005443B5">
        <w:t>volatility</w:t>
      </w:r>
      <w:r w:rsidR="00862B16">
        <w:t xml:space="preserve"> in different ways, the parameters of the mean equation are different across models</w:t>
      </w:r>
      <w:r w:rsidR="00285628">
        <w:t>.</w:t>
      </w:r>
      <w:r w:rsidR="005F5FD4">
        <w:t xml:space="preserve"> </w:t>
      </w:r>
      <w:r w:rsidR="008E7B3E">
        <w:t xml:space="preserve">For the variance equation, </w:t>
      </w:r>
      <m:oMath>
        <m:r>
          <w:rPr>
            <w:rFonts w:ascii="Cambria Math" w:hAnsi="Cambria Math"/>
          </w:rPr>
          <m:t>M</m:t>
        </m:r>
      </m:oMath>
      <w:r w:rsidR="008261CE">
        <w:t xml:space="preserve"> denotes the </w:t>
      </w:r>
      <w:r w:rsidR="00442AF3" w:rsidRPr="00442AF3">
        <w:t>constant terms</w:t>
      </w:r>
      <w:r w:rsidR="009E48C4">
        <w:t xml:space="preserve">, </w:t>
      </w:r>
      <m:oMath>
        <m:r>
          <w:rPr>
            <w:rFonts w:ascii="Cambria Math" w:hAnsi="Cambria Math"/>
          </w:rPr>
          <m:t>A1</m:t>
        </m:r>
      </m:oMath>
      <w:r w:rsidR="007D6365">
        <w:t xml:space="preserve"> is </w:t>
      </w:r>
      <w:r w:rsidR="007D6365" w:rsidRPr="007D6365">
        <w:t xml:space="preserve">the ARCH </w:t>
      </w:r>
      <w:r w:rsidR="004104DC">
        <w:t>term</w:t>
      </w:r>
      <w:r w:rsidR="007D6365" w:rsidRPr="007D6365">
        <w:t xml:space="preserve"> </w:t>
      </w:r>
      <w:r w:rsidR="004104DC">
        <w:t>that</w:t>
      </w:r>
      <w:r w:rsidR="008C5B49">
        <w:t xml:space="preserve"> </w:t>
      </w:r>
      <w:r w:rsidR="007D6365" w:rsidRPr="007D6365">
        <w:t>captur</w:t>
      </w:r>
      <w:r w:rsidR="008C5B49">
        <w:t>es</w:t>
      </w:r>
      <w:r w:rsidR="007D6365" w:rsidRPr="007D6365">
        <w:t xml:space="preserve"> the short-term effects</w:t>
      </w:r>
      <w:r w:rsidR="004F0B17">
        <w:t xml:space="preserve">, and </w:t>
      </w:r>
      <m:oMath>
        <m:r>
          <w:rPr>
            <w:rFonts w:ascii="Cambria Math" w:hAnsi="Cambria Math"/>
          </w:rPr>
          <m:t>B1</m:t>
        </m:r>
      </m:oMath>
      <w:r w:rsidR="00F8322C">
        <w:t xml:space="preserve"> is the </w:t>
      </w:r>
      <w:r w:rsidR="00F82805" w:rsidRPr="00F82805">
        <w:t xml:space="preserve">GARCH terms </w:t>
      </w:r>
      <w:r w:rsidR="004713D8">
        <w:t>reflecting</w:t>
      </w:r>
      <w:r w:rsidR="00F82805" w:rsidRPr="00F82805">
        <w:t xml:space="preserve"> the long-term effects</w:t>
      </w:r>
      <w:r w:rsidR="009F038D">
        <w:t xml:space="preserve">. For the CCC model, the </w:t>
      </w:r>
      <m:oMath>
        <m:r>
          <w:rPr>
            <w:rFonts w:ascii="Cambria Math" w:hAnsi="Cambria Math"/>
          </w:rPr>
          <m:t>R (i,j)</m:t>
        </m:r>
      </m:oMath>
      <w:r w:rsidR="00F75AAF">
        <w:t xml:space="preserve"> </w:t>
      </w:r>
      <w:r w:rsidR="00493F74">
        <w:t>is</w:t>
      </w:r>
      <w:r w:rsidR="00F75AAF">
        <w:t xml:space="preserve"> the c</w:t>
      </w:r>
      <w:r w:rsidR="00F75AAF" w:rsidRPr="00F75AAF">
        <w:t xml:space="preserve">orrelation </w:t>
      </w:r>
      <w:r w:rsidR="000A13FD">
        <w:t>coefficient</w:t>
      </w:r>
      <w:r w:rsidR="00F75AAF" w:rsidRPr="00F75AAF">
        <w:t xml:space="preserve"> between commodities</w:t>
      </w:r>
      <w:r w:rsidR="00285EAF">
        <w:t xml:space="preserve">. For example, </w:t>
      </w:r>
      <m:oMath>
        <m:r>
          <w:rPr>
            <w:rFonts w:ascii="Cambria Math" w:hAnsi="Cambria Math"/>
          </w:rPr>
          <m:t>R (1,2)</m:t>
        </m:r>
      </m:oMath>
      <w:r w:rsidR="00B769BA">
        <w:t xml:space="preserve"> denotes</w:t>
      </w:r>
      <w:r w:rsidR="005B27C1">
        <w:t xml:space="preserve"> the correlation</w:t>
      </w:r>
      <w:r w:rsidR="000A13FD">
        <w:t xml:space="preserve"> </w:t>
      </w:r>
      <w:r w:rsidR="000A13FD" w:rsidRPr="000A13FD">
        <w:t>between metal and energy commodities.</w:t>
      </w:r>
      <w:r w:rsidR="00B23216">
        <w:t xml:space="preserve"> </w:t>
      </w:r>
      <w:r w:rsidR="00D275BA">
        <w:t xml:space="preserve">While </w:t>
      </w:r>
      <w:r w:rsidR="007E1D00">
        <w:t xml:space="preserve">this </w:t>
      </w:r>
      <w:r w:rsidR="003272C3">
        <w:t>study</w:t>
      </w:r>
      <w:r w:rsidR="00D275BA">
        <w:t xml:space="preserve"> do</w:t>
      </w:r>
      <w:r w:rsidR="00131575">
        <w:t>es</w:t>
      </w:r>
      <w:r w:rsidR="00D275BA">
        <w:t xml:space="preserve"> not directly </w:t>
      </w:r>
      <w:r w:rsidR="007E1D00">
        <w:t>use</w:t>
      </w:r>
      <w:r w:rsidR="00D275BA">
        <w:t xml:space="preserve"> the </w:t>
      </w:r>
      <w:r w:rsidR="00CE7808">
        <w:t xml:space="preserve">estimated </w:t>
      </w:r>
      <w:r w:rsidR="00E94BE4">
        <w:t>parameters</w:t>
      </w:r>
      <w:r w:rsidR="00D275BA">
        <w:t xml:space="preserve"> of the GARCH model</w:t>
      </w:r>
      <w:r w:rsidR="00C05755">
        <w:t>s</w:t>
      </w:r>
      <w:r w:rsidR="00D275BA">
        <w:t xml:space="preserve"> for forecasting purposes, </w:t>
      </w:r>
      <w:r w:rsidR="008559ED">
        <w:t>t</w:t>
      </w:r>
      <w:r w:rsidR="008559ED" w:rsidRPr="008559ED">
        <w:t xml:space="preserve">hese </w:t>
      </w:r>
      <w:r w:rsidR="00131575">
        <w:t>parameters</w:t>
      </w:r>
      <w:r w:rsidR="00BF05A8">
        <w:t xml:space="preserve"> </w:t>
      </w:r>
      <w:r w:rsidR="00131575">
        <w:t>are</w:t>
      </w:r>
      <w:r w:rsidR="008559ED" w:rsidRPr="008559ED">
        <w:t xml:space="preserve"> help</w:t>
      </w:r>
      <w:r w:rsidR="00BF05A8">
        <w:t>ful</w:t>
      </w:r>
      <w:r w:rsidR="008559ED" w:rsidRPr="008559ED">
        <w:t xml:space="preserve"> in </w:t>
      </w:r>
      <w:r w:rsidR="006D6352">
        <w:t>analyzing</w:t>
      </w:r>
      <w:r w:rsidR="008559ED" w:rsidRPr="008559ED">
        <w:t xml:space="preserve"> how past returns and volatilities of one commodity affect the current period returns and volatilities of other commodities.</w:t>
      </w:r>
      <w:r w:rsidR="0017078E">
        <w:t xml:space="preserve"> </w:t>
      </w:r>
    </w:p>
    <w:p w14:paraId="4B4B9B9E" w14:textId="2CD1706D" w:rsidR="00D640F1" w:rsidRDefault="00233B4C" w:rsidP="00CE6C44">
      <w:pPr>
        <w:spacing w:after="60"/>
        <w:jc w:val="both"/>
      </w:pPr>
      <w:r>
        <w:t xml:space="preserve">As shown in </w:t>
      </w:r>
      <w:r w:rsidR="008973A2">
        <w:fldChar w:fldCharType="begin"/>
      </w:r>
      <w:r w:rsidR="008973A2">
        <w:instrText xml:space="preserve"> REF _Ref167227751 \h </w:instrText>
      </w:r>
      <w:r w:rsidR="008973A2">
        <w:fldChar w:fldCharType="separate"/>
      </w:r>
      <w:r w:rsidR="002E6614">
        <w:t xml:space="preserve">Table </w:t>
      </w:r>
      <w:r w:rsidR="002E6614">
        <w:rPr>
          <w:noProof/>
        </w:rPr>
        <w:t>4</w:t>
      </w:r>
      <w:r w:rsidR="008973A2">
        <w:fldChar w:fldCharType="end"/>
      </w:r>
      <w:r>
        <w:t xml:space="preserve">, the criteria used for comparison are the log-likelihood, AIC, and BIC. </w:t>
      </w:r>
      <w:r w:rsidR="00F338A8">
        <w:t xml:space="preserve">The </w:t>
      </w:r>
      <w:r w:rsidR="00F338A8" w:rsidRPr="00F338A8">
        <w:t xml:space="preserve">AIC is Akaike Information Criterion and BIC is </w:t>
      </w:r>
      <w:r w:rsidR="004D6589">
        <w:t xml:space="preserve">the </w:t>
      </w:r>
      <w:r w:rsidR="00F338A8" w:rsidRPr="00F338A8">
        <w:t>Bayesian Information Criterion. Higher values of log-likelihood, along with lower values of AIC and BIC, indicate better goodness of fit.</w:t>
      </w:r>
      <w:r w:rsidR="004D6589">
        <w:t xml:space="preserve"> </w:t>
      </w:r>
      <w:r>
        <w:t xml:space="preserve">Under the normal distribution assumption, the diagonal VECH model estimates a total of 24 parameters and has the highest log-likelihood of 56886.42. It also has the lowest AIC and BIC values, indicating its best fit within the normal distribution assumption. The diagonal BEKK and CCC </w:t>
      </w:r>
      <w:r w:rsidR="009D00B5">
        <w:t>models</w:t>
      </w:r>
      <w:r>
        <w:t xml:space="preserve"> ha</w:t>
      </w:r>
      <w:r w:rsidR="00E12900">
        <w:t>ve</w:t>
      </w:r>
      <w:r>
        <w:t xml:space="preserve"> lower log-likelihood</w:t>
      </w:r>
      <w:r w:rsidR="009D00B5">
        <w:t>s</w:t>
      </w:r>
      <w:r>
        <w:t xml:space="preserve">, indicating less goodness of fit. When using the student t distribution, </w:t>
      </w:r>
      <w:r w:rsidR="00292F3C">
        <w:t>the result</w:t>
      </w:r>
      <w:r w:rsidR="002C6C95">
        <w:t>s</w:t>
      </w:r>
      <w:r>
        <w:t xml:space="preserve"> will get one more estimated parameter compared to the normal distribution. This additional estimated parameter is the degree of freedom. Under this assumption, the diagonal VECH also achieves the highest log-likelihood of 57459.74  among other student</w:t>
      </w:r>
      <w:r w:rsidR="00CE5CB1">
        <w:t xml:space="preserve"> </w:t>
      </w:r>
      <w:r>
        <w:t>t distribution models. Similarly, the diagonal BEKK and CCC model</w:t>
      </w:r>
      <w:r w:rsidR="00346306">
        <w:t>s</w:t>
      </w:r>
      <w:r>
        <w:t xml:space="preserve"> still ha</w:t>
      </w:r>
      <w:r w:rsidR="00D506EA">
        <w:t>ve</w:t>
      </w:r>
      <w:r>
        <w:t xml:space="preserve"> lower log-likelihood values, along with higher AIC and BIC values. Finally, by comparing the results of normal and student</w:t>
      </w:r>
      <w:r w:rsidR="00B04195">
        <w:t xml:space="preserve"> </w:t>
      </w:r>
      <w:r>
        <w:t xml:space="preserve">t distributions, </w:t>
      </w:r>
      <w:r w:rsidR="00581E04">
        <w:t xml:space="preserve">it can be seen that </w:t>
      </w:r>
      <w:r>
        <w:t>the models assuming student</w:t>
      </w:r>
      <w:r w:rsidR="001F50DB">
        <w:t xml:space="preserve"> </w:t>
      </w:r>
      <w:r>
        <w:t xml:space="preserve">t distribution generally show better goodness of fit compared to models assuming normal distribution. These results align with the data features of the high kurtosis observed in metal and energy commodities because the student t distribution is better at handling heavy tails and extreme values compared to the normal distribution. </w:t>
      </w:r>
    </w:p>
    <w:p w14:paraId="2A27926A" w14:textId="70F23198" w:rsidR="00DD2903" w:rsidRDefault="00DD2903" w:rsidP="005C7C1C">
      <w:pPr>
        <w:pStyle w:val="Caption"/>
        <w:spacing w:after="60"/>
      </w:pPr>
      <w:bookmarkStart w:id="20" w:name="_Ref167227751"/>
      <w:r>
        <w:t xml:space="preserve">Table </w:t>
      </w:r>
      <w:r>
        <w:fldChar w:fldCharType="begin"/>
      </w:r>
      <w:r>
        <w:instrText xml:space="preserve"> SEQ Table \* ARABIC </w:instrText>
      </w:r>
      <w:r>
        <w:fldChar w:fldCharType="separate"/>
      </w:r>
      <w:r w:rsidR="002E6614">
        <w:rPr>
          <w:noProof/>
        </w:rPr>
        <w:t>4</w:t>
      </w:r>
      <w:r>
        <w:fldChar w:fldCharType="end"/>
      </w:r>
      <w:bookmarkEnd w:id="20"/>
      <w:r>
        <w:t xml:space="preserve">: </w:t>
      </w:r>
      <w:r w:rsidR="00A35F3F" w:rsidRPr="00A35F3F">
        <w:t>Multivariate</w:t>
      </w:r>
      <w:r w:rsidRPr="0000364D">
        <w:t xml:space="preserve"> GARCH (1, 1) model results</w:t>
      </w:r>
    </w:p>
    <w:tbl>
      <w:tblPr>
        <w:tblStyle w:val="a2"/>
        <w:tblW w:w="5000" w:type="pct"/>
        <w:tblBorders>
          <w:top w:val="nil"/>
          <w:left w:val="nil"/>
          <w:bottom w:val="nil"/>
          <w:right w:val="nil"/>
          <w:insideH w:val="nil"/>
          <w:insideV w:val="nil"/>
        </w:tblBorders>
        <w:tblLook w:val="0600" w:firstRow="0" w:lastRow="0" w:firstColumn="0" w:lastColumn="0" w:noHBand="1" w:noVBand="1"/>
      </w:tblPr>
      <w:tblGrid>
        <w:gridCol w:w="1357"/>
        <w:gridCol w:w="983"/>
        <w:gridCol w:w="1838"/>
        <w:gridCol w:w="2048"/>
        <w:gridCol w:w="1608"/>
        <w:gridCol w:w="1526"/>
      </w:tblGrid>
      <w:tr w:rsidR="00D640F1" w14:paraId="19B5D123" w14:textId="77777777" w:rsidTr="00AB2F04">
        <w:trPr>
          <w:trHeight w:hRule="exact" w:val="312"/>
        </w:trPr>
        <w:tc>
          <w:tcPr>
            <w:tcW w:w="72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77E03773" w14:textId="77777777" w:rsidR="00D640F1" w:rsidRDefault="00D640F1">
            <w:pPr>
              <w:widowControl w:val="0"/>
              <w:spacing w:line="276" w:lineRule="auto"/>
              <w:rPr>
                <w:rFonts w:ascii="Arial" w:eastAsia="Arial" w:hAnsi="Arial" w:cs="Arial"/>
                <w:sz w:val="20"/>
                <w:szCs w:val="20"/>
              </w:rPr>
            </w:pPr>
          </w:p>
        </w:tc>
        <w:tc>
          <w:tcPr>
            <w:tcW w:w="52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6FBC36D4" w14:textId="77777777" w:rsidR="00D640F1" w:rsidRDefault="00D640F1">
            <w:pPr>
              <w:widowControl w:val="0"/>
              <w:spacing w:line="276" w:lineRule="auto"/>
              <w:rPr>
                <w:rFonts w:ascii="Arial" w:eastAsia="Arial" w:hAnsi="Arial" w:cs="Arial"/>
                <w:sz w:val="20"/>
                <w:szCs w:val="20"/>
              </w:rPr>
            </w:pPr>
          </w:p>
        </w:tc>
        <w:tc>
          <w:tcPr>
            <w:tcW w:w="982"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22904D31" w14:textId="7B4C0CBC" w:rsidR="00D640F1" w:rsidRDefault="00000000" w:rsidP="00A7547F">
            <w:pPr>
              <w:widowControl w:val="0"/>
              <w:spacing w:line="276" w:lineRule="auto"/>
              <w:jc w:val="center"/>
              <w:rPr>
                <w:rFonts w:ascii="Arial" w:eastAsia="Arial" w:hAnsi="Arial" w:cs="Arial"/>
                <w:sz w:val="20"/>
                <w:szCs w:val="20"/>
              </w:rPr>
            </w:pPr>
            <w:r>
              <w:rPr>
                <w:b/>
                <w:sz w:val="22"/>
                <w:szCs w:val="22"/>
              </w:rPr>
              <w:t>Num</w:t>
            </w:r>
            <w:r w:rsidR="00AB2F04">
              <w:rPr>
                <w:b/>
                <w:sz w:val="22"/>
                <w:szCs w:val="22"/>
              </w:rPr>
              <w:t>_</w:t>
            </w:r>
            <w:r>
              <w:rPr>
                <w:b/>
                <w:sz w:val="22"/>
                <w:szCs w:val="22"/>
              </w:rPr>
              <w:t>para</w:t>
            </w:r>
          </w:p>
        </w:tc>
        <w:tc>
          <w:tcPr>
            <w:tcW w:w="1094"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14EE131E" w14:textId="77777777" w:rsidR="00D640F1" w:rsidRDefault="00000000" w:rsidP="00A7547F">
            <w:pPr>
              <w:widowControl w:val="0"/>
              <w:spacing w:line="276" w:lineRule="auto"/>
              <w:jc w:val="center"/>
              <w:rPr>
                <w:rFonts w:ascii="Arial" w:eastAsia="Arial" w:hAnsi="Arial" w:cs="Arial"/>
                <w:sz w:val="20"/>
                <w:szCs w:val="20"/>
              </w:rPr>
            </w:pPr>
            <w:r>
              <w:rPr>
                <w:b/>
                <w:sz w:val="22"/>
                <w:szCs w:val="22"/>
              </w:rPr>
              <w:t>Log-likelihood</w:t>
            </w:r>
          </w:p>
        </w:tc>
        <w:tc>
          <w:tcPr>
            <w:tcW w:w="859"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0C600FDD" w14:textId="77777777" w:rsidR="00D640F1" w:rsidRDefault="00000000" w:rsidP="00A7547F">
            <w:pPr>
              <w:widowControl w:val="0"/>
              <w:spacing w:line="276" w:lineRule="auto"/>
              <w:jc w:val="center"/>
              <w:rPr>
                <w:rFonts w:ascii="Arial" w:eastAsia="Arial" w:hAnsi="Arial" w:cs="Arial"/>
                <w:sz w:val="20"/>
                <w:szCs w:val="20"/>
              </w:rPr>
            </w:pPr>
            <w:r>
              <w:rPr>
                <w:b/>
                <w:sz w:val="22"/>
                <w:szCs w:val="22"/>
              </w:rPr>
              <w:t>AIC</w:t>
            </w:r>
          </w:p>
        </w:tc>
        <w:tc>
          <w:tcPr>
            <w:tcW w:w="81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5C4D39F8" w14:textId="77777777" w:rsidR="00D640F1" w:rsidRDefault="00000000" w:rsidP="00A7547F">
            <w:pPr>
              <w:widowControl w:val="0"/>
              <w:spacing w:line="276" w:lineRule="auto"/>
              <w:jc w:val="center"/>
              <w:rPr>
                <w:rFonts w:ascii="Arial" w:eastAsia="Arial" w:hAnsi="Arial" w:cs="Arial"/>
                <w:sz w:val="20"/>
                <w:szCs w:val="20"/>
              </w:rPr>
            </w:pPr>
            <w:r>
              <w:rPr>
                <w:b/>
                <w:sz w:val="22"/>
                <w:szCs w:val="22"/>
              </w:rPr>
              <w:t>BIC</w:t>
            </w:r>
          </w:p>
        </w:tc>
      </w:tr>
      <w:tr w:rsidR="00D640F1" w14:paraId="007D9861" w14:textId="77777777" w:rsidTr="00DA71FE">
        <w:trPr>
          <w:trHeight w:hRule="exact" w:val="284"/>
        </w:trPr>
        <w:tc>
          <w:tcPr>
            <w:tcW w:w="725" w:type="pct"/>
            <w:tcBorders>
              <w:top w:val="nil"/>
              <w:left w:val="nil"/>
              <w:bottom w:val="nil"/>
              <w:right w:val="nil"/>
            </w:tcBorders>
            <w:tcMar>
              <w:top w:w="40" w:type="dxa"/>
              <w:left w:w="40" w:type="dxa"/>
              <w:bottom w:w="40" w:type="dxa"/>
              <w:right w:w="40" w:type="dxa"/>
            </w:tcMar>
            <w:vAlign w:val="bottom"/>
          </w:tcPr>
          <w:p w14:paraId="6F24F0B9" w14:textId="77777777" w:rsidR="00D640F1" w:rsidRDefault="00000000">
            <w:pPr>
              <w:widowControl w:val="0"/>
              <w:spacing w:line="276" w:lineRule="auto"/>
              <w:rPr>
                <w:rFonts w:ascii="Arial" w:eastAsia="Arial" w:hAnsi="Arial" w:cs="Arial"/>
                <w:sz w:val="20"/>
                <w:szCs w:val="20"/>
              </w:rPr>
            </w:pPr>
            <w:r>
              <w:rPr>
                <w:sz w:val="22"/>
                <w:szCs w:val="22"/>
              </w:rPr>
              <w:t>Norm</w:t>
            </w:r>
          </w:p>
        </w:tc>
        <w:tc>
          <w:tcPr>
            <w:tcW w:w="525" w:type="pct"/>
            <w:tcBorders>
              <w:top w:val="nil"/>
              <w:left w:val="nil"/>
              <w:bottom w:val="nil"/>
              <w:right w:val="nil"/>
            </w:tcBorders>
            <w:tcMar>
              <w:top w:w="40" w:type="dxa"/>
              <w:left w:w="40" w:type="dxa"/>
              <w:bottom w:w="40" w:type="dxa"/>
              <w:right w:w="40" w:type="dxa"/>
            </w:tcMar>
            <w:vAlign w:val="bottom"/>
          </w:tcPr>
          <w:p w14:paraId="7733CE35" w14:textId="77777777" w:rsidR="00D640F1" w:rsidRDefault="00000000">
            <w:pPr>
              <w:widowControl w:val="0"/>
              <w:spacing w:line="276" w:lineRule="auto"/>
              <w:rPr>
                <w:rFonts w:ascii="Arial" w:eastAsia="Arial" w:hAnsi="Arial" w:cs="Arial"/>
                <w:sz w:val="20"/>
                <w:szCs w:val="20"/>
              </w:rPr>
            </w:pPr>
            <w:r>
              <w:rPr>
                <w:sz w:val="22"/>
                <w:szCs w:val="22"/>
              </w:rPr>
              <w:t>VECH</w:t>
            </w:r>
          </w:p>
        </w:tc>
        <w:tc>
          <w:tcPr>
            <w:tcW w:w="982" w:type="pct"/>
            <w:tcBorders>
              <w:top w:val="nil"/>
              <w:left w:val="nil"/>
              <w:bottom w:val="nil"/>
              <w:right w:val="nil"/>
            </w:tcBorders>
            <w:shd w:val="clear" w:color="auto" w:fill="auto"/>
            <w:tcMar>
              <w:top w:w="40" w:type="dxa"/>
              <w:left w:w="40" w:type="dxa"/>
              <w:bottom w:w="40" w:type="dxa"/>
              <w:right w:w="40" w:type="dxa"/>
            </w:tcMar>
            <w:vAlign w:val="bottom"/>
          </w:tcPr>
          <w:p w14:paraId="197AC1C4" w14:textId="77777777" w:rsidR="00D640F1" w:rsidRDefault="00000000" w:rsidP="00A7547F">
            <w:pPr>
              <w:widowControl w:val="0"/>
              <w:spacing w:line="276" w:lineRule="auto"/>
              <w:jc w:val="center"/>
              <w:rPr>
                <w:rFonts w:ascii="Arial" w:eastAsia="Arial" w:hAnsi="Arial" w:cs="Arial"/>
                <w:sz w:val="20"/>
                <w:szCs w:val="20"/>
              </w:rPr>
            </w:pPr>
            <w:r>
              <w:rPr>
                <w:sz w:val="22"/>
                <w:szCs w:val="22"/>
              </w:rPr>
              <w:t>24</w:t>
            </w:r>
          </w:p>
        </w:tc>
        <w:tc>
          <w:tcPr>
            <w:tcW w:w="1094" w:type="pct"/>
            <w:tcBorders>
              <w:top w:val="nil"/>
              <w:left w:val="nil"/>
              <w:bottom w:val="nil"/>
              <w:right w:val="nil"/>
            </w:tcBorders>
            <w:tcMar>
              <w:top w:w="40" w:type="dxa"/>
              <w:left w:w="40" w:type="dxa"/>
              <w:bottom w:w="40" w:type="dxa"/>
              <w:right w:w="40" w:type="dxa"/>
            </w:tcMar>
            <w:vAlign w:val="bottom"/>
          </w:tcPr>
          <w:p w14:paraId="15682F15" w14:textId="77777777" w:rsidR="00D640F1" w:rsidRDefault="00000000" w:rsidP="00A7547F">
            <w:pPr>
              <w:widowControl w:val="0"/>
              <w:spacing w:line="276" w:lineRule="auto"/>
              <w:jc w:val="center"/>
              <w:rPr>
                <w:rFonts w:ascii="Arial" w:eastAsia="Arial" w:hAnsi="Arial" w:cs="Arial"/>
                <w:sz w:val="20"/>
                <w:szCs w:val="20"/>
              </w:rPr>
            </w:pPr>
            <w:r>
              <w:rPr>
                <w:sz w:val="22"/>
                <w:szCs w:val="22"/>
              </w:rPr>
              <w:t>56886.42</w:t>
            </w:r>
          </w:p>
        </w:tc>
        <w:tc>
          <w:tcPr>
            <w:tcW w:w="859" w:type="pct"/>
            <w:tcBorders>
              <w:top w:val="nil"/>
              <w:left w:val="nil"/>
              <w:bottom w:val="nil"/>
              <w:right w:val="nil"/>
            </w:tcBorders>
            <w:tcMar>
              <w:top w:w="40" w:type="dxa"/>
              <w:left w:w="40" w:type="dxa"/>
              <w:bottom w:w="40" w:type="dxa"/>
              <w:right w:w="40" w:type="dxa"/>
            </w:tcMar>
            <w:vAlign w:val="bottom"/>
          </w:tcPr>
          <w:p w14:paraId="58E2F8EB" w14:textId="77777777" w:rsidR="00D640F1" w:rsidRDefault="00000000" w:rsidP="00A7547F">
            <w:pPr>
              <w:widowControl w:val="0"/>
              <w:spacing w:line="276" w:lineRule="auto"/>
              <w:jc w:val="center"/>
              <w:rPr>
                <w:rFonts w:ascii="Arial" w:eastAsia="Arial" w:hAnsi="Arial" w:cs="Arial"/>
                <w:sz w:val="20"/>
                <w:szCs w:val="20"/>
              </w:rPr>
            </w:pPr>
            <w:r>
              <w:rPr>
                <w:sz w:val="22"/>
                <w:szCs w:val="22"/>
              </w:rPr>
              <w:t>-17.97</w:t>
            </w:r>
          </w:p>
        </w:tc>
        <w:tc>
          <w:tcPr>
            <w:tcW w:w="815" w:type="pct"/>
            <w:tcBorders>
              <w:top w:val="nil"/>
              <w:left w:val="nil"/>
              <w:bottom w:val="nil"/>
              <w:right w:val="nil"/>
            </w:tcBorders>
            <w:tcMar>
              <w:top w:w="40" w:type="dxa"/>
              <w:left w:w="40" w:type="dxa"/>
              <w:bottom w:w="40" w:type="dxa"/>
              <w:right w:w="40" w:type="dxa"/>
            </w:tcMar>
            <w:vAlign w:val="bottom"/>
          </w:tcPr>
          <w:p w14:paraId="1674235E" w14:textId="77777777" w:rsidR="00D640F1" w:rsidRDefault="00000000" w:rsidP="00A7547F">
            <w:pPr>
              <w:widowControl w:val="0"/>
              <w:spacing w:line="276" w:lineRule="auto"/>
              <w:jc w:val="center"/>
              <w:rPr>
                <w:rFonts w:ascii="Arial" w:eastAsia="Arial" w:hAnsi="Arial" w:cs="Arial"/>
                <w:sz w:val="20"/>
                <w:szCs w:val="20"/>
              </w:rPr>
            </w:pPr>
            <w:r>
              <w:rPr>
                <w:sz w:val="22"/>
                <w:szCs w:val="22"/>
              </w:rPr>
              <w:t>-17.95</w:t>
            </w:r>
          </w:p>
        </w:tc>
      </w:tr>
      <w:tr w:rsidR="00D640F1" w14:paraId="5AA49DC3" w14:textId="77777777" w:rsidTr="00DA71FE">
        <w:trPr>
          <w:trHeight w:hRule="exact" w:val="284"/>
        </w:trPr>
        <w:tc>
          <w:tcPr>
            <w:tcW w:w="725" w:type="pct"/>
            <w:tcBorders>
              <w:top w:val="nil"/>
              <w:left w:val="nil"/>
              <w:bottom w:val="nil"/>
              <w:right w:val="nil"/>
            </w:tcBorders>
            <w:tcMar>
              <w:top w:w="40" w:type="dxa"/>
              <w:left w:w="40" w:type="dxa"/>
              <w:bottom w:w="40" w:type="dxa"/>
              <w:right w:w="40" w:type="dxa"/>
            </w:tcMar>
            <w:vAlign w:val="bottom"/>
          </w:tcPr>
          <w:p w14:paraId="6D4B82CC" w14:textId="77777777" w:rsidR="00D640F1" w:rsidRDefault="00D640F1">
            <w:pPr>
              <w:widowControl w:val="0"/>
              <w:spacing w:line="276" w:lineRule="auto"/>
              <w:rPr>
                <w:rFonts w:ascii="Arial" w:eastAsia="Arial" w:hAnsi="Arial" w:cs="Arial"/>
                <w:sz w:val="20"/>
                <w:szCs w:val="20"/>
              </w:rPr>
            </w:pPr>
          </w:p>
        </w:tc>
        <w:tc>
          <w:tcPr>
            <w:tcW w:w="525" w:type="pct"/>
            <w:tcBorders>
              <w:top w:val="nil"/>
              <w:left w:val="nil"/>
              <w:bottom w:val="nil"/>
              <w:right w:val="nil"/>
            </w:tcBorders>
            <w:tcMar>
              <w:top w:w="40" w:type="dxa"/>
              <w:left w:w="40" w:type="dxa"/>
              <w:bottom w:w="40" w:type="dxa"/>
              <w:right w:w="40" w:type="dxa"/>
            </w:tcMar>
            <w:vAlign w:val="bottom"/>
          </w:tcPr>
          <w:p w14:paraId="04E5C9D8" w14:textId="77777777" w:rsidR="00D640F1" w:rsidRDefault="00000000">
            <w:pPr>
              <w:widowControl w:val="0"/>
              <w:spacing w:line="276" w:lineRule="auto"/>
              <w:rPr>
                <w:rFonts w:ascii="Arial" w:eastAsia="Arial" w:hAnsi="Arial" w:cs="Arial"/>
                <w:sz w:val="20"/>
                <w:szCs w:val="20"/>
              </w:rPr>
            </w:pPr>
            <w:r>
              <w:rPr>
                <w:sz w:val="22"/>
                <w:szCs w:val="22"/>
              </w:rPr>
              <w:t>BEKK</w:t>
            </w:r>
          </w:p>
        </w:tc>
        <w:tc>
          <w:tcPr>
            <w:tcW w:w="982" w:type="pct"/>
            <w:tcBorders>
              <w:top w:val="nil"/>
              <w:left w:val="nil"/>
              <w:bottom w:val="nil"/>
              <w:right w:val="nil"/>
            </w:tcBorders>
            <w:shd w:val="clear" w:color="auto" w:fill="auto"/>
            <w:tcMar>
              <w:top w:w="40" w:type="dxa"/>
              <w:left w:w="40" w:type="dxa"/>
              <w:bottom w:w="40" w:type="dxa"/>
              <w:right w:w="40" w:type="dxa"/>
            </w:tcMar>
            <w:vAlign w:val="bottom"/>
          </w:tcPr>
          <w:p w14:paraId="7E7D1A8A" w14:textId="77777777" w:rsidR="00D640F1" w:rsidRDefault="00000000" w:rsidP="00A7547F">
            <w:pPr>
              <w:widowControl w:val="0"/>
              <w:spacing w:line="276" w:lineRule="auto"/>
              <w:jc w:val="center"/>
              <w:rPr>
                <w:rFonts w:ascii="Arial" w:eastAsia="Arial" w:hAnsi="Arial" w:cs="Arial"/>
                <w:sz w:val="20"/>
                <w:szCs w:val="20"/>
              </w:rPr>
            </w:pPr>
            <w:r>
              <w:rPr>
                <w:sz w:val="22"/>
                <w:szCs w:val="22"/>
              </w:rPr>
              <w:t>18</w:t>
            </w:r>
          </w:p>
        </w:tc>
        <w:tc>
          <w:tcPr>
            <w:tcW w:w="1094" w:type="pct"/>
            <w:tcBorders>
              <w:top w:val="nil"/>
              <w:left w:val="nil"/>
              <w:bottom w:val="nil"/>
              <w:right w:val="nil"/>
            </w:tcBorders>
            <w:tcMar>
              <w:top w:w="40" w:type="dxa"/>
              <w:left w:w="40" w:type="dxa"/>
              <w:bottom w:w="40" w:type="dxa"/>
              <w:right w:w="40" w:type="dxa"/>
            </w:tcMar>
            <w:vAlign w:val="bottom"/>
          </w:tcPr>
          <w:p w14:paraId="20700D61" w14:textId="77777777" w:rsidR="00D640F1" w:rsidRDefault="00000000" w:rsidP="00A7547F">
            <w:pPr>
              <w:widowControl w:val="0"/>
              <w:spacing w:line="276" w:lineRule="auto"/>
              <w:jc w:val="center"/>
              <w:rPr>
                <w:rFonts w:ascii="Arial" w:eastAsia="Arial" w:hAnsi="Arial" w:cs="Arial"/>
                <w:sz w:val="20"/>
                <w:szCs w:val="20"/>
              </w:rPr>
            </w:pPr>
            <w:r>
              <w:rPr>
                <w:sz w:val="22"/>
                <w:szCs w:val="22"/>
              </w:rPr>
              <w:t>56837.02</w:t>
            </w:r>
          </w:p>
        </w:tc>
        <w:tc>
          <w:tcPr>
            <w:tcW w:w="859" w:type="pct"/>
            <w:tcBorders>
              <w:top w:val="nil"/>
              <w:left w:val="nil"/>
              <w:bottom w:val="nil"/>
              <w:right w:val="nil"/>
            </w:tcBorders>
            <w:tcMar>
              <w:top w:w="40" w:type="dxa"/>
              <w:left w:w="40" w:type="dxa"/>
              <w:bottom w:w="40" w:type="dxa"/>
              <w:right w:w="40" w:type="dxa"/>
            </w:tcMar>
            <w:vAlign w:val="bottom"/>
          </w:tcPr>
          <w:p w14:paraId="05BE15CA" w14:textId="77777777" w:rsidR="00D640F1" w:rsidRDefault="00000000" w:rsidP="00A7547F">
            <w:pPr>
              <w:widowControl w:val="0"/>
              <w:spacing w:line="276" w:lineRule="auto"/>
              <w:jc w:val="center"/>
              <w:rPr>
                <w:rFonts w:ascii="Arial" w:eastAsia="Arial" w:hAnsi="Arial" w:cs="Arial"/>
                <w:sz w:val="20"/>
                <w:szCs w:val="20"/>
              </w:rPr>
            </w:pPr>
            <w:r>
              <w:rPr>
                <w:sz w:val="22"/>
                <w:szCs w:val="22"/>
              </w:rPr>
              <w:t>-17.96</w:t>
            </w:r>
          </w:p>
        </w:tc>
        <w:tc>
          <w:tcPr>
            <w:tcW w:w="815" w:type="pct"/>
            <w:tcBorders>
              <w:top w:val="nil"/>
              <w:left w:val="nil"/>
              <w:bottom w:val="nil"/>
              <w:right w:val="nil"/>
            </w:tcBorders>
            <w:tcMar>
              <w:top w:w="40" w:type="dxa"/>
              <w:left w:w="40" w:type="dxa"/>
              <w:bottom w:w="40" w:type="dxa"/>
              <w:right w:w="40" w:type="dxa"/>
            </w:tcMar>
            <w:vAlign w:val="bottom"/>
          </w:tcPr>
          <w:p w14:paraId="685687CC" w14:textId="77777777" w:rsidR="00D640F1" w:rsidRDefault="00000000" w:rsidP="00A7547F">
            <w:pPr>
              <w:widowControl w:val="0"/>
              <w:spacing w:line="276" w:lineRule="auto"/>
              <w:jc w:val="center"/>
              <w:rPr>
                <w:rFonts w:ascii="Arial" w:eastAsia="Arial" w:hAnsi="Arial" w:cs="Arial"/>
                <w:sz w:val="20"/>
                <w:szCs w:val="20"/>
              </w:rPr>
            </w:pPr>
            <w:r>
              <w:rPr>
                <w:sz w:val="22"/>
                <w:szCs w:val="22"/>
              </w:rPr>
              <w:t>-17.94</w:t>
            </w:r>
          </w:p>
        </w:tc>
      </w:tr>
      <w:tr w:rsidR="00D640F1" w14:paraId="56FBA9E0" w14:textId="77777777" w:rsidTr="00DA71FE">
        <w:trPr>
          <w:trHeight w:hRule="exact" w:val="284"/>
        </w:trPr>
        <w:tc>
          <w:tcPr>
            <w:tcW w:w="725" w:type="pct"/>
            <w:tcBorders>
              <w:top w:val="nil"/>
              <w:left w:val="nil"/>
              <w:bottom w:val="nil"/>
              <w:right w:val="nil"/>
            </w:tcBorders>
            <w:tcMar>
              <w:top w:w="40" w:type="dxa"/>
              <w:left w:w="40" w:type="dxa"/>
              <w:bottom w:w="40" w:type="dxa"/>
              <w:right w:w="40" w:type="dxa"/>
            </w:tcMar>
            <w:vAlign w:val="bottom"/>
          </w:tcPr>
          <w:p w14:paraId="784516F5" w14:textId="77777777" w:rsidR="00D640F1" w:rsidRDefault="00D640F1">
            <w:pPr>
              <w:widowControl w:val="0"/>
              <w:spacing w:line="276" w:lineRule="auto"/>
              <w:rPr>
                <w:rFonts w:ascii="Arial" w:eastAsia="Arial" w:hAnsi="Arial" w:cs="Arial"/>
                <w:sz w:val="20"/>
                <w:szCs w:val="20"/>
              </w:rPr>
            </w:pPr>
          </w:p>
        </w:tc>
        <w:tc>
          <w:tcPr>
            <w:tcW w:w="525" w:type="pct"/>
            <w:tcBorders>
              <w:top w:val="nil"/>
              <w:left w:val="nil"/>
              <w:bottom w:val="nil"/>
              <w:right w:val="nil"/>
            </w:tcBorders>
            <w:tcMar>
              <w:top w:w="40" w:type="dxa"/>
              <w:left w:w="40" w:type="dxa"/>
              <w:bottom w:w="40" w:type="dxa"/>
              <w:right w:w="40" w:type="dxa"/>
            </w:tcMar>
            <w:vAlign w:val="bottom"/>
          </w:tcPr>
          <w:p w14:paraId="0D8E9C09" w14:textId="77777777" w:rsidR="00D640F1" w:rsidRDefault="00000000">
            <w:pPr>
              <w:widowControl w:val="0"/>
              <w:spacing w:line="276" w:lineRule="auto"/>
              <w:rPr>
                <w:rFonts w:ascii="Arial" w:eastAsia="Arial" w:hAnsi="Arial" w:cs="Arial"/>
                <w:sz w:val="20"/>
                <w:szCs w:val="20"/>
              </w:rPr>
            </w:pPr>
            <w:r>
              <w:rPr>
                <w:sz w:val="22"/>
                <w:szCs w:val="22"/>
              </w:rPr>
              <w:t>CCC</w:t>
            </w:r>
          </w:p>
        </w:tc>
        <w:tc>
          <w:tcPr>
            <w:tcW w:w="982" w:type="pct"/>
            <w:tcBorders>
              <w:top w:val="nil"/>
              <w:left w:val="nil"/>
              <w:bottom w:val="nil"/>
              <w:right w:val="nil"/>
            </w:tcBorders>
            <w:shd w:val="clear" w:color="auto" w:fill="auto"/>
            <w:tcMar>
              <w:top w:w="40" w:type="dxa"/>
              <w:left w:w="40" w:type="dxa"/>
              <w:bottom w:w="40" w:type="dxa"/>
              <w:right w:w="40" w:type="dxa"/>
            </w:tcMar>
            <w:vAlign w:val="bottom"/>
          </w:tcPr>
          <w:p w14:paraId="3304AF75" w14:textId="77777777" w:rsidR="00D640F1" w:rsidRDefault="00000000" w:rsidP="00A7547F">
            <w:pPr>
              <w:widowControl w:val="0"/>
              <w:spacing w:line="276" w:lineRule="auto"/>
              <w:jc w:val="center"/>
              <w:rPr>
                <w:rFonts w:ascii="Arial" w:eastAsia="Arial" w:hAnsi="Arial" w:cs="Arial"/>
                <w:sz w:val="20"/>
                <w:szCs w:val="20"/>
              </w:rPr>
            </w:pPr>
            <w:r>
              <w:rPr>
                <w:sz w:val="22"/>
                <w:szCs w:val="22"/>
              </w:rPr>
              <w:t>18</w:t>
            </w:r>
          </w:p>
        </w:tc>
        <w:tc>
          <w:tcPr>
            <w:tcW w:w="1094" w:type="pct"/>
            <w:tcBorders>
              <w:top w:val="nil"/>
              <w:left w:val="nil"/>
              <w:bottom w:val="nil"/>
              <w:right w:val="nil"/>
            </w:tcBorders>
            <w:tcMar>
              <w:top w:w="40" w:type="dxa"/>
              <w:left w:w="40" w:type="dxa"/>
              <w:bottom w:w="40" w:type="dxa"/>
              <w:right w:w="40" w:type="dxa"/>
            </w:tcMar>
            <w:vAlign w:val="bottom"/>
          </w:tcPr>
          <w:p w14:paraId="55CBD918" w14:textId="77777777" w:rsidR="00D640F1" w:rsidRDefault="00000000" w:rsidP="00A7547F">
            <w:pPr>
              <w:widowControl w:val="0"/>
              <w:spacing w:line="276" w:lineRule="auto"/>
              <w:jc w:val="center"/>
              <w:rPr>
                <w:rFonts w:ascii="Arial" w:eastAsia="Arial" w:hAnsi="Arial" w:cs="Arial"/>
                <w:sz w:val="20"/>
                <w:szCs w:val="20"/>
              </w:rPr>
            </w:pPr>
            <w:r>
              <w:rPr>
                <w:sz w:val="22"/>
                <w:szCs w:val="22"/>
              </w:rPr>
              <w:t>56798.86</w:t>
            </w:r>
          </w:p>
        </w:tc>
        <w:tc>
          <w:tcPr>
            <w:tcW w:w="859" w:type="pct"/>
            <w:tcBorders>
              <w:top w:val="nil"/>
              <w:left w:val="nil"/>
              <w:bottom w:val="nil"/>
              <w:right w:val="nil"/>
            </w:tcBorders>
            <w:tcMar>
              <w:top w:w="40" w:type="dxa"/>
              <w:left w:w="40" w:type="dxa"/>
              <w:bottom w:w="40" w:type="dxa"/>
              <w:right w:w="40" w:type="dxa"/>
            </w:tcMar>
            <w:vAlign w:val="bottom"/>
          </w:tcPr>
          <w:p w14:paraId="08545366" w14:textId="77777777" w:rsidR="00D640F1" w:rsidRDefault="00000000" w:rsidP="00A7547F">
            <w:pPr>
              <w:widowControl w:val="0"/>
              <w:spacing w:line="276" w:lineRule="auto"/>
              <w:jc w:val="center"/>
              <w:rPr>
                <w:rFonts w:ascii="Arial" w:eastAsia="Arial" w:hAnsi="Arial" w:cs="Arial"/>
                <w:sz w:val="20"/>
                <w:szCs w:val="20"/>
              </w:rPr>
            </w:pPr>
            <w:r>
              <w:rPr>
                <w:sz w:val="22"/>
                <w:szCs w:val="22"/>
              </w:rPr>
              <w:t>-17.95</w:t>
            </w:r>
          </w:p>
        </w:tc>
        <w:tc>
          <w:tcPr>
            <w:tcW w:w="815" w:type="pct"/>
            <w:tcBorders>
              <w:top w:val="nil"/>
              <w:left w:val="nil"/>
              <w:bottom w:val="nil"/>
              <w:right w:val="nil"/>
            </w:tcBorders>
            <w:tcMar>
              <w:top w:w="40" w:type="dxa"/>
              <w:left w:w="40" w:type="dxa"/>
              <w:bottom w:w="40" w:type="dxa"/>
              <w:right w:w="40" w:type="dxa"/>
            </w:tcMar>
            <w:vAlign w:val="bottom"/>
          </w:tcPr>
          <w:p w14:paraId="26103631" w14:textId="77777777" w:rsidR="00D640F1" w:rsidRDefault="00000000" w:rsidP="00A7547F">
            <w:pPr>
              <w:widowControl w:val="0"/>
              <w:spacing w:line="276" w:lineRule="auto"/>
              <w:jc w:val="center"/>
              <w:rPr>
                <w:rFonts w:ascii="Arial" w:eastAsia="Arial" w:hAnsi="Arial" w:cs="Arial"/>
                <w:sz w:val="20"/>
                <w:szCs w:val="20"/>
              </w:rPr>
            </w:pPr>
            <w:r>
              <w:rPr>
                <w:sz w:val="22"/>
                <w:szCs w:val="22"/>
              </w:rPr>
              <w:t>-17.93</w:t>
            </w:r>
          </w:p>
        </w:tc>
      </w:tr>
      <w:tr w:rsidR="00D640F1" w14:paraId="00CF609E" w14:textId="77777777" w:rsidTr="00DA71FE">
        <w:trPr>
          <w:trHeight w:hRule="exact" w:val="284"/>
        </w:trPr>
        <w:tc>
          <w:tcPr>
            <w:tcW w:w="725" w:type="pct"/>
            <w:tcBorders>
              <w:top w:val="nil"/>
              <w:left w:val="nil"/>
              <w:bottom w:val="nil"/>
              <w:right w:val="nil"/>
            </w:tcBorders>
            <w:tcMar>
              <w:top w:w="40" w:type="dxa"/>
              <w:left w:w="40" w:type="dxa"/>
              <w:bottom w:w="40" w:type="dxa"/>
              <w:right w:w="40" w:type="dxa"/>
            </w:tcMar>
            <w:vAlign w:val="bottom"/>
          </w:tcPr>
          <w:p w14:paraId="0FB0D96F" w14:textId="77777777" w:rsidR="00D640F1" w:rsidRDefault="00000000">
            <w:pPr>
              <w:widowControl w:val="0"/>
              <w:spacing w:line="276" w:lineRule="auto"/>
              <w:rPr>
                <w:rFonts w:ascii="Arial" w:eastAsia="Arial" w:hAnsi="Arial" w:cs="Arial"/>
                <w:sz w:val="20"/>
                <w:szCs w:val="20"/>
              </w:rPr>
            </w:pPr>
            <w:r>
              <w:rPr>
                <w:sz w:val="22"/>
                <w:szCs w:val="22"/>
              </w:rPr>
              <w:t>T</w:t>
            </w:r>
          </w:p>
        </w:tc>
        <w:tc>
          <w:tcPr>
            <w:tcW w:w="525" w:type="pct"/>
            <w:tcBorders>
              <w:top w:val="nil"/>
              <w:left w:val="nil"/>
              <w:bottom w:val="nil"/>
              <w:right w:val="nil"/>
            </w:tcBorders>
            <w:tcMar>
              <w:top w:w="40" w:type="dxa"/>
              <w:left w:w="40" w:type="dxa"/>
              <w:bottom w:w="40" w:type="dxa"/>
              <w:right w:w="40" w:type="dxa"/>
            </w:tcMar>
            <w:vAlign w:val="bottom"/>
          </w:tcPr>
          <w:p w14:paraId="0E922FC0" w14:textId="77777777" w:rsidR="00D640F1" w:rsidRDefault="00000000">
            <w:pPr>
              <w:widowControl w:val="0"/>
              <w:spacing w:line="276" w:lineRule="auto"/>
              <w:rPr>
                <w:rFonts w:ascii="Arial" w:eastAsia="Arial" w:hAnsi="Arial" w:cs="Arial"/>
                <w:sz w:val="20"/>
                <w:szCs w:val="20"/>
              </w:rPr>
            </w:pPr>
            <w:r>
              <w:rPr>
                <w:sz w:val="22"/>
                <w:szCs w:val="22"/>
              </w:rPr>
              <w:t>VECH</w:t>
            </w:r>
          </w:p>
        </w:tc>
        <w:tc>
          <w:tcPr>
            <w:tcW w:w="982" w:type="pct"/>
            <w:tcBorders>
              <w:top w:val="nil"/>
              <w:left w:val="nil"/>
              <w:bottom w:val="nil"/>
              <w:right w:val="nil"/>
            </w:tcBorders>
            <w:shd w:val="clear" w:color="auto" w:fill="auto"/>
            <w:tcMar>
              <w:top w:w="40" w:type="dxa"/>
              <w:left w:w="40" w:type="dxa"/>
              <w:bottom w:w="40" w:type="dxa"/>
              <w:right w:w="40" w:type="dxa"/>
            </w:tcMar>
            <w:vAlign w:val="bottom"/>
          </w:tcPr>
          <w:p w14:paraId="193E839D" w14:textId="77777777" w:rsidR="00D640F1" w:rsidRDefault="00000000" w:rsidP="00A7547F">
            <w:pPr>
              <w:widowControl w:val="0"/>
              <w:spacing w:line="276" w:lineRule="auto"/>
              <w:jc w:val="center"/>
              <w:rPr>
                <w:rFonts w:ascii="Arial" w:eastAsia="Arial" w:hAnsi="Arial" w:cs="Arial"/>
                <w:sz w:val="20"/>
                <w:szCs w:val="20"/>
              </w:rPr>
            </w:pPr>
            <w:r>
              <w:rPr>
                <w:sz w:val="22"/>
                <w:szCs w:val="22"/>
              </w:rPr>
              <w:t>25</w:t>
            </w:r>
          </w:p>
        </w:tc>
        <w:tc>
          <w:tcPr>
            <w:tcW w:w="1094" w:type="pct"/>
            <w:tcBorders>
              <w:top w:val="nil"/>
              <w:left w:val="nil"/>
              <w:bottom w:val="nil"/>
              <w:right w:val="nil"/>
            </w:tcBorders>
            <w:tcMar>
              <w:top w:w="40" w:type="dxa"/>
              <w:left w:w="40" w:type="dxa"/>
              <w:bottom w:w="40" w:type="dxa"/>
              <w:right w:w="40" w:type="dxa"/>
            </w:tcMar>
            <w:vAlign w:val="bottom"/>
          </w:tcPr>
          <w:p w14:paraId="0E4BCD9E" w14:textId="77777777" w:rsidR="00D640F1" w:rsidRDefault="00000000" w:rsidP="00A7547F">
            <w:pPr>
              <w:widowControl w:val="0"/>
              <w:spacing w:line="276" w:lineRule="auto"/>
              <w:jc w:val="center"/>
              <w:rPr>
                <w:rFonts w:ascii="Arial" w:eastAsia="Arial" w:hAnsi="Arial" w:cs="Arial"/>
                <w:sz w:val="20"/>
                <w:szCs w:val="20"/>
              </w:rPr>
            </w:pPr>
            <w:r>
              <w:rPr>
                <w:sz w:val="22"/>
                <w:szCs w:val="22"/>
              </w:rPr>
              <w:t>57459.74</w:t>
            </w:r>
          </w:p>
        </w:tc>
        <w:tc>
          <w:tcPr>
            <w:tcW w:w="859" w:type="pct"/>
            <w:tcBorders>
              <w:top w:val="nil"/>
              <w:left w:val="nil"/>
              <w:bottom w:val="nil"/>
              <w:right w:val="nil"/>
            </w:tcBorders>
            <w:tcMar>
              <w:top w:w="40" w:type="dxa"/>
              <w:left w:w="40" w:type="dxa"/>
              <w:bottom w:w="40" w:type="dxa"/>
              <w:right w:w="40" w:type="dxa"/>
            </w:tcMar>
            <w:vAlign w:val="bottom"/>
          </w:tcPr>
          <w:p w14:paraId="0D1BE6FD" w14:textId="77777777" w:rsidR="00D640F1" w:rsidRDefault="00000000" w:rsidP="00A7547F">
            <w:pPr>
              <w:widowControl w:val="0"/>
              <w:spacing w:line="276" w:lineRule="auto"/>
              <w:jc w:val="center"/>
              <w:rPr>
                <w:rFonts w:ascii="Arial" w:eastAsia="Arial" w:hAnsi="Arial" w:cs="Arial"/>
                <w:sz w:val="20"/>
                <w:szCs w:val="20"/>
              </w:rPr>
            </w:pPr>
            <w:r>
              <w:rPr>
                <w:sz w:val="22"/>
                <w:szCs w:val="22"/>
              </w:rPr>
              <w:t>-18.15</w:t>
            </w:r>
          </w:p>
        </w:tc>
        <w:tc>
          <w:tcPr>
            <w:tcW w:w="815" w:type="pct"/>
            <w:tcBorders>
              <w:top w:val="nil"/>
              <w:left w:val="nil"/>
              <w:bottom w:val="nil"/>
              <w:right w:val="nil"/>
            </w:tcBorders>
            <w:tcMar>
              <w:top w:w="40" w:type="dxa"/>
              <w:left w:w="40" w:type="dxa"/>
              <w:bottom w:w="40" w:type="dxa"/>
              <w:right w:w="40" w:type="dxa"/>
            </w:tcMar>
            <w:vAlign w:val="bottom"/>
          </w:tcPr>
          <w:p w14:paraId="0279416B" w14:textId="77777777" w:rsidR="00D640F1" w:rsidRDefault="00000000" w:rsidP="00A7547F">
            <w:pPr>
              <w:widowControl w:val="0"/>
              <w:spacing w:line="276" w:lineRule="auto"/>
              <w:jc w:val="center"/>
              <w:rPr>
                <w:rFonts w:ascii="Arial" w:eastAsia="Arial" w:hAnsi="Arial" w:cs="Arial"/>
                <w:sz w:val="20"/>
                <w:szCs w:val="20"/>
              </w:rPr>
            </w:pPr>
            <w:r>
              <w:rPr>
                <w:sz w:val="22"/>
                <w:szCs w:val="22"/>
              </w:rPr>
              <w:t>-18.13</w:t>
            </w:r>
          </w:p>
        </w:tc>
      </w:tr>
      <w:tr w:rsidR="00D640F1" w14:paraId="579506DA" w14:textId="77777777" w:rsidTr="00DA71FE">
        <w:trPr>
          <w:trHeight w:hRule="exact" w:val="284"/>
        </w:trPr>
        <w:tc>
          <w:tcPr>
            <w:tcW w:w="725" w:type="pct"/>
            <w:tcBorders>
              <w:top w:val="nil"/>
              <w:left w:val="nil"/>
              <w:bottom w:val="nil"/>
              <w:right w:val="nil"/>
            </w:tcBorders>
            <w:tcMar>
              <w:top w:w="40" w:type="dxa"/>
              <w:left w:w="40" w:type="dxa"/>
              <w:bottom w:w="40" w:type="dxa"/>
              <w:right w:w="40" w:type="dxa"/>
            </w:tcMar>
            <w:vAlign w:val="bottom"/>
          </w:tcPr>
          <w:p w14:paraId="2EBA5077" w14:textId="77777777" w:rsidR="00D640F1" w:rsidRDefault="00D640F1">
            <w:pPr>
              <w:widowControl w:val="0"/>
              <w:spacing w:line="276" w:lineRule="auto"/>
              <w:rPr>
                <w:rFonts w:ascii="Arial" w:eastAsia="Arial" w:hAnsi="Arial" w:cs="Arial"/>
                <w:sz w:val="20"/>
                <w:szCs w:val="20"/>
              </w:rPr>
            </w:pPr>
          </w:p>
        </w:tc>
        <w:tc>
          <w:tcPr>
            <w:tcW w:w="525" w:type="pct"/>
            <w:tcBorders>
              <w:top w:val="nil"/>
              <w:left w:val="nil"/>
              <w:bottom w:val="nil"/>
              <w:right w:val="nil"/>
            </w:tcBorders>
            <w:tcMar>
              <w:top w:w="40" w:type="dxa"/>
              <w:left w:w="40" w:type="dxa"/>
              <w:bottom w:w="40" w:type="dxa"/>
              <w:right w:w="40" w:type="dxa"/>
            </w:tcMar>
            <w:vAlign w:val="bottom"/>
          </w:tcPr>
          <w:p w14:paraId="3CAD9F25" w14:textId="77777777" w:rsidR="00D640F1" w:rsidRDefault="00000000">
            <w:pPr>
              <w:widowControl w:val="0"/>
              <w:spacing w:line="276" w:lineRule="auto"/>
              <w:rPr>
                <w:rFonts w:ascii="Arial" w:eastAsia="Arial" w:hAnsi="Arial" w:cs="Arial"/>
                <w:sz w:val="20"/>
                <w:szCs w:val="20"/>
              </w:rPr>
            </w:pPr>
            <w:r>
              <w:rPr>
                <w:sz w:val="22"/>
                <w:szCs w:val="22"/>
              </w:rPr>
              <w:t>BEKK</w:t>
            </w:r>
          </w:p>
        </w:tc>
        <w:tc>
          <w:tcPr>
            <w:tcW w:w="982" w:type="pct"/>
            <w:tcBorders>
              <w:top w:val="nil"/>
              <w:left w:val="nil"/>
              <w:bottom w:val="nil"/>
              <w:right w:val="nil"/>
            </w:tcBorders>
            <w:shd w:val="clear" w:color="auto" w:fill="auto"/>
            <w:tcMar>
              <w:top w:w="40" w:type="dxa"/>
              <w:left w:w="40" w:type="dxa"/>
              <w:bottom w:w="40" w:type="dxa"/>
              <w:right w:w="40" w:type="dxa"/>
            </w:tcMar>
            <w:vAlign w:val="bottom"/>
          </w:tcPr>
          <w:p w14:paraId="6BBF24CB" w14:textId="77777777" w:rsidR="00D640F1" w:rsidRDefault="00000000" w:rsidP="00A7547F">
            <w:pPr>
              <w:widowControl w:val="0"/>
              <w:spacing w:line="276" w:lineRule="auto"/>
              <w:jc w:val="center"/>
              <w:rPr>
                <w:rFonts w:ascii="Arial" w:eastAsia="Arial" w:hAnsi="Arial" w:cs="Arial"/>
                <w:sz w:val="20"/>
                <w:szCs w:val="20"/>
              </w:rPr>
            </w:pPr>
            <w:r>
              <w:rPr>
                <w:sz w:val="22"/>
                <w:szCs w:val="22"/>
              </w:rPr>
              <w:t>19</w:t>
            </w:r>
          </w:p>
        </w:tc>
        <w:tc>
          <w:tcPr>
            <w:tcW w:w="1094" w:type="pct"/>
            <w:tcBorders>
              <w:top w:val="nil"/>
              <w:left w:val="nil"/>
              <w:bottom w:val="nil"/>
              <w:right w:val="nil"/>
            </w:tcBorders>
            <w:tcMar>
              <w:top w:w="40" w:type="dxa"/>
              <w:left w:w="40" w:type="dxa"/>
              <w:bottom w:w="40" w:type="dxa"/>
              <w:right w:w="40" w:type="dxa"/>
            </w:tcMar>
            <w:vAlign w:val="bottom"/>
          </w:tcPr>
          <w:p w14:paraId="1EF379E2" w14:textId="77777777" w:rsidR="00D640F1" w:rsidRDefault="00000000" w:rsidP="00A7547F">
            <w:pPr>
              <w:widowControl w:val="0"/>
              <w:spacing w:line="276" w:lineRule="auto"/>
              <w:jc w:val="center"/>
              <w:rPr>
                <w:rFonts w:ascii="Arial" w:eastAsia="Arial" w:hAnsi="Arial" w:cs="Arial"/>
                <w:sz w:val="20"/>
                <w:szCs w:val="20"/>
              </w:rPr>
            </w:pPr>
            <w:r>
              <w:rPr>
                <w:sz w:val="22"/>
                <w:szCs w:val="22"/>
              </w:rPr>
              <w:t>57415.96</w:t>
            </w:r>
          </w:p>
        </w:tc>
        <w:tc>
          <w:tcPr>
            <w:tcW w:w="859" w:type="pct"/>
            <w:tcBorders>
              <w:top w:val="nil"/>
              <w:left w:val="nil"/>
              <w:bottom w:val="nil"/>
              <w:right w:val="nil"/>
            </w:tcBorders>
            <w:tcMar>
              <w:top w:w="40" w:type="dxa"/>
              <w:left w:w="40" w:type="dxa"/>
              <w:bottom w:w="40" w:type="dxa"/>
              <w:right w:w="40" w:type="dxa"/>
            </w:tcMar>
            <w:vAlign w:val="bottom"/>
          </w:tcPr>
          <w:p w14:paraId="7D978992" w14:textId="77777777" w:rsidR="00D640F1" w:rsidRDefault="00000000" w:rsidP="00A7547F">
            <w:pPr>
              <w:widowControl w:val="0"/>
              <w:spacing w:line="276" w:lineRule="auto"/>
              <w:jc w:val="center"/>
              <w:rPr>
                <w:rFonts w:ascii="Arial" w:eastAsia="Arial" w:hAnsi="Arial" w:cs="Arial"/>
                <w:sz w:val="20"/>
                <w:szCs w:val="20"/>
              </w:rPr>
            </w:pPr>
            <w:r>
              <w:rPr>
                <w:sz w:val="22"/>
                <w:szCs w:val="22"/>
              </w:rPr>
              <w:t>-18.14</w:t>
            </w:r>
          </w:p>
        </w:tc>
        <w:tc>
          <w:tcPr>
            <w:tcW w:w="815" w:type="pct"/>
            <w:tcBorders>
              <w:top w:val="nil"/>
              <w:left w:val="nil"/>
              <w:bottom w:val="nil"/>
              <w:right w:val="nil"/>
            </w:tcBorders>
            <w:tcMar>
              <w:top w:w="40" w:type="dxa"/>
              <w:left w:w="40" w:type="dxa"/>
              <w:bottom w:w="40" w:type="dxa"/>
              <w:right w:w="40" w:type="dxa"/>
            </w:tcMar>
            <w:vAlign w:val="bottom"/>
          </w:tcPr>
          <w:p w14:paraId="3985A844" w14:textId="77777777" w:rsidR="00D640F1" w:rsidRDefault="00000000" w:rsidP="00A7547F">
            <w:pPr>
              <w:widowControl w:val="0"/>
              <w:spacing w:line="276" w:lineRule="auto"/>
              <w:jc w:val="center"/>
              <w:rPr>
                <w:rFonts w:ascii="Arial" w:eastAsia="Arial" w:hAnsi="Arial" w:cs="Arial"/>
                <w:sz w:val="20"/>
                <w:szCs w:val="20"/>
              </w:rPr>
            </w:pPr>
            <w:r>
              <w:rPr>
                <w:sz w:val="22"/>
                <w:szCs w:val="22"/>
              </w:rPr>
              <w:t>-18.12</w:t>
            </w:r>
          </w:p>
        </w:tc>
      </w:tr>
      <w:tr w:rsidR="00D640F1" w14:paraId="1347343E" w14:textId="77777777" w:rsidTr="00DA71FE">
        <w:trPr>
          <w:trHeight w:hRule="exact" w:val="284"/>
        </w:trPr>
        <w:tc>
          <w:tcPr>
            <w:tcW w:w="725" w:type="pct"/>
            <w:tcBorders>
              <w:top w:val="nil"/>
              <w:left w:val="nil"/>
              <w:bottom w:val="single" w:sz="4" w:space="0" w:color="000000"/>
              <w:right w:val="nil"/>
            </w:tcBorders>
            <w:tcMar>
              <w:top w:w="40" w:type="dxa"/>
              <w:left w:w="40" w:type="dxa"/>
              <w:bottom w:w="40" w:type="dxa"/>
              <w:right w:w="40" w:type="dxa"/>
            </w:tcMar>
            <w:vAlign w:val="bottom"/>
          </w:tcPr>
          <w:p w14:paraId="0B34C459" w14:textId="77777777" w:rsidR="00D640F1" w:rsidRDefault="00D640F1">
            <w:pPr>
              <w:widowControl w:val="0"/>
              <w:spacing w:line="276" w:lineRule="auto"/>
              <w:rPr>
                <w:rFonts w:ascii="Arial" w:eastAsia="Arial" w:hAnsi="Arial" w:cs="Arial"/>
                <w:sz w:val="20"/>
                <w:szCs w:val="20"/>
              </w:rPr>
            </w:pPr>
          </w:p>
        </w:tc>
        <w:tc>
          <w:tcPr>
            <w:tcW w:w="525" w:type="pct"/>
            <w:tcBorders>
              <w:top w:val="nil"/>
              <w:left w:val="nil"/>
              <w:bottom w:val="single" w:sz="4" w:space="0" w:color="000000"/>
              <w:right w:val="nil"/>
            </w:tcBorders>
            <w:tcMar>
              <w:top w:w="40" w:type="dxa"/>
              <w:left w:w="40" w:type="dxa"/>
              <w:bottom w:w="40" w:type="dxa"/>
              <w:right w:w="40" w:type="dxa"/>
            </w:tcMar>
            <w:vAlign w:val="bottom"/>
          </w:tcPr>
          <w:p w14:paraId="025D3412" w14:textId="77777777" w:rsidR="00D640F1" w:rsidRDefault="00000000">
            <w:pPr>
              <w:widowControl w:val="0"/>
              <w:spacing w:line="276" w:lineRule="auto"/>
              <w:rPr>
                <w:rFonts w:ascii="Arial" w:eastAsia="Arial" w:hAnsi="Arial" w:cs="Arial"/>
                <w:sz w:val="20"/>
                <w:szCs w:val="20"/>
              </w:rPr>
            </w:pPr>
            <w:r>
              <w:rPr>
                <w:sz w:val="22"/>
                <w:szCs w:val="22"/>
              </w:rPr>
              <w:t>CCC</w:t>
            </w:r>
          </w:p>
        </w:tc>
        <w:tc>
          <w:tcPr>
            <w:tcW w:w="982"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4CA350AF" w14:textId="77777777" w:rsidR="00D640F1" w:rsidRDefault="00000000" w:rsidP="00A7547F">
            <w:pPr>
              <w:widowControl w:val="0"/>
              <w:spacing w:line="276" w:lineRule="auto"/>
              <w:jc w:val="center"/>
              <w:rPr>
                <w:rFonts w:ascii="Arial" w:eastAsia="Arial" w:hAnsi="Arial" w:cs="Arial"/>
                <w:sz w:val="20"/>
                <w:szCs w:val="20"/>
              </w:rPr>
            </w:pPr>
            <w:r>
              <w:rPr>
                <w:sz w:val="22"/>
                <w:szCs w:val="22"/>
              </w:rPr>
              <w:t>19</w:t>
            </w:r>
          </w:p>
        </w:tc>
        <w:tc>
          <w:tcPr>
            <w:tcW w:w="1094" w:type="pct"/>
            <w:tcBorders>
              <w:top w:val="nil"/>
              <w:left w:val="nil"/>
              <w:bottom w:val="single" w:sz="4" w:space="0" w:color="000000"/>
              <w:right w:val="nil"/>
            </w:tcBorders>
            <w:tcMar>
              <w:top w:w="40" w:type="dxa"/>
              <w:left w:w="40" w:type="dxa"/>
              <w:bottom w:w="40" w:type="dxa"/>
              <w:right w:w="40" w:type="dxa"/>
            </w:tcMar>
            <w:vAlign w:val="bottom"/>
          </w:tcPr>
          <w:p w14:paraId="305B219E" w14:textId="77777777" w:rsidR="00D640F1" w:rsidRDefault="00000000" w:rsidP="00A7547F">
            <w:pPr>
              <w:widowControl w:val="0"/>
              <w:spacing w:line="276" w:lineRule="auto"/>
              <w:jc w:val="center"/>
              <w:rPr>
                <w:rFonts w:ascii="Arial" w:eastAsia="Arial" w:hAnsi="Arial" w:cs="Arial"/>
                <w:sz w:val="20"/>
                <w:szCs w:val="20"/>
              </w:rPr>
            </w:pPr>
            <w:r>
              <w:rPr>
                <w:sz w:val="22"/>
                <w:szCs w:val="22"/>
              </w:rPr>
              <w:t>57406.78</w:t>
            </w:r>
          </w:p>
        </w:tc>
        <w:tc>
          <w:tcPr>
            <w:tcW w:w="859" w:type="pct"/>
            <w:tcBorders>
              <w:top w:val="nil"/>
              <w:left w:val="nil"/>
              <w:bottom w:val="single" w:sz="4" w:space="0" w:color="000000"/>
              <w:right w:val="nil"/>
            </w:tcBorders>
            <w:tcMar>
              <w:top w:w="40" w:type="dxa"/>
              <w:left w:w="40" w:type="dxa"/>
              <w:bottom w:w="40" w:type="dxa"/>
              <w:right w:w="40" w:type="dxa"/>
            </w:tcMar>
            <w:vAlign w:val="bottom"/>
          </w:tcPr>
          <w:p w14:paraId="3325854A" w14:textId="77777777" w:rsidR="00D640F1" w:rsidRDefault="00000000" w:rsidP="00A7547F">
            <w:pPr>
              <w:widowControl w:val="0"/>
              <w:spacing w:line="276" w:lineRule="auto"/>
              <w:jc w:val="center"/>
              <w:rPr>
                <w:rFonts w:ascii="Arial" w:eastAsia="Arial" w:hAnsi="Arial" w:cs="Arial"/>
                <w:sz w:val="20"/>
                <w:szCs w:val="20"/>
              </w:rPr>
            </w:pPr>
            <w:r>
              <w:rPr>
                <w:sz w:val="22"/>
                <w:szCs w:val="22"/>
              </w:rPr>
              <w:t>-18.14</w:t>
            </w:r>
          </w:p>
        </w:tc>
        <w:tc>
          <w:tcPr>
            <w:tcW w:w="815" w:type="pct"/>
            <w:tcBorders>
              <w:top w:val="nil"/>
              <w:left w:val="nil"/>
              <w:bottom w:val="single" w:sz="4" w:space="0" w:color="000000"/>
              <w:right w:val="nil"/>
            </w:tcBorders>
            <w:tcMar>
              <w:top w:w="40" w:type="dxa"/>
              <w:left w:w="40" w:type="dxa"/>
              <w:bottom w:w="40" w:type="dxa"/>
              <w:right w:w="40" w:type="dxa"/>
            </w:tcMar>
            <w:vAlign w:val="bottom"/>
          </w:tcPr>
          <w:p w14:paraId="41772806" w14:textId="77777777" w:rsidR="00D640F1" w:rsidRDefault="00000000" w:rsidP="00A7547F">
            <w:pPr>
              <w:widowControl w:val="0"/>
              <w:spacing w:line="276" w:lineRule="auto"/>
              <w:jc w:val="center"/>
              <w:rPr>
                <w:rFonts w:ascii="Arial" w:eastAsia="Arial" w:hAnsi="Arial" w:cs="Arial"/>
                <w:sz w:val="20"/>
                <w:szCs w:val="20"/>
              </w:rPr>
            </w:pPr>
            <w:r>
              <w:rPr>
                <w:sz w:val="22"/>
                <w:szCs w:val="22"/>
              </w:rPr>
              <w:t>-18.12</w:t>
            </w:r>
          </w:p>
        </w:tc>
      </w:tr>
      <w:tr w:rsidR="00D640F1" w14:paraId="351596AA" w14:textId="77777777" w:rsidTr="003201A1">
        <w:trPr>
          <w:trHeight w:val="1058"/>
        </w:trPr>
        <w:tc>
          <w:tcPr>
            <w:tcW w:w="5000" w:type="pct"/>
            <w:gridSpan w:val="6"/>
            <w:tcBorders>
              <w:top w:val="nil"/>
              <w:left w:val="nil"/>
              <w:bottom w:val="nil"/>
              <w:right w:val="nil"/>
            </w:tcBorders>
            <w:shd w:val="clear" w:color="auto" w:fill="auto"/>
            <w:tcMar>
              <w:top w:w="40" w:type="dxa"/>
              <w:left w:w="40" w:type="dxa"/>
              <w:bottom w:w="40" w:type="dxa"/>
              <w:right w:w="40" w:type="dxa"/>
            </w:tcMar>
          </w:tcPr>
          <w:p w14:paraId="2DABDBA2" w14:textId="54BE9693" w:rsidR="00D640F1" w:rsidRDefault="00000000">
            <w:pPr>
              <w:widowControl w:val="0"/>
              <w:spacing w:line="276" w:lineRule="auto"/>
              <w:rPr>
                <w:rFonts w:ascii="Arial" w:eastAsia="Arial" w:hAnsi="Arial" w:cs="Arial"/>
                <w:sz w:val="20"/>
                <w:szCs w:val="20"/>
              </w:rPr>
            </w:pPr>
            <w:r>
              <w:rPr>
                <w:sz w:val="22"/>
                <w:szCs w:val="22"/>
              </w:rPr>
              <w:t>Note: Norm is the normal distribution, and t is the student t distribution. Num</w:t>
            </w:r>
            <w:r w:rsidR="00F12204">
              <w:rPr>
                <w:sz w:val="22"/>
                <w:szCs w:val="22"/>
              </w:rPr>
              <w:t>_</w:t>
            </w:r>
            <w:r>
              <w:rPr>
                <w:sz w:val="22"/>
                <w:szCs w:val="22"/>
              </w:rPr>
              <w:t>para is the number of parameters to be estimated during the estimation process. AIC is Akaike Information Criterion and BIC is Bayesian Information Criterion. Higher values of log-likelihood, along with lower values of AIC and BIC, indicate better goodness of fit.</w:t>
            </w:r>
          </w:p>
        </w:tc>
      </w:tr>
    </w:tbl>
    <w:p w14:paraId="30C2045E" w14:textId="77777777" w:rsidR="00D640F1" w:rsidRDefault="00000000" w:rsidP="004477E6">
      <w:pPr>
        <w:pStyle w:val="Heading3"/>
        <w:spacing w:after="120"/>
        <w:jc w:val="both"/>
      </w:pPr>
      <w:r>
        <w:t>4.1.2 Diagnostic Tests</w:t>
      </w:r>
    </w:p>
    <w:p w14:paraId="207E6F82" w14:textId="35BE53E5" w:rsidR="000937CA" w:rsidRDefault="00643E7A" w:rsidP="00D218C5">
      <w:pPr>
        <w:spacing w:after="120"/>
        <w:jc w:val="both"/>
      </w:pPr>
      <w:r>
        <w:fldChar w:fldCharType="begin"/>
      </w:r>
      <w:r>
        <w:instrText xml:space="preserve"> REF _Ref167227784 \h </w:instrText>
      </w:r>
      <w:r>
        <w:fldChar w:fldCharType="separate"/>
      </w:r>
      <w:r w:rsidR="002E6614">
        <w:t xml:space="preserve">Table </w:t>
      </w:r>
      <w:r w:rsidR="002E6614">
        <w:rPr>
          <w:noProof/>
        </w:rPr>
        <w:t>5</w:t>
      </w:r>
      <w:r>
        <w:fldChar w:fldCharType="end"/>
      </w:r>
      <w:r>
        <w:t xml:space="preserve"> </w:t>
      </w:r>
      <w:r w:rsidR="00A73C85">
        <w:t>presents</w:t>
      </w:r>
      <w:r>
        <w:t xml:space="preserve"> the results of diagnostic tests for standardized residuals using the Ljung-Box test with 15 lags. The tests evaluate the correlation and covariance matrices of residuals under normal and student</w:t>
      </w:r>
      <w:r w:rsidR="0079009E">
        <w:t xml:space="preserve"> </w:t>
      </w:r>
      <w:r>
        <w:t>t distribution</w:t>
      </w:r>
      <w:r w:rsidR="00962043">
        <w:t>s</w:t>
      </w:r>
      <w:r>
        <w:t xml:space="preserve"> for the multivariate GARCH models. Across all models, the P-values are relatively high, with none below 0.10, indicating that there is no significant autocorrelation in the standardized residuals. Models under the student</w:t>
      </w:r>
      <w:r w:rsidR="00B45425">
        <w:t xml:space="preserve"> </w:t>
      </w:r>
      <w:r>
        <w:t xml:space="preserve">t distribution generally show slightly higher P-values, implying a marginally better fit in handling autocorrelation compared to those under the normal distribution. This supports the effectiveness of the models in capturing the autocorrelation present in the original data, validating their performance. </w:t>
      </w:r>
    </w:p>
    <w:p w14:paraId="5CF041E0" w14:textId="13A93553" w:rsidR="00633A22" w:rsidRDefault="00633A22" w:rsidP="005A58B1">
      <w:pPr>
        <w:pStyle w:val="Caption"/>
        <w:spacing w:after="60"/>
      </w:pPr>
      <w:bookmarkStart w:id="21" w:name="_Ref167227784"/>
      <w:r>
        <w:t xml:space="preserve">Table </w:t>
      </w:r>
      <w:r>
        <w:fldChar w:fldCharType="begin"/>
      </w:r>
      <w:r>
        <w:instrText xml:space="preserve"> SEQ Table \* ARABIC </w:instrText>
      </w:r>
      <w:r>
        <w:fldChar w:fldCharType="separate"/>
      </w:r>
      <w:r w:rsidR="002E6614">
        <w:rPr>
          <w:noProof/>
        </w:rPr>
        <w:t>5</w:t>
      </w:r>
      <w:r>
        <w:fldChar w:fldCharType="end"/>
      </w:r>
      <w:bookmarkEnd w:id="21"/>
      <w:r>
        <w:t xml:space="preserve">: </w:t>
      </w:r>
      <w:r w:rsidRPr="00F762AB">
        <w:t>Diagnostic Tests for Standardized Residuals</w:t>
      </w:r>
    </w:p>
    <w:tbl>
      <w:tblPr>
        <w:tblStyle w:val="a3"/>
        <w:tblW w:w="5000" w:type="pct"/>
        <w:tblBorders>
          <w:top w:val="nil"/>
          <w:left w:val="nil"/>
          <w:bottom w:val="nil"/>
          <w:right w:val="nil"/>
          <w:insideH w:val="nil"/>
          <w:insideV w:val="nil"/>
        </w:tblBorders>
        <w:tblLook w:val="0600" w:firstRow="0" w:lastRow="0" w:firstColumn="0" w:lastColumn="0" w:noHBand="1" w:noVBand="1"/>
      </w:tblPr>
      <w:tblGrid>
        <w:gridCol w:w="900"/>
        <w:gridCol w:w="1685"/>
        <w:gridCol w:w="1876"/>
        <w:gridCol w:w="1589"/>
        <w:gridCol w:w="1397"/>
        <w:gridCol w:w="1913"/>
      </w:tblGrid>
      <w:tr w:rsidR="00D640F1" w14:paraId="6B9C6F50" w14:textId="77777777" w:rsidTr="0001692F">
        <w:trPr>
          <w:trHeight w:hRule="exact" w:val="284"/>
        </w:trPr>
        <w:tc>
          <w:tcPr>
            <w:tcW w:w="481" w:type="pct"/>
            <w:tcBorders>
              <w:top w:val="single" w:sz="4" w:space="0" w:color="000000"/>
              <w:left w:val="nil"/>
              <w:bottom w:val="nil"/>
              <w:right w:val="nil"/>
            </w:tcBorders>
            <w:tcMar>
              <w:top w:w="40" w:type="dxa"/>
              <w:left w:w="40" w:type="dxa"/>
              <w:bottom w:w="40" w:type="dxa"/>
              <w:right w:w="40" w:type="dxa"/>
            </w:tcMar>
            <w:vAlign w:val="center"/>
          </w:tcPr>
          <w:p w14:paraId="55584D1E" w14:textId="77777777" w:rsidR="00D640F1" w:rsidRDefault="00D640F1">
            <w:pPr>
              <w:widowControl w:val="0"/>
              <w:spacing w:line="276" w:lineRule="auto"/>
              <w:rPr>
                <w:rFonts w:ascii="Arial" w:eastAsia="Arial" w:hAnsi="Arial" w:cs="Arial"/>
                <w:sz w:val="20"/>
                <w:szCs w:val="20"/>
              </w:rPr>
            </w:pPr>
          </w:p>
        </w:tc>
        <w:tc>
          <w:tcPr>
            <w:tcW w:w="900" w:type="pct"/>
            <w:tcBorders>
              <w:top w:val="single" w:sz="4" w:space="0" w:color="000000"/>
              <w:left w:val="nil"/>
              <w:bottom w:val="nil"/>
              <w:right w:val="nil"/>
            </w:tcBorders>
            <w:tcMar>
              <w:top w:w="40" w:type="dxa"/>
              <w:left w:w="40" w:type="dxa"/>
              <w:bottom w:w="40" w:type="dxa"/>
              <w:right w:w="40" w:type="dxa"/>
            </w:tcMar>
            <w:vAlign w:val="center"/>
          </w:tcPr>
          <w:p w14:paraId="37934CF1" w14:textId="77777777" w:rsidR="00D640F1" w:rsidRDefault="00D640F1">
            <w:pPr>
              <w:widowControl w:val="0"/>
              <w:spacing w:line="276" w:lineRule="auto"/>
              <w:rPr>
                <w:rFonts w:ascii="Arial" w:eastAsia="Arial" w:hAnsi="Arial" w:cs="Arial"/>
                <w:sz w:val="20"/>
                <w:szCs w:val="20"/>
              </w:rPr>
            </w:pPr>
          </w:p>
        </w:tc>
        <w:tc>
          <w:tcPr>
            <w:tcW w:w="1851" w:type="pct"/>
            <w:gridSpan w:val="2"/>
            <w:tcBorders>
              <w:top w:val="single" w:sz="4" w:space="0" w:color="000000"/>
              <w:left w:val="nil"/>
              <w:bottom w:val="nil"/>
              <w:right w:val="nil"/>
            </w:tcBorders>
            <w:tcMar>
              <w:top w:w="40" w:type="dxa"/>
              <w:left w:w="40" w:type="dxa"/>
              <w:bottom w:w="40" w:type="dxa"/>
              <w:right w:w="40" w:type="dxa"/>
            </w:tcMar>
            <w:vAlign w:val="center"/>
          </w:tcPr>
          <w:p w14:paraId="28FB999C" w14:textId="77777777" w:rsidR="00D640F1" w:rsidRDefault="00000000" w:rsidP="0048228A">
            <w:pPr>
              <w:widowControl w:val="0"/>
              <w:spacing w:line="276" w:lineRule="auto"/>
              <w:jc w:val="center"/>
              <w:rPr>
                <w:rFonts w:ascii="Arial" w:eastAsia="Arial" w:hAnsi="Arial" w:cs="Arial"/>
                <w:sz w:val="20"/>
                <w:szCs w:val="20"/>
              </w:rPr>
            </w:pPr>
            <w:r>
              <w:rPr>
                <w:b/>
                <w:sz w:val="22"/>
                <w:szCs w:val="22"/>
              </w:rPr>
              <w:t>Cor</w:t>
            </w:r>
          </w:p>
        </w:tc>
        <w:tc>
          <w:tcPr>
            <w:tcW w:w="1768" w:type="pct"/>
            <w:gridSpan w:val="2"/>
            <w:tcBorders>
              <w:top w:val="single" w:sz="4" w:space="0" w:color="000000"/>
              <w:left w:val="nil"/>
              <w:bottom w:val="nil"/>
              <w:right w:val="nil"/>
            </w:tcBorders>
            <w:shd w:val="clear" w:color="auto" w:fill="auto"/>
            <w:tcMar>
              <w:top w:w="40" w:type="dxa"/>
              <w:left w:w="40" w:type="dxa"/>
              <w:bottom w:w="40" w:type="dxa"/>
              <w:right w:w="40" w:type="dxa"/>
            </w:tcMar>
            <w:vAlign w:val="center"/>
          </w:tcPr>
          <w:p w14:paraId="5740CA44" w14:textId="77777777" w:rsidR="00D640F1" w:rsidRDefault="00000000" w:rsidP="0048228A">
            <w:pPr>
              <w:widowControl w:val="0"/>
              <w:spacing w:line="276" w:lineRule="auto"/>
              <w:jc w:val="center"/>
              <w:rPr>
                <w:rFonts w:ascii="Arial" w:eastAsia="Arial" w:hAnsi="Arial" w:cs="Arial"/>
                <w:sz w:val="20"/>
                <w:szCs w:val="20"/>
              </w:rPr>
            </w:pPr>
            <w:r>
              <w:rPr>
                <w:b/>
                <w:sz w:val="22"/>
                <w:szCs w:val="22"/>
              </w:rPr>
              <w:t>Cov</w:t>
            </w:r>
          </w:p>
        </w:tc>
      </w:tr>
      <w:tr w:rsidR="00D640F1" w14:paraId="275B6271" w14:textId="77777777" w:rsidTr="0001692F">
        <w:trPr>
          <w:trHeight w:hRule="exact" w:val="284"/>
        </w:trPr>
        <w:tc>
          <w:tcPr>
            <w:tcW w:w="481" w:type="pct"/>
            <w:tcBorders>
              <w:top w:val="nil"/>
              <w:left w:val="nil"/>
              <w:bottom w:val="single" w:sz="4" w:space="0" w:color="000000"/>
              <w:right w:val="nil"/>
            </w:tcBorders>
            <w:shd w:val="clear" w:color="auto" w:fill="auto"/>
            <w:tcMar>
              <w:top w:w="40" w:type="dxa"/>
              <w:left w:w="40" w:type="dxa"/>
              <w:bottom w:w="40" w:type="dxa"/>
              <w:right w:w="40" w:type="dxa"/>
            </w:tcMar>
            <w:vAlign w:val="center"/>
          </w:tcPr>
          <w:p w14:paraId="6B673D61" w14:textId="77777777" w:rsidR="00D640F1" w:rsidRDefault="00D640F1">
            <w:pPr>
              <w:widowControl w:val="0"/>
              <w:spacing w:line="276" w:lineRule="auto"/>
              <w:rPr>
                <w:rFonts w:ascii="Arial" w:eastAsia="Arial" w:hAnsi="Arial" w:cs="Arial"/>
                <w:sz w:val="20"/>
                <w:szCs w:val="20"/>
              </w:rPr>
            </w:pPr>
          </w:p>
        </w:tc>
        <w:tc>
          <w:tcPr>
            <w:tcW w:w="900" w:type="pct"/>
            <w:tcBorders>
              <w:top w:val="nil"/>
              <w:left w:val="nil"/>
              <w:bottom w:val="single" w:sz="4" w:space="0" w:color="000000"/>
              <w:right w:val="nil"/>
            </w:tcBorders>
            <w:shd w:val="clear" w:color="auto" w:fill="auto"/>
            <w:tcMar>
              <w:top w:w="40" w:type="dxa"/>
              <w:left w:w="40" w:type="dxa"/>
              <w:bottom w:w="40" w:type="dxa"/>
              <w:right w:w="40" w:type="dxa"/>
            </w:tcMar>
            <w:vAlign w:val="center"/>
          </w:tcPr>
          <w:p w14:paraId="72AAB30A" w14:textId="77777777" w:rsidR="00D640F1" w:rsidRDefault="00D640F1">
            <w:pPr>
              <w:widowControl w:val="0"/>
              <w:spacing w:line="276" w:lineRule="auto"/>
              <w:rPr>
                <w:rFonts w:ascii="Arial" w:eastAsia="Arial" w:hAnsi="Arial" w:cs="Arial"/>
                <w:sz w:val="20"/>
                <w:szCs w:val="20"/>
              </w:rPr>
            </w:pPr>
          </w:p>
        </w:tc>
        <w:tc>
          <w:tcPr>
            <w:tcW w:w="1002" w:type="pct"/>
            <w:tcBorders>
              <w:top w:val="nil"/>
              <w:left w:val="nil"/>
              <w:bottom w:val="single" w:sz="4" w:space="0" w:color="000000"/>
              <w:right w:val="nil"/>
            </w:tcBorders>
            <w:shd w:val="clear" w:color="auto" w:fill="auto"/>
            <w:tcMar>
              <w:top w:w="40" w:type="dxa"/>
              <w:left w:w="40" w:type="dxa"/>
              <w:bottom w:w="40" w:type="dxa"/>
              <w:right w:w="40" w:type="dxa"/>
            </w:tcMar>
            <w:vAlign w:val="center"/>
          </w:tcPr>
          <w:p w14:paraId="19A369C4" w14:textId="77777777" w:rsidR="00D640F1" w:rsidRDefault="00000000" w:rsidP="0048228A">
            <w:pPr>
              <w:widowControl w:val="0"/>
              <w:spacing w:line="276" w:lineRule="auto"/>
              <w:jc w:val="center"/>
              <w:rPr>
                <w:rFonts w:ascii="Arial" w:eastAsia="Arial" w:hAnsi="Arial" w:cs="Arial"/>
                <w:sz w:val="20"/>
                <w:szCs w:val="20"/>
              </w:rPr>
            </w:pPr>
            <w:r>
              <w:rPr>
                <w:sz w:val="22"/>
                <w:szCs w:val="22"/>
              </w:rPr>
              <w:t>Q-Stat</w:t>
            </w:r>
          </w:p>
        </w:tc>
        <w:tc>
          <w:tcPr>
            <w:tcW w:w="849" w:type="pct"/>
            <w:tcBorders>
              <w:top w:val="nil"/>
              <w:left w:val="nil"/>
              <w:bottom w:val="single" w:sz="4" w:space="0" w:color="000000"/>
              <w:right w:val="nil"/>
            </w:tcBorders>
            <w:shd w:val="clear" w:color="auto" w:fill="auto"/>
            <w:tcMar>
              <w:top w:w="40" w:type="dxa"/>
              <w:left w:w="40" w:type="dxa"/>
              <w:bottom w:w="40" w:type="dxa"/>
              <w:right w:w="40" w:type="dxa"/>
            </w:tcMar>
            <w:vAlign w:val="center"/>
          </w:tcPr>
          <w:p w14:paraId="2D1D43AB" w14:textId="77777777" w:rsidR="00D640F1" w:rsidRDefault="00000000" w:rsidP="0048228A">
            <w:pPr>
              <w:widowControl w:val="0"/>
              <w:spacing w:line="276" w:lineRule="auto"/>
              <w:jc w:val="center"/>
              <w:rPr>
                <w:rFonts w:ascii="Arial" w:eastAsia="Arial" w:hAnsi="Arial" w:cs="Arial"/>
                <w:sz w:val="20"/>
                <w:szCs w:val="20"/>
              </w:rPr>
            </w:pPr>
            <w:r>
              <w:rPr>
                <w:sz w:val="22"/>
                <w:szCs w:val="22"/>
              </w:rPr>
              <w:t>P-value</w:t>
            </w:r>
          </w:p>
        </w:tc>
        <w:tc>
          <w:tcPr>
            <w:tcW w:w="746" w:type="pct"/>
            <w:tcBorders>
              <w:top w:val="nil"/>
              <w:left w:val="nil"/>
              <w:bottom w:val="single" w:sz="4" w:space="0" w:color="000000"/>
              <w:right w:val="nil"/>
            </w:tcBorders>
            <w:shd w:val="clear" w:color="auto" w:fill="auto"/>
            <w:tcMar>
              <w:top w:w="40" w:type="dxa"/>
              <w:left w:w="40" w:type="dxa"/>
              <w:bottom w:w="40" w:type="dxa"/>
              <w:right w:w="40" w:type="dxa"/>
            </w:tcMar>
            <w:vAlign w:val="center"/>
          </w:tcPr>
          <w:p w14:paraId="56B9CB31" w14:textId="77777777" w:rsidR="00D640F1" w:rsidRDefault="00000000" w:rsidP="0048228A">
            <w:pPr>
              <w:widowControl w:val="0"/>
              <w:spacing w:line="276" w:lineRule="auto"/>
              <w:jc w:val="center"/>
              <w:rPr>
                <w:rFonts w:ascii="Arial" w:eastAsia="Arial" w:hAnsi="Arial" w:cs="Arial"/>
                <w:sz w:val="20"/>
                <w:szCs w:val="20"/>
              </w:rPr>
            </w:pPr>
            <w:r>
              <w:rPr>
                <w:sz w:val="22"/>
                <w:szCs w:val="22"/>
              </w:rPr>
              <w:t>Q-Stat</w:t>
            </w:r>
          </w:p>
        </w:tc>
        <w:tc>
          <w:tcPr>
            <w:tcW w:w="1022" w:type="pct"/>
            <w:tcBorders>
              <w:top w:val="nil"/>
              <w:left w:val="nil"/>
              <w:bottom w:val="single" w:sz="4" w:space="0" w:color="000000"/>
              <w:right w:val="nil"/>
            </w:tcBorders>
            <w:shd w:val="clear" w:color="auto" w:fill="auto"/>
            <w:tcMar>
              <w:top w:w="40" w:type="dxa"/>
              <w:left w:w="40" w:type="dxa"/>
              <w:bottom w:w="40" w:type="dxa"/>
              <w:right w:w="40" w:type="dxa"/>
            </w:tcMar>
            <w:vAlign w:val="center"/>
          </w:tcPr>
          <w:p w14:paraId="30B4E900" w14:textId="77777777" w:rsidR="00D640F1" w:rsidRDefault="00000000" w:rsidP="0048228A">
            <w:pPr>
              <w:widowControl w:val="0"/>
              <w:spacing w:line="276" w:lineRule="auto"/>
              <w:jc w:val="center"/>
              <w:rPr>
                <w:rFonts w:ascii="Arial" w:eastAsia="Arial" w:hAnsi="Arial" w:cs="Arial"/>
                <w:sz w:val="20"/>
                <w:szCs w:val="20"/>
              </w:rPr>
            </w:pPr>
            <w:r>
              <w:rPr>
                <w:sz w:val="22"/>
                <w:szCs w:val="22"/>
              </w:rPr>
              <w:t>P-value</w:t>
            </w:r>
          </w:p>
        </w:tc>
      </w:tr>
      <w:tr w:rsidR="00D640F1" w14:paraId="18229AED" w14:textId="77777777" w:rsidTr="00F47024">
        <w:trPr>
          <w:trHeight w:hRule="exact" w:val="255"/>
        </w:trPr>
        <w:tc>
          <w:tcPr>
            <w:tcW w:w="481" w:type="pct"/>
            <w:tcBorders>
              <w:top w:val="nil"/>
              <w:left w:val="nil"/>
              <w:bottom w:val="nil"/>
              <w:right w:val="nil"/>
            </w:tcBorders>
            <w:shd w:val="clear" w:color="auto" w:fill="auto"/>
            <w:tcMar>
              <w:top w:w="40" w:type="dxa"/>
              <w:left w:w="40" w:type="dxa"/>
              <w:bottom w:w="40" w:type="dxa"/>
              <w:right w:w="40" w:type="dxa"/>
            </w:tcMar>
            <w:vAlign w:val="bottom"/>
          </w:tcPr>
          <w:p w14:paraId="77DC60CA" w14:textId="77777777" w:rsidR="00D640F1" w:rsidRDefault="00000000">
            <w:pPr>
              <w:widowControl w:val="0"/>
              <w:spacing w:line="276" w:lineRule="auto"/>
              <w:rPr>
                <w:rFonts w:ascii="Arial" w:eastAsia="Arial" w:hAnsi="Arial" w:cs="Arial"/>
                <w:sz w:val="20"/>
                <w:szCs w:val="20"/>
              </w:rPr>
            </w:pPr>
            <w:r>
              <w:rPr>
                <w:sz w:val="22"/>
                <w:szCs w:val="22"/>
              </w:rPr>
              <w:t>Norm</w:t>
            </w:r>
          </w:p>
        </w:tc>
        <w:tc>
          <w:tcPr>
            <w:tcW w:w="900" w:type="pct"/>
            <w:tcBorders>
              <w:top w:val="nil"/>
              <w:left w:val="nil"/>
              <w:bottom w:val="nil"/>
              <w:right w:val="nil"/>
            </w:tcBorders>
            <w:shd w:val="clear" w:color="auto" w:fill="auto"/>
            <w:tcMar>
              <w:top w:w="40" w:type="dxa"/>
              <w:left w:w="40" w:type="dxa"/>
              <w:bottom w:w="40" w:type="dxa"/>
              <w:right w:w="40" w:type="dxa"/>
            </w:tcMar>
            <w:vAlign w:val="bottom"/>
          </w:tcPr>
          <w:p w14:paraId="5C7A1A1F" w14:textId="77777777" w:rsidR="00D640F1" w:rsidRDefault="00000000">
            <w:pPr>
              <w:widowControl w:val="0"/>
              <w:spacing w:line="276" w:lineRule="auto"/>
              <w:rPr>
                <w:rFonts w:ascii="Arial" w:eastAsia="Arial" w:hAnsi="Arial" w:cs="Arial"/>
                <w:sz w:val="20"/>
                <w:szCs w:val="20"/>
              </w:rPr>
            </w:pPr>
            <w:r>
              <w:rPr>
                <w:sz w:val="22"/>
                <w:szCs w:val="22"/>
              </w:rPr>
              <w:t>VECH</w:t>
            </w:r>
          </w:p>
        </w:tc>
        <w:tc>
          <w:tcPr>
            <w:tcW w:w="1002" w:type="pct"/>
            <w:tcBorders>
              <w:top w:val="nil"/>
              <w:left w:val="nil"/>
              <w:bottom w:val="nil"/>
              <w:right w:val="nil"/>
            </w:tcBorders>
            <w:shd w:val="clear" w:color="auto" w:fill="auto"/>
            <w:tcMar>
              <w:top w:w="40" w:type="dxa"/>
              <w:left w:w="40" w:type="dxa"/>
              <w:bottom w:w="40" w:type="dxa"/>
              <w:right w:w="40" w:type="dxa"/>
            </w:tcMar>
            <w:vAlign w:val="bottom"/>
          </w:tcPr>
          <w:p w14:paraId="5348F11A" w14:textId="77777777" w:rsidR="00D640F1" w:rsidRDefault="00000000" w:rsidP="0048228A">
            <w:pPr>
              <w:widowControl w:val="0"/>
              <w:spacing w:line="276" w:lineRule="auto"/>
              <w:jc w:val="center"/>
              <w:rPr>
                <w:rFonts w:ascii="Arial" w:eastAsia="Arial" w:hAnsi="Arial" w:cs="Arial"/>
                <w:sz w:val="20"/>
                <w:szCs w:val="20"/>
              </w:rPr>
            </w:pPr>
            <w:r>
              <w:rPr>
                <w:sz w:val="22"/>
                <w:szCs w:val="22"/>
              </w:rPr>
              <w:t>151.80</w:t>
            </w:r>
          </w:p>
        </w:tc>
        <w:tc>
          <w:tcPr>
            <w:tcW w:w="849" w:type="pct"/>
            <w:tcBorders>
              <w:top w:val="nil"/>
              <w:left w:val="nil"/>
              <w:bottom w:val="nil"/>
              <w:right w:val="nil"/>
            </w:tcBorders>
            <w:shd w:val="clear" w:color="auto" w:fill="auto"/>
            <w:tcMar>
              <w:top w:w="40" w:type="dxa"/>
              <w:left w:w="40" w:type="dxa"/>
              <w:bottom w:w="40" w:type="dxa"/>
              <w:right w:w="40" w:type="dxa"/>
            </w:tcMar>
            <w:vAlign w:val="bottom"/>
          </w:tcPr>
          <w:p w14:paraId="3056441E" w14:textId="77777777" w:rsidR="00D640F1" w:rsidRDefault="00000000" w:rsidP="0048228A">
            <w:pPr>
              <w:widowControl w:val="0"/>
              <w:spacing w:line="276" w:lineRule="auto"/>
              <w:jc w:val="center"/>
              <w:rPr>
                <w:rFonts w:ascii="Arial" w:eastAsia="Arial" w:hAnsi="Arial" w:cs="Arial"/>
                <w:sz w:val="20"/>
                <w:szCs w:val="20"/>
              </w:rPr>
            </w:pPr>
            <w:r>
              <w:rPr>
                <w:sz w:val="22"/>
                <w:szCs w:val="22"/>
              </w:rPr>
              <w:t>0.15</w:t>
            </w:r>
          </w:p>
        </w:tc>
        <w:tc>
          <w:tcPr>
            <w:tcW w:w="746" w:type="pct"/>
            <w:tcBorders>
              <w:top w:val="nil"/>
              <w:left w:val="nil"/>
              <w:bottom w:val="nil"/>
              <w:right w:val="nil"/>
            </w:tcBorders>
            <w:shd w:val="clear" w:color="auto" w:fill="auto"/>
            <w:tcMar>
              <w:top w:w="40" w:type="dxa"/>
              <w:left w:w="40" w:type="dxa"/>
              <w:bottom w:w="40" w:type="dxa"/>
              <w:right w:w="40" w:type="dxa"/>
            </w:tcMar>
            <w:vAlign w:val="bottom"/>
          </w:tcPr>
          <w:p w14:paraId="78800C49" w14:textId="77777777" w:rsidR="00D640F1" w:rsidRDefault="00000000" w:rsidP="0048228A">
            <w:pPr>
              <w:widowControl w:val="0"/>
              <w:spacing w:line="276" w:lineRule="auto"/>
              <w:jc w:val="center"/>
              <w:rPr>
                <w:rFonts w:ascii="Arial" w:eastAsia="Arial" w:hAnsi="Arial" w:cs="Arial"/>
                <w:sz w:val="20"/>
                <w:szCs w:val="20"/>
              </w:rPr>
            </w:pPr>
            <w:r>
              <w:rPr>
                <w:sz w:val="22"/>
                <w:szCs w:val="22"/>
              </w:rPr>
              <w:t>150.42</w:t>
            </w:r>
          </w:p>
        </w:tc>
        <w:tc>
          <w:tcPr>
            <w:tcW w:w="1022" w:type="pct"/>
            <w:tcBorders>
              <w:top w:val="nil"/>
              <w:left w:val="nil"/>
              <w:bottom w:val="nil"/>
              <w:right w:val="nil"/>
            </w:tcBorders>
            <w:shd w:val="clear" w:color="auto" w:fill="auto"/>
            <w:tcMar>
              <w:top w:w="40" w:type="dxa"/>
              <w:left w:w="40" w:type="dxa"/>
              <w:bottom w:w="40" w:type="dxa"/>
              <w:right w:w="40" w:type="dxa"/>
            </w:tcMar>
            <w:vAlign w:val="bottom"/>
          </w:tcPr>
          <w:p w14:paraId="6364411B" w14:textId="77777777" w:rsidR="00D640F1" w:rsidRDefault="00000000" w:rsidP="0048228A">
            <w:pPr>
              <w:widowControl w:val="0"/>
              <w:spacing w:line="276" w:lineRule="auto"/>
              <w:jc w:val="center"/>
              <w:rPr>
                <w:rFonts w:ascii="Arial" w:eastAsia="Arial" w:hAnsi="Arial" w:cs="Arial"/>
                <w:sz w:val="20"/>
                <w:szCs w:val="20"/>
              </w:rPr>
            </w:pPr>
            <w:r>
              <w:rPr>
                <w:sz w:val="22"/>
                <w:szCs w:val="22"/>
              </w:rPr>
              <w:t>0.17</w:t>
            </w:r>
          </w:p>
        </w:tc>
      </w:tr>
      <w:tr w:rsidR="00D640F1" w14:paraId="5EAD369F" w14:textId="77777777" w:rsidTr="00F47024">
        <w:trPr>
          <w:trHeight w:hRule="exact" w:val="255"/>
        </w:trPr>
        <w:tc>
          <w:tcPr>
            <w:tcW w:w="481" w:type="pct"/>
            <w:tcBorders>
              <w:top w:val="nil"/>
              <w:left w:val="nil"/>
              <w:bottom w:val="nil"/>
              <w:right w:val="nil"/>
            </w:tcBorders>
            <w:shd w:val="clear" w:color="auto" w:fill="auto"/>
            <w:tcMar>
              <w:top w:w="40" w:type="dxa"/>
              <w:left w:w="40" w:type="dxa"/>
              <w:bottom w:w="40" w:type="dxa"/>
              <w:right w:w="40" w:type="dxa"/>
            </w:tcMar>
            <w:vAlign w:val="bottom"/>
          </w:tcPr>
          <w:p w14:paraId="029E4214" w14:textId="77777777" w:rsidR="00D640F1" w:rsidRDefault="00D640F1">
            <w:pPr>
              <w:widowControl w:val="0"/>
              <w:spacing w:line="276" w:lineRule="auto"/>
              <w:rPr>
                <w:rFonts w:ascii="Arial" w:eastAsia="Arial" w:hAnsi="Arial" w:cs="Arial"/>
                <w:sz w:val="20"/>
                <w:szCs w:val="20"/>
              </w:rPr>
            </w:pPr>
          </w:p>
        </w:tc>
        <w:tc>
          <w:tcPr>
            <w:tcW w:w="900" w:type="pct"/>
            <w:tcBorders>
              <w:top w:val="nil"/>
              <w:left w:val="nil"/>
              <w:bottom w:val="nil"/>
              <w:right w:val="nil"/>
            </w:tcBorders>
            <w:shd w:val="clear" w:color="auto" w:fill="auto"/>
            <w:tcMar>
              <w:top w:w="40" w:type="dxa"/>
              <w:left w:w="40" w:type="dxa"/>
              <w:bottom w:w="40" w:type="dxa"/>
              <w:right w:w="40" w:type="dxa"/>
            </w:tcMar>
            <w:vAlign w:val="bottom"/>
          </w:tcPr>
          <w:p w14:paraId="0C59B3CA" w14:textId="77777777" w:rsidR="00D640F1" w:rsidRDefault="00000000">
            <w:pPr>
              <w:widowControl w:val="0"/>
              <w:spacing w:line="276" w:lineRule="auto"/>
              <w:rPr>
                <w:rFonts w:ascii="Arial" w:eastAsia="Arial" w:hAnsi="Arial" w:cs="Arial"/>
                <w:sz w:val="20"/>
                <w:szCs w:val="20"/>
              </w:rPr>
            </w:pPr>
            <w:r>
              <w:rPr>
                <w:sz w:val="22"/>
                <w:szCs w:val="22"/>
              </w:rPr>
              <w:t>BEKK</w:t>
            </w:r>
          </w:p>
        </w:tc>
        <w:tc>
          <w:tcPr>
            <w:tcW w:w="1002" w:type="pct"/>
            <w:tcBorders>
              <w:top w:val="nil"/>
              <w:left w:val="nil"/>
              <w:bottom w:val="nil"/>
              <w:right w:val="nil"/>
            </w:tcBorders>
            <w:shd w:val="clear" w:color="auto" w:fill="auto"/>
            <w:tcMar>
              <w:top w:w="40" w:type="dxa"/>
              <w:left w:w="40" w:type="dxa"/>
              <w:bottom w:w="40" w:type="dxa"/>
              <w:right w:w="40" w:type="dxa"/>
            </w:tcMar>
            <w:vAlign w:val="bottom"/>
          </w:tcPr>
          <w:p w14:paraId="6852FA8A" w14:textId="77777777" w:rsidR="00D640F1" w:rsidRDefault="00000000" w:rsidP="0048228A">
            <w:pPr>
              <w:widowControl w:val="0"/>
              <w:spacing w:line="276" w:lineRule="auto"/>
              <w:jc w:val="center"/>
              <w:rPr>
                <w:rFonts w:ascii="Arial" w:eastAsia="Arial" w:hAnsi="Arial" w:cs="Arial"/>
                <w:sz w:val="20"/>
                <w:szCs w:val="20"/>
              </w:rPr>
            </w:pPr>
            <w:r>
              <w:rPr>
                <w:sz w:val="22"/>
                <w:szCs w:val="22"/>
              </w:rPr>
              <w:t>154.36</w:t>
            </w:r>
          </w:p>
        </w:tc>
        <w:tc>
          <w:tcPr>
            <w:tcW w:w="849" w:type="pct"/>
            <w:tcBorders>
              <w:top w:val="nil"/>
              <w:left w:val="nil"/>
              <w:bottom w:val="nil"/>
              <w:right w:val="nil"/>
            </w:tcBorders>
            <w:shd w:val="clear" w:color="auto" w:fill="auto"/>
            <w:tcMar>
              <w:top w:w="40" w:type="dxa"/>
              <w:left w:w="40" w:type="dxa"/>
              <w:bottom w:w="40" w:type="dxa"/>
              <w:right w:w="40" w:type="dxa"/>
            </w:tcMar>
            <w:vAlign w:val="bottom"/>
          </w:tcPr>
          <w:p w14:paraId="52626CC5" w14:textId="77777777" w:rsidR="00D640F1" w:rsidRDefault="00000000" w:rsidP="0048228A">
            <w:pPr>
              <w:widowControl w:val="0"/>
              <w:spacing w:line="276" w:lineRule="auto"/>
              <w:jc w:val="center"/>
              <w:rPr>
                <w:rFonts w:ascii="Arial" w:eastAsia="Arial" w:hAnsi="Arial" w:cs="Arial"/>
                <w:sz w:val="20"/>
                <w:szCs w:val="20"/>
              </w:rPr>
            </w:pPr>
            <w:r>
              <w:rPr>
                <w:sz w:val="22"/>
                <w:szCs w:val="22"/>
              </w:rPr>
              <w:t>0.12</w:t>
            </w:r>
          </w:p>
        </w:tc>
        <w:tc>
          <w:tcPr>
            <w:tcW w:w="746" w:type="pct"/>
            <w:tcBorders>
              <w:top w:val="nil"/>
              <w:left w:val="nil"/>
              <w:bottom w:val="nil"/>
              <w:right w:val="nil"/>
            </w:tcBorders>
            <w:shd w:val="clear" w:color="auto" w:fill="auto"/>
            <w:tcMar>
              <w:top w:w="40" w:type="dxa"/>
              <w:left w:w="40" w:type="dxa"/>
              <w:bottom w:w="40" w:type="dxa"/>
              <w:right w:w="40" w:type="dxa"/>
            </w:tcMar>
            <w:vAlign w:val="bottom"/>
          </w:tcPr>
          <w:p w14:paraId="24F39AA8" w14:textId="77777777" w:rsidR="00D640F1" w:rsidRDefault="00000000" w:rsidP="0048228A">
            <w:pPr>
              <w:widowControl w:val="0"/>
              <w:spacing w:line="276" w:lineRule="auto"/>
              <w:jc w:val="center"/>
              <w:rPr>
                <w:rFonts w:ascii="Arial" w:eastAsia="Arial" w:hAnsi="Arial" w:cs="Arial"/>
                <w:sz w:val="20"/>
                <w:szCs w:val="20"/>
              </w:rPr>
            </w:pPr>
            <w:r>
              <w:rPr>
                <w:sz w:val="22"/>
                <w:szCs w:val="22"/>
              </w:rPr>
              <w:t>153.38</w:t>
            </w:r>
          </w:p>
        </w:tc>
        <w:tc>
          <w:tcPr>
            <w:tcW w:w="1022" w:type="pct"/>
            <w:tcBorders>
              <w:top w:val="nil"/>
              <w:left w:val="nil"/>
              <w:bottom w:val="nil"/>
              <w:right w:val="nil"/>
            </w:tcBorders>
            <w:shd w:val="clear" w:color="auto" w:fill="auto"/>
            <w:tcMar>
              <w:top w:w="40" w:type="dxa"/>
              <w:left w:w="40" w:type="dxa"/>
              <w:bottom w:w="40" w:type="dxa"/>
              <w:right w:w="40" w:type="dxa"/>
            </w:tcMar>
            <w:vAlign w:val="bottom"/>
          </w:tcPr>
          <w:p w14:paraId="3080F7BF" w14:textId="77777777" w:rsidR="00D640F1" w:rsidRDefault="00000000" w:rsidP="0048228A">
            <w:pPr>
              <w:widowControl w:val="0"/>
              <w:spacing w:line="276" w:lineRule="auto"/>
              <w:jc w:val="center"/>
              <w:rPr>
                <w:rFonts w:ascii="Arial" w:eastAsia="Arial" w:hAnsi="Arial" w:cs="Arial"/>
                <w:sz w:val="20"/>
                <w:szCs w:val="20"/>
              </w:rPr>
            </w:pPr>
            <w:r>
              <w:rPr>
                <w:sz w:val="22"/>
                <w:szCs w:val="22"/>
              </w:rPr>
              <w:t>0.13</w:t>
            </w:r>
          </w:p>
        </w:tc>
      </w:tr>
      <w:tr w:rsidR="00D640F1" w14:paraId="5A38F9C7" w14:textId="77777777" w:rsidTr="00F47024">
        <w:trPr>
          <w:trHeight w:hRule="exact" w:val="255"/>
        </w:trPr>
        <w:tc>
          <w:tcPr>
            <w:tcW w:w="481" w:type="pct"/>
            <w:tcBorders>
              <w:top w:val="nil"/>
              <w:left w:val="nil"/>
              <w:bottom w:val="nil"/>
              <w:right w:val="nil"/>
            </w:tcBorders>
            <w:shd w:val="clear" w:color="auto" w:fill="auto"/>
            <w:tcMar>
              <w:top w:w="40" w:type="dxa"/>
              <w:left w:w="40" w:type="dxa"/>
              <w:bottom w:w="40" w:type="dxa"/>
              <w:right w:w="40" w:type="dxa"/>
            </w:tcMar>
            <w:vAlign w:val="bottom"/>
          </w:tcPr>
          <w:p w14:paraId="3615629B" w14:textId="77777777" w:rsidR="00D640F1" w:rsidRDefault="00D640F1">
            <w:pPr>
              <w:widowControl w:val="0"/>
              <w:spacing w:line="276" w:lineRule="auto"/>
              <w:rPr>
                <w:rFonts w:ascii="Arial" w:eastAsia="Arial" w:hAnsi="Arial" w:cs="Arial"/>
                <w:sz w:val="20"/>
                <w:szCs w:val="20"/>
              </w:rPr>
            </w:pPr>
          </w:p>
        </w:tc>
        <w:tc>
          <w:tcPr>
            <w:tcW w:w="900" w:type="pct"/>
            <w:tcBorders>
              <w:top w:val="nil"/>
              <w:left w:val="nil"/>
              <w:bottom w:val="nil"/>
              <w:right w:val="nil"/>
            </w:tcBorders>
            <w:shd w:val="clear" w:color="auto" w:fill="auto"/>
            <w:tcMar>
              <w:top w:w="40" w:type="dxa"/>
              <w:left w:w="40" w:type="dxa"/>
              <w:bottom w:w="40" w:type="dxa"/>
              <w:right w:w="40" w:type="dxa"/>
            </w:tcMar>
            <w:vAlign w:val="bottom"/>
          </w:tcPr>
          <w:p w14:paraId="6D749CE9" w14:textId="77777777" w:rsidR="00D640F1" w:rsidRDefault="00000000">
            <w:pPr>
              <w:widowControl w:val="0"/>
              <w:spacing w:line="276" w:lineRule="auto"/>
              <w:rPr>
                <w:rFonts w:ascii="Arial" w:eastAsia="Arial" w:hAnsi="Arial" w:cs="Arial"/>
                <w:sz w:val="20"/>
                <w:szCs w:val="20"/>
              </w:rPr>
            </w:pPr>
            <w:r>
              <w:rPr>
                <w:sz w:val="22"/>
                <w:szCs w:val="22"/>
              </w:rPr>
              <w:t>CCC</w:t>
            </w:r>
          </w:p>
        </w:tc>
        <w:tc>
          <w:tcPr>
            <w:tcW w:w="1002" w:type="pct"/>
            <w:tcBorders>
              <w:top w:val="nil"/>
              <w:left w:val="nil"/>
              <w:bottom w:val="nil"/>
              <w:right w:val="nil"/>
            </w:tcBorders>
            <w:shd w:val="clear" w:color="auto" w:fill="auto"/>
            <w:tcMar>
              <w:top w:w="40" w:type="dxa"/>
              <w:left w:w="40" w:type="dxa"/>
              <w:bottom w:w="40" w:type="dxa"/>
              <w:right w:w="40" w:type="dxa"/>
            </w:tcMar>
            <w:vAlign w:val="bottom"/>
          </w:tcPr>
          <w:p w14:paraId="2DB49739" w14:textId="77777777" w:rsidR="00D640F1" w:rsidRDefault="00000000" w:rsidP="0048228A">
            <w:pPr>
              <w:widowControl w:val="0"/>
              <w:spacing w:line="276" w:lineRule="auto"/>
              <w:jc w:val="center"/>
              <w:rPr>
                <w:rFonts w:ascii="Arial" w:eastAsia="Arial" w:hAnsi="Arial" w:cs="Arial"/>
                <w:sz w:val="20"/>
                <w:szCs w:val="20"/>
              </w:rPr>
            </w:pPr>
            <w:r>
              <w:rPr>
                <w:sz w:val="22"/>
                <w:szCs w:val="22"/>
              </w:rPr>
              <w:t>147.96</w:t>
            </w:r>
          </w:p>
        </w:tc>
        <w:tc>
          <w:tcPr>
            <w:tcW w:w="849" w:type="pct"/>
            <w:tcBorders>
              <w:top w:val="nil"/>
              <w:left w:val="nil"/>
              <w:bottom w:val="nil"/>
              <w:right w:val="nil"/>
            </w:tcBorders>
            <w:shd w:val="clear" w:color="auto" w:fill="auto"/>
            <w:tcMar>
              <w:top w:w="40" w:type="dxa"/>
              <w:left w:w="40" w:type="dxa"/>
              <w:bottom w:w="40" w:type="dxa"/>
              <w:right w:w="40" w:type="dxa"/>
            </w:tcMar>
            <w:vAlign w:val="bottom"/>
          </w:tcPr>
          <w:p w14:paraId="041A33DC" w14:textId="77777777" w:rsidR="00D640F1" w:rsidRDefault="00000000" w:rsidP="0048228A">
            <w:pPr>
              <w:widowControl w:val="0"/>
              <w:spacing w:line="276" w:lineRule="auto"/>
              <w:jc w:val="center"/>
              <w:rPr>
                <w:rFonts w:ascii="Arial" w:eastAsia="Arial" w:hAnsi="Arial" w:cs="Arial"/>
                <w:sz w:val="20"/>
                <w:szCs w:val="20"/>
              </w:rPr>
            </w:pPr>
            <w:r>
              <w:rPr>
                <w:sz w:val="22"/>
                <w:szCs w:val="22"/>
              </w:rPr>
              <w:t>0.21</w:t>
            </w:r>
          </w:p>
        </w:tc>
        <w:tc>
          <w:tcPr>
            <w:tcW w:w="746" w:type="pct"/>
            <w:tcBorders>
              <w:top w:val="nil"/>
              <w:left w:val="nil"/>
              <w:bottom w:val="nil"/>
              <w:right w:val="nil"/>
            </w:tcBorders>
            <w:shd w:val="clear" w:color="auto" w:fill="auto"/>
            <w:tcMar>
              <w:top w:w="40" w:type="dxa"/>
              <w:left w:w="40" w:type="dxa"/>
              <w:bottom w:w="40" w:type="dxa"/>
              <w:right w:w="40" w:type="dxa"/>
            </w:tcMar>
            <w:vAlign w:val="bottom"/>
          </w:tcPr>
          <w:p w14:paraId="7C4443B4" w14:textId="77777777" w:rsidR="00D640F1" w:rsidRDefault="00000000" w:rsidP="0048228A">
            <w:pPr>
              <w:widowControl w:val="0"/>
              <w:spacing w:line="276" w:lineRule="auto"/>
              <w:jc w:val="center"/>
              <w:rPr>
                <w:rFonts w:ascii="Arial" w:eastAsia="Arial" w:hAnsi="Arial" w:cs="Arial"/>
                <w:sz w:val="20"/>
                <w:szCs w:val="20"/>
              </w:rPr>
            </w:pPr>
            <w:r>
              <w:rPr>
                <w:sz w:val="22"/>
                <w:szCs w:val="22"/>
              </w:rPr>
              <w:t>147.90</w:t>
            </w:r>
          </w:p>
        </w:tc>
        <w:tc>
          <w:tcPr>
            <w:tcW w:w="1022" w:type="pct"/>
            <w:tcBorders>
              <w:top w:val="nil"/>
              <w:left w:val="nil"/>
              <w:bottom w:val="nil"/>
              <w:right w:val="nil"/>
            </w:tcBorders>
            <w:shd w:val="clear" w:color="auto" w:fill="auto"/>
            <w:tcMar>
              <w:top w:w="40" w:type="dxa"/>
              <w:left w:w="40" w:type="dxa"/>
              <w:bottom w:w="40" w:type="dxa"/>
              <w:right w:w="40" w:type="dxa"/>
            </w:tcMar>
            <w:vAlign w:val="bottom"/>
          </w:tcPr>
          <w:p w14:paraId="61E646DA" w14:textId="77777777" w:rsidR="00D640F1" w:rsidRDefault="00000000" w:rsidP="0048228A">
            <w:pPr>
              <w:widowControl w:val="0"/>
              <w:spacing w:line="276" w:lineRule="auto"/>
              <w:jc w:val="center"/>
              <w:rPr>
                <w:rFonts w:ascii="Arial" w:eastAsia="Arial" w:hAnsi="Arial" w:cs="Arial"/>
                <w:sz w:val="20"/>
                <w:szCs w:val="20"/>
              </w:rPr>
            </w:pPr>
            <w:r>
              <w:rPr>
                <w:sz w:val="22"/>
                <w:szCs w:val="22"/>
              </w:rPr>
              <w:t>0.21</w:t>
            </w:r>
          </w:p>
        </w:tc>
      </w:tr>
      <w:tr w:rsidR="00D640F1" w14:paraId="217DB986" w14:textId="77777777" w:rsidTr="00F47024">
        <w:trPr>
          <w:trHeight w:hRule="exact" w:val="255"/>
        </w:trPr>
        <w:tc>
          <w:tcPr>
            <w:tcW w:w="481" w:type="pct"/>
            <w:tcBorders>
              <w:top w:val="nil"/>
              <w:left w:val="nil"/>
              <w:bottom w:val="nil"/>
              <w:right w:val="nil"/>
            </w:tcBorders>
            <w:shd w:val="clear" w:color="auto" w:fill="auto"/>
            <w:tcMar>
              <w:top w:w="40" w:type="dxa"/>
              <w:left w:w="40" w:type="dxa"/>
              <w:bottom w:w="40" w:type="dxa"/>
              <w:right w:w="40" w:type="dxa"/>
            </w:tcMar>
            <w:vAlign w:val="bottom"/>
          </w:tcPr>
          <w:p w14:paraId="56D3264D" w14:textId="77777777" w:rsidR="00D640F1" w:rsidRDefault="00000000">
            <w:pPr>
              <w:widowControl w:val="0"/>
              <w:spacing w:line="276" w:lineRule="auto"/>
              <w:rPr>
                <w:rFonts w:ascii="Arial" w:eastAsia="Arial" w:hAnsi="Arial" w:cs="Arial"/>
                <w:sz w:val="20"/>
                <w:szCs w:val="20"/>
              </w:rPr>
            </w:pPr>
            <w:r>
              <w:rPr>
                <w:sz w:val="22"/>
                <w:szCs w:val="22"/>
              </w:rPr>
              <w:t>T</w:t>
            </w:r>
          </w:p>
        </w:tc>
        <w:tc>
          <w:tcPr>
            <w:tcW w:w="900" w:type="pct"/>
            <w:tcBorders>
              <w:top w:val="nil"/>
              <w:left w:val="nil"/>
              <w:bottom w:val="nil"/>
              <w:right w:val="nil"/>
            </w:tcBorders>
            <w:shd w:val="clear" w:color="auto" w:fill="auto"/>
            <w:tcMar>
              <w:top w:w="40" w:type="dxa"/>
              <w:left w:w="40" w:type="dxa"/>
              <w:bottom w:w="40" w:type="dxa"/>
              <w:right w:w="40" w:type="dxa"/>
            </w:tcMar>
            <w:vAlign w:val="bottom"/>
          </w:tcPr>
          <w:p w14:paraId="7D713E19" w14:textId="77777777" w:rsidR="00D640F1" w:rsidRDefault="00000000">
            <w:pPr>
              <w:widowControl w:val="0"/>
              <w:spacing w:line="276" w:lineRule="auto"/>
              <w:rPr>
                <w:rFonts w:ascii="Arial" w:eastAsia="Arial" w:hAnsi="Arial" w:cs="Arial"/>
                <w:sz w:val="20"/>
                <w:szCs w:val="20"/>
              </w:rPr>
            </w:pPr>
            <w:r>
              <w:rPr>
                <w:sz w:val="22"/>
                <w:szCs w:val="22"/>
              </w:rPr>
              <w:t>VECH</w:t>
            </w:r>
          </w:p>
        </w:tc>
        <w:tc>
          <w:tcPr>
            <w:tcW w:w="1002" w:type="pct"/>
            <w:tcBorders>
              <w:top w:val="nil"/>
              <w:left w:val="nil"/>
              <w:bottom w:val="nil"/>
              <w:right w:val="nil"/>
            </w:tcBorders>
            <w:shd w:val="clear" w:color="auto" w:fill="auto"/>
            <w:tcMar>
              <w:top w:w="40" w:type="dxa"/>
              <w:left w:w="40" w:type="dxa"/>
              <w:bottom w:w="40" w:type="dxa"/>
              <w:right w:w="40" w:type="dxa"/>
            </w:tcMar>
            <w:vAlign w:val="bottom"/>
          </w:tcPr>
          <w:p w14:paraId="7C683506" w14:textId="77777777" w:rsidR="00D640F1" w:rsidRDefault="00000000" w:rsidP="0048228A">
            <w:pPr>
              <w:widowControl w:val="0"/>
              <w:spacing w:line="276" w:lineRule="auto"/>
              <w:jc w:val="center"/>
              <w:rPr>
                <w:rFonts w:ascii="Arial" w:eastAsia="Arial" w:hAnsi="Arial" w:cs="Arial"/>
                <w:sz w:val="20"/>
                <w:szCs w:val="20"/>
              </w:rPr>
            </w:pPr>
            <w:r>
              <w:rPr>
                <w:sz w:val="22"/>
                <w:szCs w:val="22"/>
              </w:rPr>
              <w:t>145.87</w:t>
            </w:r>
          </w:p>
        </w:tc>
        <w:tc>
          <w:tcPr>
            <w:tcW w:w="849" w:type="pct"/>
            <w:tcBorders>
              <w:top w:val="nil"/>
              <w:left w:val="nil"/>
              <w:bottom w:val="nil"/>
              <w:right w:val="nil"/>
            </w:tcBorders>
            <w:shd w:val="clear" w:color="auto" w:fill="auto"/>
            <w:tcMar>
              <w:top w:w="40" w:type="dxa"/>
              <w:left w:w="40" w:type="dxa"/>
              <w:bottom w:w="40" w:type="dxa"/>
              <w:right w:w="40" w:type="dxa"/>
            </w:tcMar>
            <w:vAlign w:val="bottom"/>
          </w:tcPr>
          <w:p w14:paraId="44C70F68" w14:textId="77777777" w:rsidR="00D640F1" w:rsidRDefault="00000000" w:rsidP="0048228A">
            <w:pPr>
              <w:widowControl w:val="0"/>
              <w:spacing w:line="276" w:lineRule="auto"/>
              <w:jc w:val="center"/>
              <w:rPr>
                <w:rFonts w:ascii="Arial" w:eastAsia="Arial" w:hAnsi="Arial" w:cs="Arial"/>
                <w:sz w:val="20"/>
                <w:szCs w:val="20"/>
              </w:rPr>
            </w:pPr>
            <w:r>
              <w:rPr>
                <w:sz w:val="22"/>
                <w:szCs w:val="22"/>
              </w:rPr>
              <w:t>0.25</w:t>
            </w:r>
          </w:p>
        </w:tc>
        <w:tc>
          <w:tcPr>
            <w:tcW w:w="746" w:type="pct"/>
            <w:tcBorders>
              <w:top w:val="nil"/>
              <w:left w:val="nil"/>
              <w:bottom w:val="nil"/>
              <w:right w:val="nil"/>
            </w:tcBorders>
            <w:shd w:val="clear" w:color="auto" w:fill="auto"/>
            <w:tcMar>
              <w:top w:w="40" w:type="dxa"/>
              <w:left w:w="40" w:type="dxa"/>
              <w:bottom w:w="40" w:type="dxa"/>
              <w:right w:w="40" w:type="dxa"/>
            </w:tcMar>
            <w:vAlign w:val="bottom"/>
          </w:tcPr>
          <w:p w14:paraId="23A6D5BC" w14:textId="77777777" w:rsidR="00D640F1" w:rsidRDefault="00000000" w:rsidP="0048228A">
            <w:pPr>
              <w:widowControl w:val="0"/>
              <w:spacing w:line="276" w:lineRule="auto"/>
              <w:jc w:val="center"/>
              <w:rPr>
                <w:rFonts w:ascii="Arial" w:eastAsia="Arial" w:hAnsi="Arial" w:cs="Arial"/>
                <w:sz w:val="20"/>
                <w:szCs w:val="20"/>
              </w:rPr>
            </w:pPr>
            <w:r>
              <w:rPr>
                <w:sz w:val="22"/>
                <w:szCs w:val="22"/>
              </w:rPr>
              <w:t>144.86</w:t>
            </w:r>
          </w:p>
        </w:tc>
        <w:tc>
          <w:tcPr>
            <w:tcW w:w="1022" w:type="pct"/>
            <w:tcBorders>
              <w:top w:val="nil"/>
              <w:left w:val="nil"/>
              <w:bottom w:val="nil"/>
              <w:right w:val="nil"/>
            </w:tcBorders>
            <w:shd w:val="clear" w:color="auto" w:fill="auto"/>
            <w:tcMar>
              <w:top w:w="40" w:type="dxa"/>
              <w:left w:w="40" w:type="dxa"/>
              <w:bottom w:w="40" w:type="dxa"/>
              <w:right w:w="40" w:type="dxa"/>
            </w:tcMar>
            <w:vAlign w:val="bottom"/>
          </w:tcPr>
          <w:p w14:paraId="526255AD" w14:textId="77777777" w:rsidR="00D640F1" w:rsidRDefault="00000000" w:rsidP="0048228A">
            <w:pPr>
              <w:widowControl w:val="0"/>
              <w:spacing w:line="276" w:lineRule="auto"/>
              <w:jc w:val="center"/>
              <w:rPr>
                <w:rFonts w:ascii="Arial" w:eastAsia="Arial" w:hAnsi="Arial" w:cs="Arial"/>
                <w:sz w:val="20"/>
                <w:szCs w:val="20"/>
              </w:rPr>
            </w:pPr>
            <w:r>
              <w:rPr>
                <w:sz w:val="22"/>
                <w:szCs w:val="22"/>
              </w:rPr>
              <w:t>0.27</w:t>
            </w:r>
          </w:p>
        </w:tc>
      </w:tr>
      <w:tr w:rsidR="00D640F1" w14:paraId="3A83E9DB" w14:textId="77777777" w:rsidTr="00F47024">
        <w:trPr>
          <w:trHeight w:hRule="exact" w:val="255"/>
        </w:trPr>
        <w:tc>
          <w:tcPr>
            <w:tcW w:w="481" w:type="pct"/>
            <w:tcBorders>
              <w:top w:val="nil"/>
              <w:left w:val="nil"/>
              <w:bottom w:val="nil"/>
              <w:right w:val="nil"/>
            </w:tcBorders>
            <w:shd w:val="clear" w:color="auto" w:fill="auto"/>
            <w:tcMar>
              <w:top w:w="40" w:type="dxa"/>
              <w:left w:w="40" w:type="dxa"/>
              <w:bottom w:w="40" w:type="dxa"/>
              <w:right w:w="40" w:type="dxa"/>
            </w:tcMar>
            <w:vAlign w:val="bottom"/>
          </w:tcPr>
          <w:p w14:paraId="6F42FDD4" w14:textId="77777777" w:rsidR="00D640F1" w:rsidRDefault="00D640F1">
            <w:pPr>
              <w:widowControl w:val="0"/>
              <w:spacing w:line="276" w:lineRule="auto"/>
              <w:rPr>
                <w:rFonts w:ascii="Arial" w:eastAsia="Arial" w:hAnsi="Arial" w:cs="Arial"/>
                <w:sz w:val="20"/>
                <w:szCs w:val="20"/>
              </w:rPr>
            </w:pPr>
          </w:p>
        </w:tc>
        <w:tc>
          <w:tcPr>
            <w:tcW w:w="900" w:type="pct"/>
            <w:tcBorders>
              <w:top w:val="nil"/>
              <w:left w:val="nil"/>
              <w:bottom w:val="nil"/>
              <w:right w:val="nil"/>
            </w:tcBorders>
            <w:shd w:val="clear" w:color="auto" w:fill="auto"/>
            <w:tcMar>
              <w:top w:w="40" w:type="dxa"/>
              <w:left w:w="40" w:type="dxa"/>
              <w:bottom w:w="40" w:type="dxa"/>
              <w:right w:w="40" w:type="dxa"/>
            </w:tcMar>
            <w:vAlign w:val="bottom"/>
          </w:tcPr>
          <w:p w14:paraId="78109809" w14:textId="77777777" w:rsidR="00D640F1" w:rsidRDefault="00000000">
            <w:pPr>
              <w:widowControl w:val="0"/>
              <w:spacing w:line="276" w:lineRule="auto"/>
              <w:rPr>
                <w:rFonts w:ascii="Arial" w:eastAsia="Arial" w:hAnsi="Arial" w:cs="Arial"/>
                <w:sz w:val="20"/>
                <w:szCs w:val="20"/>
              </w:rPr>
            </w:pPr>
            <w:r>
              <w:rPr>
                <w:sz w:val="22"/>
                <w:szCs w:val="22"/>
              </w:rPr>
              <w:t>BEKK</w:t>
            </w:r>
          </w:p>
        </w:tc>
        <w:tc>
          <w:tcPr>
            <w:tcW w:w="1002" w:type="pct"/>
            <w:tcBorders>
              <w:top w:val="nil"/>
              <w:left w:val="nil"/>
              <w:bottom w:val="nil"/>
              <w:right w:val="nil"/>
            </w:tcBorders>
            <w:shd w:val="clear" w:color="auto" w:fill="auto"/>
            <w:tcMar>
              <w:top w:w="40" w:type="dxa"/>
              <w:left w:w="40" w:type="dxa"/>
              <w:bottom w:w="40" w:type="dxa"/>
              <w:right w:w="40" w:type="dxa"/>
            </w:tcMar>
            <w:vAlign w:val="bottom"/>
          </w:tcPr>
          <w:p w14:paraId="2FA5925F" w14:textId="77777777" w:rsidR="00D640F1" w:rsidRDefault="00000000" w:rsidP="0048228A">
            <w:pPr>
              <w:widowControl w:val="0"/>
              <w:spacing w:line="276" w:lineRule="auto"/>
              <w:jc w:val="center"/>
              <w:rPr>
                <w:rFonts w:ascii="Arial" w:eastAsia="Arial" w:hAnsi="Arial" w:cs="Arial"/>
                <w:sz w:val="20"/>
                <w:szCs w:val="20"/>
              </w:rPr>
            </w:pPr>
            <w:r>
              <w:rPr>
                <w:sz w:val="22"/>
                <w:szCs w:val="22"/>
              </w:rPr>
              <w:t>151.85</w:t>
            </w:r>
          </w:p>
        </w:tc>
        <w:tc>
          <w:tcPr>
            <w:tcW w:w="849" w:type="pct"/>
            <w:tcBorders>
              <w:top w:val="nil"/>
              <w:left w:val="nil"/>
              <w:bottom w:val="nil"/>
              <w:right w:val="nil"/>
            </w:tcBorders>
            <w:shd w:val="clear" w:color="auto" w:fill="auto"/>
            <w:tcMar>
              <w:top w:w="40" w:type="dxa"/>
              <w:left w:w="40" w:type="dxa"/>
              <w:bottom w:w="40" w:type="dxa"/>
              <w:right w:w="40" w:type="dxa"/>
            </w:tcMar>
            <w:vAlign w:val="bottom"/>
          </w:tcPr>
          <w:p w14:paraId="7DED1F26" w14:textId="77777777" w:rsidR="00D640F1" w:rsidRDefault="00000000" w:rsidP="0048228A">
            <w:pPr>
              <w:widowControl w:val="0"/>
              <w:spacing w:line="276" w:lineRule="auto"/>
              <w:jc w:val="center"/>
              <w:rPr>
                <w:rFonts w:ascii="Arial" w:eastAsia="Arial" w:hAnsi="Arial" w:cs="Arial"/>
                <w:sz w:val="20"/>
                <w:szCs w:val="20"/>
              </w:rPr>
            </w:pPr>
            <w:r>
              <w:rPr>
                <w:sz w:val="22"/>
                <w:szCs w:val="22"/>
              </w:rPr>
              <w:t>0.15</w:t>
            </w:r>
          </w:p>
        </w:tc>
        <w:tc>
          <w:tcPr>
            <w:tcW w:w="746" w:type="pct"/>
            <w:tcBorders>
              <w:top w:val="nil"/>
              <w:left w:val="nil"/>
              <w:bottom w:val="nil"/>
              <w:right w:val="nil"/>
            </w:tcBorders>
            <w:shd w:val="clear" w:color="auto" w:fill="auto"/>
            <w:tcMar>
              <w:top w:w="40" w:type="dxa"/>
              <w:left w:w="40" w:type="dxa"/>
              <w:bottom w:w="40" w:type="dxa"/>
              <w:right w:w="40" w:type="dxa"/>
            </w:tcMar>
            <w:vAlign w:val="bottom"/>
          </w:tcPr>
          <w:p w14:paraId="0CD0F071" w14:textId="77777777" w:rsidR="00D640F1" w:rsidRDefault="00000000" w:rsidP="0048228A">
            <w:pPr>
              <w:widowControl w:val="0"/>
              <w:spacing w:line="276" w:lineRule="auto"/>
              <w:jc w:val="center"/>
              <w:rPr>
                <w:rFonts w:ascii="Arial" w:eastAsia="Arial" w:hAnsi="Arial" w:cs="Arial"/>
                <w:sz w:val="20"/>
                <w:szCs w:val="20"/>
              </w:rPr>
            </w:pPr>
            <w:r>
              <w:rPr>
                <w:sz w:val="22"/>
                <w:szCs w:val="22"/>
              </w:rPr>
              <w:t>151.13</w:t>
            </w:r>
          </w:p>
        </w:tc>
        <w:tc>
          <w:tcPr>
            <w:tcW w:w="1022" w:type="pct"/>
            <w:tcBorders>
              <w:top w:val="nil"/>
              <w:left w:val="nil"/>
              <w:bottom w:val="nil"/>
              <w:right w:val="nil"/>
            </w:tcBorders>
            <w:shd w:val="clear" w:color="auto" w:fill="auto"/>
            <w:tcMar>
              <w:top w:w="40" w:type="dxa"/>
              <w:left w:w="40" w:type="dxa"/>
              <w:bottom w:w="40" w:type="dxa"/>
              <w:right w:w="40" w:type="dxa"/>
            </w:tcMar>
            <w:vAlign w:val="bottom"/>
          </w:tcPr>
          <w:p w14:paraId="46A4C770" w14:textId="77777777" w:rsidR="00D640F1" w:rsidRDefault="00000000" w:rsidP="0048228A">
            <w:pPr>
              <w:widowControl w:val="0"/>
              <w:spacing w:line="276" w:lineRule="auto"/>
              <w:jc w:val="center"/>
              <w:rPr>
                <w:rFonts w:ascii="Arial" w:eastAsia="Arial" w:hAnsi="Arial" w:cs="Arial"/>
                <w:sz w:val="20"/>
                <w:szCs w:val="20"/>
              </w:rPr>
            </w:pPr>
            <w:r>
              <w:rPr>
                <w:sz w:val="22"/>
                <w:szCs w:val="22"/>
              </w:rPr>
              <w:t>0.16</w:t>
            </w:r>
          </w:p>
        </w:tc>
      </w:tr>
      <w:tr w:rsidR="00D640F1" w14:paraId="64DB8973" w14:textId="77777777" w:rsidTr="00F47024">
        <w:trPr>
          <w:trHeight w:hRule="exact" w:val="255"/>
        </w:trPr>
        <w:tc>
          <w:tcPr>
            <w:tcW w:w="481"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71AF4C0D" w14:textId="77777777" w:rsidR="00D640F1" w:rsidRDefault="00D640F1">
            <w:pPr>
              <w:widowControl w:val="0"/>
              <w:spacing w:line="276" w:lineRule="auto"/>
              <w:rPr>
                <w:rFonts w:ascii="Arial" w:eastAsia="Arial" w:hAnsi="Arial" w:cs="Arial"/>
                <w:sz w:val="20"/>
                <w:szCs w:val="20"/>
              </w:rPr>
            </w:pPr>
          </w:p>
        </w:tc>
        <w:tc>
          <w:tcPr>
            <w:tcW w:w="900"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D05723A" w14:textId="77777777" w:rsidR="00D640F1" w:rsidRDefault="00000000">
            <w:pPr>
              <w:widowControl w:val="0"/>
              <w:spacing w:line="276" w:lineRule="auto"/>
              <w:rPr>
                <w:rFonts w:ascii="Arial" w:eastAsia="Arial" w:hAnsi="Arial" w:cs="Arial"/>
                <w:sz w:val="20"/>
                <w:szCs w:val="20"/>
              </w:rPr>
            </w:pPr>
            <w:r>
              <w:rPr>
                <w:sz w:val="22"/>
                <w:szCs w:val="22"/>
              </w:rPr>
              <w:t>CCC</w:t>
            </w:r>
          </w:p>
        </w:tc>
        <w:tc>
          <w:tcPr>
            <w:tcW w:w="1002"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04FBFD4E" w14:textId="77777777" w:rsidR="00D640F1" w:rsidRDefault="00000000" w:rsidP="0048228A">
            <w:pPr>
              <w:widowControl w:val="0"/>
              <w:spacing w:line="276" w:lineRule="auto"/>
              <w:jc w:val="center"/>
              <w:rPr>
                <w:rFonts w:ascii="Arial" w:eastAsia="Arial" w:hAnsi="Arial" w:cs="Arial"/>
                <w:sz w:val="20"/>
                <w:szCs w:val="20"/>
              </w:rPr>
            </w:pPr>
            <w:r>
              <w:rPr>
                <w:sz w:val="22"/>
                <w:szCs w:val="22"/>
              </w:rPr>
              <w:t>141.67</w:t>
            </w:r>
          </w:p>
        </w:tc>
        <w:tc>
          <w:tcPr>
            <w:tcW w:w="849"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523151E8" w14:textId="77777777" w:rsidR="00D640F1" w:rsidRDefault="00000000" w:rsidP="0048228A">
            <w:pPr>
              <w:widowControl w:val="0"/>
              <w:spacing w:line="276" w:lineRule="auto"/>
              <w:jc w:val="center"/>
              <w:rPr>
                <w:rFonts w:ascii="Arial" w:eastAsia="Arial" w:hAnsi="Arial" w:cs="Arial"/>
                <w:sz w:val="20"/>
                <w:szCs w:val="20"/>
              </w:rPr>
            </w:pPr>
            <w:r>
              <w:rPr>
                <w:sz w:val="22"/>
                <w:szCs w:val="22"/>
              </w:rPr>
              <w:t>0.33</w:t>
            </w:r>
          </w:p>
        </w:tc>
        <w:tc>
          <w:tcPr>
            <w:tcW w:w="746"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49201071" w14:textId="77777777" w:rsidR="00D640F1" w:rsidRDefault="00000000" w:rsidP="0048228A">
            <w:pPr>
              <w:widowControl w:val="0"/>
              <w:spacing w:line="276" w:lineRule="auto"/>
              <w:jc w:val="center"/>
              <w:rPr>
                <w:rFonts w:ascii="Arial" w:eastAsia="Arial" w:hAnsi="Arial" w:cs="Arial"/>
                <w:sz w:val="20"/>
                <w:szCs w:val="20"/>
              </w:rPr>
            </w:pPr>
            <w:r>
              <w:rPr>
                <w:sz w:val="22"/>
                <w:szCs w:val="22"/>
              </w:rPr>
              <w:t>141.71</w:t>
            </w:r>
          </w:p>
        </w:tc>
        <w:tc>
          <w:tcPr>
            <w:tcW w:w="1022"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E238CC0" w14:textId="77777777" w:rsidR="00D640F1" w:rsidRDefault="00000000" w:rsidP="0048228A">
            <w:pPr>
              <w:widowControl w:val="0"/>
              <w:spacing w:line="276" w:lineRule="auto"/>
              <w:jc w:val="center"/>
              <w:rPr>
                <w:rFonts w:ascii="Arial" w:eastAsia="Arial" w:hAnsi="Arial" w:cs="Arial"/>
                <w:sz w:val="20"/>
                <w:szCs w:val="20"/>
              </w:rPr>
            </w:pPr>
            <w:r>
              <w:rPr>
                <w:sz w:val="22"/>
                <w:szCs w:val="22"/>
              </w:rPr>
              <w:t>0.33</w:t>
            </w:r>
          </w:p>
        </w:tc>
      </w:tr>
      <w:tr w:rsidR="00D640F1" w14:paraId="69F29734" w14:textId="77777777" w:rsidTr="00EC47D6">
        <w:trPr>
          <w:trHeight w:val="811"/>
        </w:trPr>
        <w:tc>
          <w:tcPr>
            <w:tcW w:w="5000" w:type="pct"/>
            <w:gridSpan w:val="6"/>
            <w:tcBorders>
              <w:top w:val="nil"/>
              <w:left w:val="nil"/>
              <w:bottom w:val="nil"/>
              <w:right w:val="nil"/>
            </w:tcBorders>
            <w:shd w:val="clear" w:color="auto" w:fill="auto"/>
            <w:tcMar>
              <w:top w:w="40" w:type="dxa"/>
              <w:left w:w="40" w:type="dxa"/>
              <w:bottom w:w="40" w:type="dxa"/>
              <w:right w:w="40" w:type="dxa"/>
            </w:tcMar>
          </w:tcPr>
          <w:p w14:paraId="5534E99A" w14:textId="6F8A5F77" w:rsidR="00D640F1" w:rsidRDefault="00000000" w:rsidP="00125A65">
            <w:pPr>
              <w:widowControl w:val="0"/>
              <w:spacing w:line="276" w:lineRule="auto"/>
              <w:jc w:val="both"/>
              <w:rPr>
                <w:rFonts w:ascii="Arial" w:eastAsia="Arial" w:hAnsi="Arial" w:cs="Arial"/>
                <w:sz w:val="20"/>
                <w:szCs w:val="20"/>
              </w:rPr>
            </w:pPr>
            <w:r>
              <w:rPr>
                <w:sz w:val="22"/>
                <w:szCs w:val="22"/>
              </w:rPr>
              <w:t xml:space="preserve">Note: The table is the result of the Ljung-Box test with lags of 15. Norm is the normal distribution, and t is the student t distribution. Cor and Cov denote the square root of the correlation and covariance matrix of residuals. </w:t>
            </w:r>
          </w:p>
        </w:tc>
      </w:tr>
    </w:tbl>
    <w:p w14:paraId="76D9993D" w14:textId="77777777" w:rsidR="00D640F1" w:rsidRDefault="00000000" w:rsidP="00131937">
      <w:pPr>
        <w:pStyle w:val="Heading2"/>
        <w:spacing w:after="200"/>
        <w:jc w:val="both"/>
      </w:pPr>
      <w:bookmarkStart w:id="22" w:name="_Toc167478294"/>
      <w:r>
        <w:t>4.2 Optimal Portfolio Weights</w:t>
      </w:r>
      <w:bookmarkEnd w:id="22"/>
    </w:p>
    <w:p w14:paraId="14D89D7E" w14:textId="3AD4707C" w:rsidR="00D640F1" w:rsidRDefault="00000000" w:rsidP="005878CF">
      <w:pPr>
        <w:spacing w:after="200"/>
        <w:jc w:val="both"/>
      </w:pPr>
      <w:r>
        <w:t>After using the multivariate GARCH model</w:t>
      </w:r>
      <w:r w:rsidR="00FE669F">
        <w:t>s</w:t>
      </w:r>
      <w:r>
        <w:t xml:space="preserve">, </w:t>
      </w:r>
      <w:r w:rsidR="00581E04">
        <w:t xml:space="preserve">the </w:t>
      </w:r>
      <w:r>
        <w:t xml:space="preserve">time-varying conditional covariance matrix </w:t>
      </w:r>
      <m:oMath>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oMath>
      <w:r>
        <w:t xml:space="preserve"> and correlation matrix </w:t>
      </w:r>
      <m:oMath>
        <m:sSubSup>
          <m:sSubSupPr>
            <m:ctrlPr>
              <w:rPr>
                <w:rFonts w:ascii="Cambria Math" w:hAnsi="Cambria Math"/>
                <w:b/>
                <w:bCs/>
              </w:rPr>
            </m:ctrlPr>
          </m:sSubSupPr>
          <m:e>
            <m:r>
              <m:rPr>
                <m:sty m:val="bi"/>
              </m:rPr>
              <w:rPr>
                <w:rFonts w:ascii="Cambria Math" w:hAnsi="Cambria Math"/>
              </w:rPr>
              <m:t>R</m:t>
            </m:r>
          </m:e>
          <m:sub>
            <m:r>
              <m:rPr>
                <m:sty m:val="bi"/>
              </m:rPr>
              <w:rPr>
                <w:rFonts w:ascii="Cambria Math" w:hAnsi="Cambria Math"/>
              </w:rPr>
              <m:t>t</m:t>
            </m:r>
          </m:sub>
          <m:sup>
            <m:r>
              <m:rPr>
                <m:sty m:val="bi"/>
              </m:rPr>
              <w:rPr>
                <w:rFonts w:ascii="Cambria Math" w:hAnsi="Cambria Math"/>
              </w:rPr>
              <m:t xml:space="preserve"> </m:t>
            </m:r>
          </m:sup>
        </m:sSubSup>
      </m:oMath>
      <w:r>
        <w:t xml:space="preserve"> with the dimension of </w:t>
      </w:r>
      <m:oMath>
        <m:r>
          <w:rPr>
            <w:rFonts w:ascii="Cambria Math" w:hAnsi="Cambria Math"/>
          </w:rPr>
          <m:t>N×N×T</m:t>
        </m:r>
      </m:oMath>
      <w:r w:rsidR="00581E04">
        <w:t xml:space="preserve"> are obtained</w:t>
      </w:r>
      <w:r>
        <w:t>. Based on the loglikelihood, AIC, and BIC, the diagonal VECH model</w:t>
      </w:r>
      <w:r w:rsidR="00B230DD">
        <w:t xml:space="preserve"> with student t distribution</w:t>
      </w:r>
      <w:r>
        <w:t xml:space="preserve"> </w:t>
      </w:r>
      <w:r w:rsidR="00D56861">
        <w:t>is</w:t>
      </w:r>
      <w:r>
        <w:t xml:space="preserve"> the most suitable model for modeling commodity volatility and dependence. By applying the seven portfolio methods: equal weight, mean-variance, minimum variance, minimum correlation, maximum </w:t>
      </w:r>
      <w:r w:rsidR="00756378">
        <w:t>S</w:t>
      </w:r>
      <w:r>
        <w:t xml:space="preserve">harpe ratio, maximum </w:t>
      </w:r>
      <w:r w:rsidR="00CC1DB7">
        <w:t>S</w:t>
      </w:r>
      <w:r>
        <w:t xml:space="preserve">ortino ratio, and CVaR, </w:t>
      </w:r>
      <w:r w:rsidR="005320BD">
        <w:t>th</w:t>
      </w:r>
      <w:r w:rsidR="00400B82">
        <w:t>is</w:t>
      </w:r>
      <w:r w:rsidR="005320BD">
        <w:t xml:space="preserve"> </w:t>
      </w:r>
      <w:r w:rsidR="00400B82">
        <w:t>study</w:t>
      </w:r>
      <w:r w:rsidR="005320BD">
        <w:t xml:space="preserve"> gets</w:t>
      </w:r>
      <w:r>
        <w:t xml:space="preserve"> the time-varying weight for the 3 commodities to form portfolios</w:t>
      </w:r>
      <w:r w:rsidR="00580A1E">
        <w:t>, which means that the portfolios are rebalanced with a daily frequency</w:t>
      </w:r>
      <w:r>
        <w:t xml:space="preserve">. </w:t>
      </w:r>
      <w:r w:rsidR="000129E0">
        <w:t>Specifically</w:t>
      </w:r>
      <w:r w:rsidR="005426FE">
        <w:t xml:space="preserve">, the </w:t>
      </w:r>
      <w:r w:rsidR="005538F5" w:rsidRPr="005538F5">
        <w:t xml:space="preserve">minimum </w:t>
      </w:r>
      <w:r w:rsidR="005426FE">
        <w:t>C</w:t>
      </w:r>
      <w:r w:rsidR="005538F5">
        <w:t>V</w:t>
      </w:r>
      <w:r w:rsidR="005426FE">
        <w:t xml:space="preserve">aR </w:t>
      </w:r>
      <w:r w:rsidR="005853F5">
        <w:t xml:space="preserve">portfolio </w:t>
      </w:r>
      <w:r w:rsidR="005426FE">
        <w:t>use</w:t>
      </w:r>
      <w:r w:rsidR="005853F5">
        <w:t>s</w:t>
      </w:r>
      <w:r w:rsidR="005426FE">
        <w:t xml:space="preserve"> a rolling window of </w:t>
      </w:r>
      <w:r w:rsidR="00903F76">
        <w:t xml:space="preserve">size </w:t>
      </w:r>
      <w:r w:rsidR="001D1336">
        <w:t>250</w:t>
      </w:r>
      <w:r w:rsidR="00533334">
        <w:t xml:space="preserve"> and a a significane level of 95%</w:t>
      </w:r>
      <w:r w:rsidR="00DE6711">
        <w:t xml:space="preserve"> to </w:t>
      </w:r>
      <w:r w:rsidR="00D06CA9">
        <w:t>calculate</w:t>
      </w:r>
      <w:r w:rsidR="00DE6711">
        <w:t xml:space="preserve"> the value-at-risk.</w:t>
      </w:r>
      <w:r w:rsidR="005426FE">
        <w:t xml:space="preserve"> </w:t>
      </w:r>
      <w:r w:rsidR="00FE27B1">
        <w:t xml:space="preserve">By setting the </w:t>
      </w:r>
      <w:r w:rsidR="00014268">
        <w:t xml:space="preserve">mean-variance portfolio’s </w:t>
      </w:r>
      <w:r w:rsidR="00FE27B1">
        <w:t xml:space="preserve">risk version parameters of </w:t>
      </w:r>
      <m:oMath>
        <m:r>
          <w:rPr>
            <w:rFonts w:ascii="Cambria Math" w:hAnsi="Cambria Math"/>
          </w:rPr>
          <m:t>γ</m:t>
        </m:r>
      </m:oMath>
      <w:r w:rsidR="00FE27B1">
        <w:t xml:space="preserve"> to be 1, which means </w:t>
      </w:r>
      <w:r w:rsidR="000A2A5A">
        <w:t>an</w:t>
      </w:r>
      <w:r w:rsidR="00FE27B1">
        <w:t xml:space="preserve"> equal balance between return and risk, t</w:t>
      </w:r>
      <w:r>
        <w:t xml:space="preserve">he average optimal portfolio weights of the three commodity groups are shown in </w:t>
      </w:r>
      <w:r w:rsidR="00A20A4D">
        <w:fldChar w:fldCharType="begin"/>
      </w:r>
      <w:r w:rsidR="00A20A4D">
        <w:instrText xml:space="preserve"> REF _Ref167227853 \h </w:instrText>
      </w:r>
      <w:r w:rsidR="00A20A4D">
        <w:fldChar w:fldCharType="separate"/>
      </w:r>
      <w:r w:rsidR="002E6614">
        <w:t xml:space="preserve">Table </w:t>
      </w:r>
      <w:r w:rsidR="002E6614">
        <w:rPr>
          <w:noProof/>
        </w:rPr>
        <w:t>6</w:t>
      </w:r>
      <w:r w:rsidR="00A20A4D">
        <w:fldChar w:fldCharType="end"/>
      </w:r>
      <w:r>
        <w:t xml:space="preserve">. </w:t>
      </w:r>
    </w:p>
    <w:p w14:paraId="551EA6A4" w14:textId="66F54A52" w:rsidR="00D640F1" w:rsidRDefault="00000000" w:rsidP="00FC07D9">
      <w:pPr>
        <w:spacing w:after="200"/>
        <w:jc w:val="both"/>
      </w:pPr>
      <w:r>
        <w:t>Different portfolios are efficient for different investment objectives. The equal weight portfolio serves as the benchmark for all the portfolio strategies. The mean-variance portfolio optimize</w:t>
      </w:r>
      <w:r w:rsidR="0019713B">
        <w:t>s</w:t>
      </w:r>
      <w:r>
        <w:t xml:space="preserve"> the weight by maximizing the return and minimizing the risk. When not consider</w:t>
      </w:r>
      <w:r w:rsidR="001A7609">
        <w:t>ing</w:t>
      </w:r>
      <w:r>
        <w:t xml:space="preserve"> short-selling opportunities, the </w:t>
      </w:r>
      <w:r w:rsidR="009F4915">
        <w:t xml:space="preserve">mean-variance portfolio’s </w:t>
      </w:r>
      <w:r>
        <w:t xml:space="preserve">result of the optimal weight mainly </w:t>
      </w:r>
      <w:r w:rsidR="009E707C">
        <w:t>focuses</w:t>
      </w:r>
      <w:r>
        <w:t xml:space="preserve"> on allocating weights to metal and energy commodities, and this portfolio strategy has the best performance compared to others under the sample period from 1991 to 2023. With a focus on reducing the risk, the minimum variance portfolio allocates more weight to agricultural products. Also, considering the diversified portfolio, the min</w:t>
      </w:r>
      <w:r w:rsidR="00F4496D">
        <w:t>imum</w:t>
      </w:r>
      <w:r>
        <w:t xml:space="preserve"> correlation portfolio approximately allocate</w:t>
      </w:r>
      <w:r w:rsidR="00C219B4">
        <w:t>s</w:t>
      </w:r>
      <w:r>
        <w:t xml:space="preserve"> equal weight to the three commodity groups. The performance of this portfolio strategy is similar to the min</w:t>
      </w:r>
      <w:r w:rsidR="006F10CB">
        <w:t>imum</w:t>
      </w:r>
      <w:r>
        <w:t xml:space="preserve"> variance portfolio strategy. In contrast, other portfolio strategies of maximum </w:t>
      </w:r>
      <w:r w:rsidR="009E707C">
        <w:t>Sharpe</w:t>
      </w:r>
      <w:r>
        <w:t xml:space="preserve"> ratio and maximum </w:t>
      </w:r>
      <w:r w:rsidR="00743A94">
        <w:t>S</w:t>
      </w:r>
      <w:r>
        <w:t xml:space="preserve">ortino ratio consider the risk-adjusted factor with </w:t>
      </w:r>
      <w:r w:rsidR="00BC3E13">
        <w:t xml:space="preserve">maximum </w:t>
      </w:r>
      <w:r w:rsidR="008E3FD6">
        <w:t>S</w:t>
      </w:r>
      <w:r>
        <w:t xml:space="preserve">ortino ratio </w:t>
      </w:r>
      <w:r w:rsidR="00BC3E13">
        <w:t xml:space="preserve">portfolio </w:t>
      </w:r>
      <w:r>
        <w:t>focusing on the downside risk. Their results show that</w:t>
      </w:r>
      <w:r w:rsidR="009E707C">
        <w:t xml:space="preserve"> </w:t>
      </w:r>
      <w:r>
        <w:t>investors should allocate</w:t>
      </w:r>
      <w:r w:rsidR="007B2849">
        <w:t xml:space="preserve"> almost</w:t>
      </w:r>
      <w:r>
        <w:t xml:space="preserve"> all the weight</w:t>
      </w:r>
      <w:r w:rsidR="004D4965">
        <w:t>s</w:t>
      </w:r>
      <w:r>
        <w:t xml:space="preserve"> to energy commodities. However, these two portfolio strategies have higher variance and lower C</w:t>
      </w:r>
      <w:r w:rsidR="00B3668F">
        <w:t>V</w:t>
      </w:r>
      <w:r>
        <w:t>aR</w:t>
      </w:r>
      <w:r w:rsidR="000044CD">
        <w:t xml:space="preserve">, with maximum </w:t>
      </w:r>
      <w:r w:rsidR="00BA765F">
        <w:t xml:space="preserve">Sortino </w:t>
      </w:r>
      <w:r w:rsidR="000044CD">
        <w:t>ratio portfolio ha</w:t>
      </w:r>
      <w:r w:rsidR="009D0D23">
        <w:t>ving</w:t>
      </w:r>
      <w:r w:rsidR="000044CD">
        <w:t xml:space="preserve"> </w:t>
      </w:r>
      <w:r w:rsidR="00EC28F5">
        <w:t>negative</w:t>
      </w:r>
      <w:r w:rsidR="000044CD">
        <w:t xml:space="preserve"> </w:t>
      </w:r>
      <w:r w:rsidR="000D1FA4">
        <w:t xml:space="preserve">average </w:t>
      </w:r>
      <w:r w:rsidR="000044CD">
        <w:t>return</w:t>
      </w:r>
      <w:r>
        <w:t xml:space="preserve">. In order to manage the risk under extreme scenarios, </w:t>
      </w:r>
      <w:r w:rsidR="00D85E7A">
        <w:rPr>
          <w:highlight w:val="white"/>
        </w:rPr>
        <w:t xml:space="preserve">minimum </w:t>
      </w:r>
      <w:r>
        <w:t>CVaR focuses on tail risk. This portfolio allocate</w:t>
      </w:r>
      <w:r w:rsidR="009E707C">
        <w:t>s</w:t>
      </w:r>
      <w:r>
        <w:t xml:space="preserve"> the majority of the weight to energy commodities, which suggests that energy commodities might have relatively lower tail risk compared to metal and agricultural commodities. </w:t>
      </w:r>
      <w:r w:rsidR="00E0062D">
        <w:t xml:space="preserve">Similar to the maximum Sortino ratio portfolio, the </w:t>
      </w:r>
      <w:r w:rsidR="00E0062D">
        <w:rPr>
          <w:highlight w:val="white"/>
        </w:rPr>
        <w:t xml:space="preserve">minimum </w:t>
      </w:r>
      <w:r w:rsidR="00E0062D">
        <w:t xml:space="preserve">CVaR </w:t>
      </w:r>
      <w:r w:rsidR="00F46049">
        <w:t>portfolio also has negative returns and higher volatility, indicating its poor performance.</w:t>
      </w:r>
    </w:p>
    <w:p w14:paraId="07E426E9" w14:textId="591FEDC0" w:rsidR="00B970E6" w:rsidRDefault="00000000" w:rsidP="00FC07D9">
      <w:pPr>
        <w:spacing w:after="200"/>
        <w:jc w:val="both"/>
      </w:pPr>
      <w:r>
        <w:t>When the investment objective is achieving higher returns while bearing higher risk, the short-selling opportunity</w:t>
      </w:r>
      <w:r w:rsidR="001A7609">
        <w:t xml:space="preserve"> is considered</w:t>
      </w:r>
      <w:r>
        <w:t xml:space="preserve">. </w:t>
      </w:r>
      <w:r w:rsidR="00FB04CB">
        <w:t>T</w:t>
      </w:r>
      <w:r>
        <w:t xml:space="preserve">he mean-variance, </w:t>
      </w:r>
      <w:r w:rsidR="00062926">
        <w:t xml:space="preserve">maximum </w:t>
      </w:r>
      <w:r w:rsidR="009C6845">
        <w:t>Sharpe</w:t>
      </w:r>
      <w:r>
        <w:t xml:space="preserve"> ratio,</w:t>
      </w:r>
      <w:r w:rsidR="00062926">
        <w:t xml:space="preserve"> maximum</w:t>
      </w:r>
      <w:r>
        <w:t xml:space="preserve"> </w:t>
      </w:r>
      <w:r w:rsidR="009C6845">
        <w:t>S</w:t>
      </w:r>
      <w:r>
        <w:t xml:space="preserve">ortino ratio, and </w:t>
      </w:r>
      <w:r w:rsidR="0087239D">
        <w:rPr>
          <w:highlight w:val="white"/>
        </w:rPr>
        <w:t xml:space="preserve">minimum </w:t>
      </w:r>
      <w:r>
        <w:t xml:space="preserve">CVaR portfolios </w:t>
      </w:r>
      <w:r w:rsidR="00ED4237">
        <w:t>have</w:t>
      </w:r>
      <w:r>
        <w:t xml:space="preserve"> short-selling weights. Also, these strategies are all short-sell agricultural commodities. This suggests that agricultural commodities are underperformed compared to metals and energy commodities. In such cases, short-selling agricultural commodities allows the investor to benefit from the anticipated decline. Additionally, short-sell agricultural commodities can also be attributed to the seasonally predictable volatilities for the agricultural products. Regarding the portfolio performance of the short selling conditions, portfolio strategies of mean-variance and maximum </w:t>
      </w:r>
      <w:r w:rsidR="00C144FC">
        <w:t>Sharpe</w:t>
      </w:r>
      <w:r>
        <w:t xml:space="preserve"> ratio archive higher return and </w:t>
      </w:r>
      <w:r w:rsidR="0081769B">
        <w:t xml:space="preserve">lower </w:t>
      </w:r>
      <w:r>
        <w:t xml:space="preserve">volatility compared to no short selling opportunity conditions. However, the performance of short-selling maximum </w:t>
      </w:r>
      <w:r w:rsidR="00AE6ACF">
        <w:t>S</w:t>
      </w:r>
      <w:r>
        <w:t xml:space="preserve">ortino ratio and </w:t>
      </w:r>
      <w:r w:rsidR="00EB2DCE">
        <w:rPr>
          <w:highlight w:val="white"/>
        </w:rPr>
        <w:t xml:space="preserve">minimum </w:t>
      </w:r>
      <w:r>
        <w:t>CVaR ratio is generally worse than conditions without short-selling. This is because short selling can increase volatility and the chance of significant losses, which makes the portfolios more risky.</w:t>
      </w:r>
    </w:p>
    <w:p w14:paraId="3362BED2" w14:textId="4B8AE518" w:rsidR="00FF5D1A" w:rsidRDefault="00FF5D1A" w:rsidP="00955401">
      <w:pPr>
        <w:pStyle w:val="Caption"/>
      </w:pPr>
      <w:bookmarkStart w:id="23" w:name="_Ref167227853"/>
      <w:r>
        <w:t xml:space="preserve">Table </w:t>
      </w:r>
      <w:r>
        <w:fldChar w:fldCharType="begin"/>
      </w:r>
      <w:r>
        <w:instrText xml:space="preserve"> SEQ Table \* ARABIC </w:instrText>
      </w:r>
      <w:r>
        <w:fldChar w:fldCharType="separate"/>
      </w:r>
      <w:r w:rsidR="002E6614">
        <w:rPr>
          <w:noProof/>
        </w:rPr>
        <w:t>6</w:t>
      </w:r>
      <w:r>
        <w:fldChar w:fldCharType="end"/>
      </w:r>
      <w:bookmarkEnd w:id="23"/>
      <w:r>
        <w:t xml:space="preserve">: </w:t>
      </w:r>
      <w:r w:rsidRPr="00F90CAD">
        <w:t>Average Weights of Optimal Portfolios</w:t>
      </w:r>
    </w:p>
    <w:tbl>
      <w:tblPr>
        <w:tblStyle w:val="a4"/>
        <w:tblW w:w="11985" w:type="dxa"/>
        <w:tblInd w:w="-1320" w:type="dxa"/>
        <w:tblBorders>
          <w:top w:val="nil"/>
          <w:left w:val="nil"/>
          <w:bottom w:val="nil"/>
          <w:right w:val="nil"/>
          <w:insideH w:val="nil"/>
          <w:insideV w:val="nil"/>
        </w:tblBorders>
        <w:tblLayout w:type="fixed"/>
        <w:tblLook w:val="0600" w:firstRow="0" w:lastRow="0" w:firstColumn="0" w:lastColumn="0" w:noHBand="1" w:noVBand="1"/>
      </w:tblPr>
      <w:tblGrid>
        <w:gridCol w:w="1462"/>
        <w:gridCol w:w="1478"/>
        <w:gridCol w:w="1560"/>
        <w:gridCol w:w="1410"/>
        <w:gridCol w:w="1800"/>
        <w:gridCol w:w="1365"/>
        <w:gridCol w:w="1530"/>
        <w:gridCol w:w="1380"/>
      </w:tblGrid>
      <w:tr w:rsidR="00D640F1" w14:paraId="40787007" w14:textId="77777777" w:rsidTr="00AE45BA">
        <w:trPr>
          <w:trHeight w:val="345"/>
        </w:trPr>
        <w:tc>
          <w:tcPr>
            <w:tcW w:w="1462" w:type="dxa"/>
            <w:tcBorders>
              <w:top w:val="single" w:sz="4" w:space="0" w:color="000000"/>
              <w:left w:val="nil"/>
              <w:bottom w:val="single" w:sz="4" w:space="0" w:color="000000"/>
              <w:right w:val="nil"/>
            </w:tcBorders>
            <w:tcMar>
              <w:top w:w="40" w:type="dxa"/>
              <w:left w:w="40" w:type="dxa"/>
              <w:bottom w:w="40" w:type="dxa"/>
              <w:right w:w="40" w:type="dxa"/>
            </w:tcMar>
            <w:vAlign w:val="bottom"/>
          </w:tcPr>
          <w:p w14:paraId="4B8B698F" w14:textId="77777777" w:rsidR="00D640F1" w:rsidRDefault="00D640F1">
            <w:pPr>
              <w:widowControl w:val="0"/>
              <w:spacing w:line="276" w:lineRule="auto"/>
              <w:rPr>
                <w:rFonts w:ascii="Arial" w:eastAsia="Arial" w:hAnsi="Arial" w:cs="Arial"/>
                <w:sz w:val="20"/>
                <w:szCs w:val="20"/>
              </w:rPr>
            </w:pPr>
          </w:p>
        </w:tc>
        <w:tc>
          <w:tcPr>
            <w:tcW w:w="1478" w:type="dxa"/>
            <w:tcBorders>
              <w:top w:val="single" w:sz="4" w:space="0" w:color="000000"/>
              <w:left w:val="nil"/>
              <w:bottom w:val="single" w:sz="4" w:space="0" w:color="000000"/>
              <w:right w:val="nil"/>
            </w:tcBorders>
            <w:tcMar>
              <w:top w:w="40" w:type="dxa"/>
              <w:left w:w="40" w:type="dxa"/>
              <w:bottom w:w="40" w:type="dxa"/>
              <w:right w:w="40" w:type="dxa"/>
            </w:tcMar>
            <w:vAlign w:val="bottom"/>
          </w:tcPr>
          <w:p w14:paraId="3E5D7A47" w14:textId="77777777" w:rsidR="00D640F1" w:rsidRDefault="00000000" w:rsidP="009B5340">
            <w:pPr>
              <w:widowControl w:val="0"/>
              <w:spacing w:line="276" w:lineRule="auto"/>
              <w:jc w:val="center"/>
              <w:rPr>
                <w:rFonts w:ascii="Arial" w:eastAsia="Arial" w:hAnsi="Arial" w:cs="Arial"/>
                <w:sz w:val="20"/>
                <w:szCs w:val="20"/>
              </w:rPr>
            </w:pPr>
            <w:r>
              <w:rPr>
                <w:b/>
                <w:sz w:val="22"/>
                <w:szCs w:val="22"/>
              </w:rPr>
              <w:t>Equal Weight</w:t>
            </w:r>
          </w:p>
        </w:tc>
        <w:tc>
          <w:tcPr>
            <w:tcW w:w="1560" w:type="dxa"/>
            <w:tcBorders>
              <w:top w:val="single" w:sz="4" w:space="0" w:color="000000"/>
              <w:left w:val="nil"/>
              <w:bottom w:val="single" w:sz="4" w:space="0" w:color="000000"/>
              <w:right w:val="nil"/>
            </w:tcBorders>
            <w:tcMar>
              <w:top w:w="40" w:type="dxa"/>
              <w:left w:w="40" w:type="dxa"/>
              <w:bottom w:w="40" w:type="dxa"/>
              <w:right w:w="40" w:type="dxa"/>
            </w:tcMar>
            <w:vAlign w:val="bottom"/>
          </w:tcPr>
          <w:p w14:paraId="2328BBC7" w14:textId="77777777" w:rsidR="00D640F1" w:rsidRDefault="00000000" w:rsidP="009B5340">
            <w:pPr>
              <w:widowControl w:val="0"/>
              <w:spacing w:line="276" w:lineRule="auto"/>
              <w:jc w:val="center"/>
              <w:rPr>
                <w:rFonts w:ascii="Arial" w:eastAsia="Arial" w:hAnsi="Arial" w:cs="Arial"/>
                <w:sz w:val="20"/>
                <w:szCs w:val="20"/>
              </w:rPr>
            </w:pPr>
            <w:r>
              <w:rPr>
                <w:b/>
                <w:sz w:val="22"/>
                <w:szCs w:val="22"/>
              </w:rPr>
              <w:t>Mean-Variance</w:t>
            </w:r>
          </w:p>
        </w:tc>
        <w:tc>
          <w:tcPr>
            <w:tcW w:w="1410" w:type="dxa"/>
            <w:tcBorders>
              <w:top w:val="single" w:sz="4" w:space="0" w:color="000000"/>
              <w:left w:val="nil"/>
              <w:bottom w:val="single" w:sz="4" w:space="0" w:color="000000"/>
              <w:right w:val="nil"/>
            </w:tcBorders>
            <w:tcMar>
              <w:top w:w="40" w:type="dxa"/>
              <w:left w:w="40" w:type="dxa"/>
              <w:bottom w:w="40" w:type="dxa"/>
              <w:right w:w="40" w:type="dxa"/>
            </w:tcMar>
            <w:vAlign w:val="bottom"/>
          </w:tcPr>
          <w:p w14:paraId="6CB88DCB" w14:textId="77777777" w:rsidR="00D640F1" w:rsidRDefault="00000000" w:rsidP="009B5340">
            <w:pPr>
              <w:widowControl w:val="0"/>
              <w:spacing w:line="276" w:lineRule="auto"/>
              <w:jc w:val="center"/>
              <w:rPr>
                <w:rFonts w:ascii="Arial" w:eastAsia="Arial" w:hAnsi="Arial" w:cs="Arial"/>
                <w:sz w:val="20"/>
                <w:szCs w:val="20"/>
              </w:rPr>
            </w:pPr>
            <w:r>
              <w:rPr>
                <w:b/>
                <w:sz w:val="22"/>
                <w:szCs w:val="22"/>
              </w:rPr>
              <w:t>Min Variance</w:t>
            </w:r>
          </w:p>
        </w:tc>
        <w:tc>
          <w:tcPr>
            <w:tcW w:w="1800" w:type="dxa"/>
            <w:tcBorders>
              <w:top w:val="single" w:sz="4" w:space="0" w:color="000000"/>
              <w:left w:val="nil"/>
              <w:bottom w:val="single" w:sz="4" w:space="0" w:color="000000"/>
              <w:right w:val="nil"/>
            </w:tcBorders>
            <w:tcMar>
              <w:top w:w="40" w:type="dxa"/>
              <w:left w:w="40" w:type="dxa"/>
              <w:bottom w:w="40" w:type="dxa"/>
              <w:right w:w="40" w:type="dxa"/>
            </w:tcMar>
            <w:vAlign w:val="bottom"/>
          </w:tcPr>
          <w:p w14:paraId="7F24900A" w14:textId="77777777" w:rsidR="00D640F1" w:rsidRDefault="00000000" w:rsidP="009B5340">
            <w:pPr>
              <w:widowControl w:val="0"/>
              <w:spacing w:line="276" w:lineRule="auto"/>
              <w:jc w:val="center"/>
              <w:rPr>
                <w:rFonts w:ascii="Arial" w:eastAsia="Arial" w:hAnsi="Arial" w:cs="Arial"/>
                <w:sz w:val="20"/>
                <w:szCs w:val="20"/>
              </w:rPr>
            </w:pPr>
            <w:r>
              <w:rPr>
                <w:b/>
                <w:sz w:val="22"/>
                <w:szCs w:val="22"/>
              </w:rPr>
              <w:t>Min Correlation</w:t>
            </w:r>
          </w:p>
        </w:tc>
        <w:tc>
          <w:tcPr>
            <w:tcW w:w="1365" w:type="dxa"/>
            <w:tcBorders>
              <w:top w:val="single" w:sz="4" w:space="0" w:color="000000"/>
              <w:left w:val="nil"/>
              <w:bottom w:val="single" w:sz="4" w:space="0" w:color="000000"/>
              <w:right w:val="nil"/>
            </w:tcBorders>
            <w:tcMar>
              <w:top w:w="40" w:type="dxa"/>
              <w:left w:w="40" w:type="dxa"/>
              <w:bottom w:w="40" w:type="dxa"/>
              <w:right w:w="40" w:type="dxa"/>
            </w:tcMar>
            <w:vAlign w:val="bottom"/>
          </w:tcPr>
          <w:p w14:paraId="38B6D408" w14:textId="77777777" w:rsidR="00D640F1" w:rsidRDefault="00000000" w:rsidP="009B5340">
            <w:pPr>
              <w:widowControl w:val="0"/>
              <w:spacing w:line="276" w:lineRule="auto"/>
              <w:jc w:val="center"/>
              <w:rPr>
                <w:rFonts w:ascii="Arial" w:eastAsia="Arial" w:hAnsi="Arial" w:cs="Arial"/>
                <w:sz w:val="20"/>
                <w:szCs w:val="20"/>
              </w:rPr>
            </w:pPr>
            <w:r>
              <w:rPr>
                <w:b/>
                <w:sz w:val="22"/>
                <w:szCs w:val="22"/>
              </w:rPr>
              <w:t>Sharpe Ratio</w:t>
            </w:r>
          </w:p>
        </w:tc>
        <w:tc>
          <w:tcPr>
            <w:tcW w:w="1530" w:type="dxa"/>
            <w:tcBorders>
              <w:top w:val="single" w:sz="4" w:space="0" w:color="000000"/>
              <w:left w:val="nil"/>
              <w:bottom w:val="single" w:sz="4" w:space="0" w:color="000000"/>
              <w:right w:val="nil"/>
            </w:tcBorders>
            <w:tcMar>
              <w:top w:w="40" w:type="dxa"/>
              <w:left w:w="40" w:type="dxa"/>
              <w:bottom w:w="40" w:type="dxa"/>
              <w:right w:w="40" w:type="dxa"/>
            </w:tcMar>
            <w:vAlign w:val="bottom"/>
          </w:tcPr>
          <w:p w14:paraId="58F10F3F" w14:textId="77777777" w:rsidR="00D640F1" w:rsidRDefault="00000000" w:rsidP="009B5340">
            <w:pPr>
              <w:widowControl w:val="0"/>
              <w:spacing w:line="276" w:lineRule="auto"/>
              <w:jc w:val="center"/>
              <w:rPr>
                <w:rFonts w:ascii="Arial" w:eastAsia="Arial" w:hAnsi="Arial" w:cs="Arial"/>
                <w:sz w:val="20"/>
                <w:szCs w:val="20"/>
              </w:rPr>
            </w:pPr>
            <w:r>
              <w:rPr>
                <w:b/>
                <w:sz w:val="22"/>
                <w:szCs w:val="22"/>
              </w:rPr>
              <w:t>Sortino Ratio</w:t>
            </w:r>
          </w:p>
        </w:tc>
        <w:tc>
          <w:tcPr>
            <w:tcW w:w="1380" w:type="dxa"/>
            <w:tcBorders>
              <w:top w:val="single" w:sz="4" w:space="0" w:color="000000"/>
              <w:left w:val="nil"/>
              <w:bottom w:val="single" w:sz="4" w:space="0" w:color="000000"/>
              <w:right w:val="nil"/>
            </w:tcBorders>
            <w:tcMar>
              <w:top w:w="40" w:type="dxa"/>
              <w:left w:w="40" w:type="dxa"/>
              <w:bottom w:w="40" w:type="dxa"/>
              <w:right w:w="40" w:type="dxa"/>
            </w:tcMar>
            <w:vAlign w:val="bottom"/>
          </w:tcPr>
          <w:p w14:paraId="32E2C3A5" w14:textId="33F069AD" w:rsidR="00D640F1" w:rsidRDefault="00D923C8" w:rsidP="009B5340">
            <w:pPr>
              <w:widowControl w:val="0"/>
              <w:spacing w:line="276" w:lineRule="auto"/>
              <w:jc w:val="center"/>
              <w:rPr>
                <w:rFonts w:ascii="Arial" w:eastAsia="Arial" w:hAnsi="Arial" w:cs="Arial"/>
                <w:sz w:val="20"/>
                <w:szCs w:val="20"/>
              </w:rPr>
            </w:pPr>
            <w:r>
              <w:rPr>
                <w:b/>
                <w:sz w:val="22"/>
                <w:szCs w:val="22"/>
              </w:rPr>
              <w:t>Min CVaR</w:t>
            </w:r>
          </w:p>
        </w:tc>
      </w:tr>
      <w:tr w:rsidR="00D640F1" w14:paraId="15AF0041" w14:textId="77777777">
        <w:trPr>
          <w:trHeight w:val="585"/>
        </w:trPr>
        <w:tc>
          <w:tcPr>
            <w:tcW w:w="11985" w:type="dxa"/>
            <w:gridSpan w:val="8"/>
            <w:tcBorders>
              <w:top w:val="nil"/>
              <w:left w:val="nil"/>
              <w:bottom w:val="nil"/>
              <w:right w:val="nil"/>
            </w:tcBorders>
            <w:shd w:val="clear" w:color="auto" w:fill="auto"/>
            <w:tcMar>
              <w:top w:w="40" w:type="dxa"/>
              <w:left w:w="40" w:type="dxa"/>
              <w:bottom w:w="40" w:type="dxa"/>
              <w:right w:w="40" w:type="dxa"/>
            </w:tcMar>
            <w:vAlign w:val="bottom"/>
          </w:tcPr>
          <w:p w14:paraId="676E8346" w14:textId="77777777" w:rsidR="00D640F1" w:rsidRDefault="00000000">
            <w:pPr>
              <w:widowControl w:val="0"/>
              <w:spacing w:line="276" w:lineRule="auto"/>
              <w:jc w:val="center"/>
              <w:rPr>
                <w:rFonts w:ascii="Arial" w:eastAsia="Arial" w:hAnsi="Arial" w:cs="Arial"/>
                <w:sz w:val="20"/>
                <w:szCs w:val="20"/>
              </w:rPr>
            </w:pPr>
            <w:r>
              <w:rPr>
                <w:b/>
                <w:sz w:val="22"/>
                <w:szCs w:val="22"/>
              </w:rPr>
              <w:t>No short Selling</w:t>
            </w:r>
          </w:p>
        </w:tc>
      </w:tr>
      <w:tr w:rsidR="00D640F1" w14:paraId="7BBF5CF9" w14:textId="77777777" w:rsidTr="00AE45BA">
        <w:trPr>
          <w:trHeight w:val="315"/>
        </w:trPr>
        <w:tc>
          <w:tcPr>
            <w:tcW w:w="1462" w:type="dxa"/>
            <w:tcBorders>
              <w:top w:val="nil"/>
              <w:left w:val="nil"/>
              <w:bottom w:val="nil"/>
              <w:right w:val="nil"/>
            </w:tcBorders>
            <w:tcMar>
              <w:top w:w="40" w:type="dxa"/>
              <w:left w:w="40" w:type="dxa"/>
              <w:bottom w:w="40" w:type="dxa"/>
              <w:right w:w="40" w:type="dxa"/>
            </w:tcMar>
            <w:vAlign w:val="bottom"/>
          </w:tcPr>
          <w:p w14:paraId="75A97FB2" w14:textId="77777777" w:rsidR="00D640F1" w:rsidRDefault="00000000">
            <w:pPr>
              <w:widowControl w:val="0"/>
              <w:spacing w:line="276" w:lineRule="auto"/>
              <w:rPr>
                <w:rFonts w:ascii="Arial" w:eastAsia="Arial" w:hAnsi="Arial" w:cs="Arial"/>
                <w:sz w:val="20"/>
                <w:szCs w:val="20"/>
              </w:rPr>
            </w:pPr>
            <w:r>
              <w:rPr>
                <w:b/>
                <w:sz w:val="22"/>
                <w:szCs w:val="22"/>
              </w:rPr>
              <w:t>Weights</w:t>
            </w:r>
          </w:p>
        </w:tc>
        <w:tc>
          <w:tcPr>
            <w:tcW w:w="1478" w:type="dxa"/>
            <w:tcBorders>
              <w:top w:val="nil"/>
              <w:left w:val="nil"/>
              <w:bottom w:val="nil"/>
              <w:right w:val="nil"/>
            </w:tcBorders>
            <w:tcMar>
              <w:top w:w="40" w:type="dxa"/>
              <w:left w:w="40" w:type="dxa"/>
              <w:bottom w:w="40" w:type="dxa"/>
              <w:right w:w="40" w:type="dxa"/>
            </w:tcMar>
            <w:vAlign w:val="bottom"/>
          </w:tcPr>
          <w:p w14:paraId="0294D7D0" w14:textId="77777777" w:rsidR="00D640F1" w:rsidRDefault="00D640F1">
            <w:pPr>
              <w:widowControl w:val="0"/>
              <w:spacing w:line="276" w:lineRule="auto"/>
              <w:rPr>
                <w:rFonts w:ascii="Arial" w:eastAsia="Arial" w:hAnsi="Arial" w:cs="Arial"/>
                <w:sz w:val="20"/>
                <w:szCs w:val="20"/>
              </w:rPr>
            </w:pPr>
          </w:p>
        </w:tc>
        <w:tc>
          <w:tcPr>
            <w:tcW w:w="1560" w:type="dxa"/>
            <w:tcBorders>
              <w:top w:val="nil"/>
              <w:left w:val="nil"/>
              <w:bottom w:val="nil"/>
              <w:right w:val="nil"/>
            </w:tcBorders>
            <w:tcMar>
              <w:top w:w="40" w:type="dxa"/>
              <w:left w:w="40" w:type="dxa"/>
              <w:bottom w:w="40" w:type="dxa"/>
              <w:right w:w="40" w:type="dxa"/>
            </w:tcMar>
            <w:vAlign w:val="bottom"/>
          </w:tcPr>
          <w:p w14:paraId="2327FBB0" w14:textId="77777777" w:rsidR="00D640F1" w:rsidRDefault="00D640F1">
            <w:pPr>
              <w:widowControl w:val="0"/>
              <w:spacing w:line="276" w:lineRule="auto"/>
              <w:rPr>
                <w:rFonts w:ascii="Arial" w:eastAsia="Arial" w:hAnsi="Arial" w:cs="Arial"/>
                <w:sz w:val="20"/>
                <w:szCs w:val="20"/>
              </w:rPr>
            </w:pPr>
          </w:p>
        </w:tc>
        <w:tc>
          <w:tcPr>
            <w:tcW w:w="1410" w:type="dxa"/>
            <w:tcBorders>
              <w:top w:val="nil"/>
              <w:left w:val="nil"/>
              <w:bottom w:val="nil"/>
              <w:right w:val="nil"/>
            </w:tcBorders>
            <w:tcMar>
              <w:top w:w="40" w:type="dxa"/>
              <w:left w:w="40" w:type="dxa"/>
              <w:bottom w:w="40" w:type="dxa"/>
              <w:right w:w="40" w:type="dxa"/>
            </w:tcMar>
            <w:vAlign w:val="bottom"/>
          </w:tcPr>
          <w:p w14:paraId="4FEF6076" w14:textId="77777777" w:rsidR="00D640F1" w:rsidRDefault="00D640F1">
            <w:pPr>
              <w:widowControl w:val="0"/>
              <w:spacing w:line="276" w:lineRule="auto"/>
              <w:rPr>
                <w:rFonts w:ascii="Arial" w:eastAsia="Arial" w:hAnsi="Arial" w:cs="Arial"/>
                <w:sz w:val="20"/>
                <w:szCs w:val="20"/>
              </w:rPr>
            </w:pPr>
          </w:p>
        </w:tc>
        <w:tc>
          <w:tcPr>
            <w:tcW w:w="1800" w:type="dxa"/>
            <w:tcBorders>
              <w:top w:val="nil"/>
              <w:left w:val="nil"/>
              <w:bottom w:val="nil"/>
              <w:right w:val="nil"/>
            </w:tcBorders>
            <w:tcMar>
              <w:top w:w="40" w:type="dxa"/>
              <w:left w:w="40" w:type="dxa"/>
              <w:bottom w:w="40" w:type="dxa"/>
              <w:right w:w="40" w:type="dxa"/>
            </w:tcMar>
            <w:vAlign w:val="bottom"/>
          </w:tcPr>
          <w:p w14:paraId="2D547153" w14:textId="77777777" w:rsidR="00D640F1" w:rsidRDefault="00D640F1">
            <w:pPr>
              <w:widowControl w:val="0"/>
              <w:spacing w:line="276" w:lineRule="auto"/>
              <w:rPr>
                <w:rFonts w:ascii="Arial" w:eastAsia="Arial" w:hAnsi="Arial" w:cs="Arial"/>
                <w:sz w:val="20"/>
                <w:szCs w:val="20"/>
              </w:rPr>
            </w:pPr>
          </w:p>
        </w:tc>
        <w:tc>
          <w:tcPr>
            <w:tcW w:w="1365" w:type="dxa"/>
            <w:tcBorders>
              <w:top w:val="nil"/>
              <w:left w:val="nil"/>
              <w:bottom w:val="nil"/>
              <w:right w:val="nil"/>
            </w:tcBorders>
            <w:tcMar>
              <w:top w:w="40" w:type="dxa"/>
              <w:left w:w="40" w:type="dxa"/>
              <w:bottom w:w="40" w:type="dxa"/>
              <w:right w:w="40" w:type="dxa"/>
            </w:tcMar>
            <w:vAlign w:val="bottom"/>
          </w:tcPr>
          <w:p w14:paraId="1B8C4A8E" w14:textId="77777777" w:rsidR="00D640F1" w:rsidRDefault="00D640F1">
            <w:pPr>
              <w:widowControl w:val="0"/>
              <w:spacing w:line="276" w:lineRule="auto"/>
              <w:rPr>
                <w:rFonts w:ascii="Arial" w:eastAsia="Arial" w:hAnsi="Arial" w:cs="Arial"/>
                <w:sz w:val="20"/>
                <w:szCs w:val="20"/>
              </w:rPr>
            </w:pPr>
          </w:p>
        </w:tc>
        <w:tc>
          <w:tcPr>
            <w:tcW w:w="1530" w:type="dxa"/>
            <w:tcBorders>
              <w:top w:val="nil"/>
              <w:left w:val="nil"/>
              <w:bottom w:val="nil"/>
              <w:right w:val="nil"/>
            </w:tcBorders>
            <w:tcMar>
              <w:top w:w="40" w:type="dxa"/>
              <w:left w:w="40" w:type="dxa"/>
              <w:bottom w:w="40" w:type="dxa"/>
              <w:right w:w="40" w:type="dxa"/>
            </w:tcMar>
            <w:vAlign w:val="bottom"/>
          </w:tcPr>
          <w:p w14:paraId="7014F569" w14:textId="77777777" w:rsidR="00D640F1" w:rsidRDefault="00D640F1">
            <w:pPr>
              <w:widowControl w:val="0"/>
              <w:spacing w:line="276" w:lineRule="auto"/>
              <w:rPr>
                <w:rFonts w:ascii="Arial" w:eastAsia="Arial" w:hAnsi="Arial" w:cs="Arial"/>
                <w:sz w:val="20"/>
                <w:szCs w:val="20"/>
              </w:rPr>
            </w:pPr>
          </w:p>
        </w:tc>
        <w:tc>
          <w:tcPr>
            <w:tcW w:w="1380" w:type="dxa"/>
            <w:tcBorders>
              <w:top w:val="nil"/>
              <w:left w:val="nil"/>
              <w:bottom w:val="nil"/>
              <w:right w:val="nil"/>
            </w:tcBorders>
            <w:tcMar>
              <w:top w:w="40" w:type="dxa"/>
              <w:left w:w="40" w:type="dxa"/>
              <w:bottom w:w="40" w:type="dxa"/>
              <w:right w:w="40" w:type="dxa"/>
            </w:tcMar>
            <w:vAlign w:val="bottom"/>
          </w:tcPr>
          <w:p w14:paraId="6F17B673" w14:textId="77777777" w:rsidR="00D640F1" w:rsidRDefault="00D640F1">
            <w:pPr>
              <w:widowControl w:val="0"/>
              <w:spacing w:line="276" w:lineRule="auto"/>
              <w:rPr>
                <w:rFonts w:ascii="Arial" w:eastAsia="Arial" w:hAnsi="Arial" w:cs="Arial"/>
                <w:sz w:val="20"/>
                <w:szCs w:val="20"/>
              </w:rPr>
            </w:pPr>
          </w:p>
        </w:tc>
      </w:tr>
      <w:tr w:rsidR="00994638" w14:paraId="6DDC9220" w14:textId="77777777" w:rsidTr="00ED7213">
        <w:trPr>
          <w:trHeight w:val="315"/>
        </w:trPr>
        <w:tc>
          <w:tcPr>
            <w:tcW w:w="1462" w:type="dxa"/>
            <w:tcBorders>
              <w:top w:val="nil"/>
              <w:left w:val="nil"/>
              <w:bottom w:val="nil"/>
              <w:right w:val="nil"/>
            </w:tcBorders>
            <w:tcMar>
              <w:top w:w="40" w:type="dxa"/>
              <w:left w:w="40" w:type="dxa"/>
              <w:bottom w:w="40" w:type="dxa"/>
              <w:right w:w="40" w:type="dxa"/>
            </w:tcMar>
            <w:vAlign w:val="bottom"/>
          </w:tcPr>
          <w:p w14:paraId="775EBEC1" w14:textId="77777777" w:rsidR="00994638" w:rsidRDefault="00994638" w:rsidP="00994638">
            <w:pPr>
              <w:widowControl w:val="0"/>
              <w:spacing w:line="276" w:lineRule="auto"/>
              <w:rPr>
                <w:rFonts w:ascii="Arial" w:eastAsia="Arial" w:hAnsi="Arial" w:cs="Arial"/>
                <w:sz w:val="20"/>
                <w:szCs w:val="20"/>
              </w:rPr>
            </w:pPr>
            <w:r>
              <w:rPr>
                <w:sz w:val="22"/>
                <w:szCs w:val="22"/>
              </w:rPr>
              <w:t>Metal</w:t>
            </w:r>
          </w:p>
        </w:tc>
        <w:tc>
          <w:tcPr>
            <w:tcW w:w="1478" w:type="dxa"/>
            <w:tcBorders>
              <w:top w:val="nil"/>
              <w:left w:val="nil"/>
              <w:bottom w:val="nil"/>
              <w:right w:val="nil"/>
            </w:tcBorders>
            <w:tcMar>
              <w:top w:w="40" w:type="dxa"/>
              <w:left w:w="40" w:type="dxa"/>
              <w:bottom w:w="40" w:type="dxa"/>
              <w:right w:w="40" w:type="dxa"/>
            </w:tcMar>
          </w:tcPr>
          <w:p w14:paraId="08C8ED86" w14:textId="470C31FC" w:rsidR="00994638" w:rsidRDefault="00994638" w:rsidP="00AE72A5">
            <w:pPr>
              <w:widowControl w:val="0"/>
              <w:spacing w:line="276" w:lineRule="auto"/>
              <w:jc w:val="center"/>
              <w:rPr>
                <w:rFonts w:ascii="Arial" w:eastAsia="Arial" w:hAnsi="Arial" w:cs="Arial"/>
                <w:sz w:val="20"/>
                <w:szCs w:val="20"/>
              </w:rPr>
            </w:pPr>
            <w:r w:rsidRPr="00D61A23">
              <w:t>33.33%</w:t>
            </w:r>
          </w:p>
        </w:tc>
        <w:tc>
          <w:tcPr>
            <w:tcW w:w="1560" w:type="dxa"/>
            <w:tcBorders>
              <w:top w:val="nil"/>
              <w:left w:val="nil"/>
              <w:bottom w:val="nil"/>
              <w:right w:val="nil"/>
            </w:tcBorders>
            <w:tcMar>
              <w:top w:w="40" w:type="dxa"/>
              <w:left w:w="40" w:type="dxa"/>
              <w:bottom w:w="40" w:type="dxa"/>
              <w:right w:w="40" w:type="dxa"/>
            </w:tcMar>
          </w:tcPr>
          <w:p w14:paraId="1F4CE774" w14:textId="55B79EB7" w:rsidR="00994638" w:rsidRDefault="00994638" w:rsidP="00AE72A5">
            <w:pPr>
              <w:widowControl w:val="0"/>
              <w:spacing w:line="276" w:lineRule="auto"/>
              <w:jc w:val="center"/>
              <w:rPr>
                <w:rFonts w:ascii="Arial" w:eastAsia="Arial" w:hAnsi="Arial" w:cs="Arial"/>
                <w:sz w:val="20"/>
                <w:szCs w:val="20"/>
              </w:rPr>
            </w:pPr>
            <w:r w:rsidRPr="00D61A23">
              <w:t>58.25%</w:t>
            </w:r>
          </w:p>
        </w:tc>
        <w:tc>
          <w:tcPr>
            <w:tcW w:w="1410" w:type="dxa"/>
            <w:tcBorders>
              <w:top w:val="nil"/>
              <w:left w:val="nil"/>
              <w:bottom w:val="nil"/>
              <w:right w:val="nil"/>
            </w:tcBorders>
            <w:tcMar>
              <w:top w:w="40" w:type="dxa"/>
              <w:left w:w="40" w:type="dxa"/>
              <w:bottom w:w="40" w:type="dxa"/>
              <w:right w:w="40" w:type="dxa"/>
            </w:tcMar>
          </w:tcPr>
          <w:p w14:paraId="64580256" w14:textId="34CC967C" w:rsidR="00994638" w:rsidRDefault="00994638" w:rsidP="00AE72A5">
            <w:pPr>
              <w:widowControl w:val="0"/>
              <w:spacing w:line="276" w:lineRule="auto"/>
              <w:jc w:val="center"/>
              <w:rPr>
                <w:rFonts w:ascii="Arial" w:eastAsia="Arial" w:hAnsi="Arial" w:cs="Arial"/>
                <w:sz w:val="20"/>
                <w:szCs w:val="20"/>
              </w:rPr>
            </w:pPr>
            <w:r w:rsidRPr="00D61A23">
              <w:t>36.62%</w:t>
            </w:r>
          </w:p>
        </w:tc>
        <w:tc>
          <w:tcPr>
            <w:tcW w:w="1800" w:type="dxa"/>
            <w:tcBorders>
              <w:top w:val="nil"/>
              <w:left w:val="nil"/>
              <w:bottom w:val="nil"/>
              <w:right w:val="nil"/>
            </w:tcBorders>
            <w:tcMar>
              <w:top w:w="40" w:type="dxa"/>
              <w:left w:w="40" w:type="dxa"/>
              <w:bottom w:w="40" w:type="dxa"/>
              <w:right w:w="40" w:type="dxa"/>
            </w:tcMar>
          </w:tcPr>
          <w:p w14:paraId="1F5E9C19" w14:textId="06FA9B4C" w:rsidR="00994638" w:rsidRDefault="00994638" w:rsidP="00AE72A5">
            <w:pPr>
              <w:widowControl w:val="0"/>
              <w:spacing w:line="276" w:lineRule="auto"/>
              <w:jc w:val="center"/>
              <w:rPr>
                <w:rFonts w:ascii="Arial" w:eastAsia="Arial" w:hAnsi="Arial" w:cs="Arial"/>
                <w:sz w:val="20"/>
                <w:szCs w:val="20"/>
              </w:rPr>
            </w:pPr>
            <w:r w:rsidRPr="00D61A23">
              <w:t>32.19%</w:t>
            </w:r>
          </w:p>
        </w:tc>
        <w:tc>
          <w:tcPr>
            <w:tcW w:w="1365" w:type="dxa"/>
            <w:tcBorders>
              <w:top w:val="nil"/>
              <w:left w:val="nil"/>
              <w:bottom w:val="nil"/>
              <w:right w:val="nil"/>
            </w:tcBorders>
            <w:tcMar>
              <w:top w:w="40" w:type="dxa"/>
              <w:left w:w="40" w:type="dxa"/>
              <w:bottom w:w="40" w:type="dxa"/>
              <w:right w:w="40" w:type="dxa"/>
            </w:tcMar>
          </w:tcPr>
          <w:p w14:paraId="0B97326B" w14:textId="2AFFC512" w:rsidR="00994638" w:rsidRDefault="00994638" w:rsidP="00AE72A5">
            <w:pPr>
              <w:widowControl w:val="0"/>
              <w:spacing w:line="276" w:lineRule="auto"/>
              <w:jc w:val="center"/>
              <w:rPr>
                <w:rFonts w:ascii="Arial" w:eastAsia="Arial" w:hAnsi="Arial" w:cs="Arial"/>
                <w:sz w:val="20"/>
                <w:szCs w:val="20"/>
              </w:rPr>
            </w:pPr>
            <w:r w:rsidRPr="00D61A23">
              <w:t>0.41%</w:t>
            </w:r>
          </w:p>
        </w:tc>
        <w:tc>
          <w:tcPr>
            <w:tcW w:w="1530" w:type="dxa"/>
            <w:tcBorders>
              <w:top w:val="nil"/>
              <w:left w:val="nil"/>
              <w:bottom w:val="nil"/>
              <w:right w:val="nil"/>
            </w:tcBorders>
            <w:tcMar>
              <w:top w:w="40" w:type="dxa"/>
              <w:left w:w="40" w:type="dxa"/>
              <w:bottom w:w="40" w:type="dxa"/>
              <w:right w:w="40" w:type="dxa"/>
            </w:tcMar>
          </w:tcPr>
          <w:p w14:paraId="4275E35A" w14:textId="4DFA645F" w:rsidR="00994638" w:rsidRDefault="00994638" w:rsidP="00AE72A5">
            <w:pPr>
              <w:widowControl w:val="0"/>
              <w:spacing w:line="276" w:lineRule="auto"/>
              <w:jc w:val="center"/>
              <w:rPr>
                <w:rFonts w:ascii="Arial" w:eastAsia="Arial" w:hAnsi="Arial" w:cs="Arial"/>
                <w:sz w:val="20"/>
                <w:szCs w:val="20"/>
              </w:rPr>
            </w:pPr>
            <w:r w:rsidRPr="00D61A23">
              <w:t>0.02%</w:t>
            </w:r>
          </w:p>
        </w:tc>
        <w:tc>
          <w:tcPr>
            <w:tcW w:w="1380" w:type="dxa"/>
            <w:tcBorders>
              <w:top w:val="nil"/>
              <w:left w:val="nil"/>
              <w:bottom w:val="nil"/>
              <w:right w:val="nil"/>
            </w:tcBorders>
            <w:tcMar>
              <w:top w:w="40" w:type="dxa"/>
              <w:left w:w="40" w:type="dxa"/>
              <w:bottom w:w="40" w:type="dxa"/>
              <w:right w:w="40" w:type="dxa"/>
            </w:tcMar>
          </w:tcPr>
          <w:p w14:paraId="3F9FBB2D" w14:textId="2A59F39A" w:rsidR="00994638" w:rsidRDefault="00994638" w:rsidP="00AE72A5">
            <w:pPr>
              <w:widowControl w:val="0"/>
              <w:spacing w:line="276" w:lineRule="auto"/>
              <w:jc w:val="center"/>
              <w:rPr>
                <w:rFonts w:ascii="Arial" w:eastAsia="Arial" w:hAnsi="Arial" w:cs="Arial"/>
                <w:sz w:val="20"/>
                <w:szCs w:val="20"/>
              </w:rPr>
            </w:pPr>
            <w:r w:rsidRPr="00D61A23">
              <w:t>17.37%</w:t>
            </w:r>
          </w:p>
        </w:tc>
      </w:tr>
      <w:tr w:rsidR="00994638" w14:paraId="197B7487" w14:textId="77777777" w:rsidTr="00ED7213">
        <w:trPr>
          <w:trHeight w:val="315"/>
        </w:trPr>
        <w:tc>
          <w:tcPr>
            <w:tcW w:w="1462" w:type="dxa"/>
            <w:tcBorders>
              <w:top w:val="nil"/>
              <w:left w:val="nil"/>
              <w:bottom w:val="nil"/>
              <w:right w:val="nil"/>
            </w:tcBorders>
            <w:tcMar>
              <w:top w:w="40" w:type="dxa"/>
              <w:left w:w="40" w:type="dxa"/>
              <w:bottom w:w="40" w:type="dxa"/>
              <w:right w:w="40" w:type="dxa"/>
            </w:tcMar>
            <w:vAlign w:val="bottom"/>
          </w:tcPr>
          <w:p w14:paraId="41DEBB3A" w14:textId="27019762" w:rsidR="00994638" w:rsidRDefault="006442CF" w:rsidP="00994638">
            <w:pPr>
              <w:widowControl w:val="0"/>
              <w:spacing w:line="276" w:lineRule="auto"/>
              <w:rPr>
                <w:rFonts w:ascii="Arial" w:eastAsia="Arial" w:hAnsi="Arial" w:cs="Arial"/>
                <w:sz w:val="20"/>
                <w:szCs w:val="20"/>
              </w:rPr>
            </w:pPr>
            <w:r>
              <w:rPr>
                <w:sz w:val="22"/>
                <w:szCs w:val="22"/>
              </w:rPr>
              <w:t>Energy</w:t>
            </w:r>
          </w:p>
        </w:tc>
        <w:tc>
          <w:tcPr>
            <w:tcW w:w="1478" w:type="dxa"/>
            <w:tcBorders>
              <w:top w:val="nil"/>
              <w:left w:val="nil"/>
              <w:bottom w:val="nil"/>
              <w:right w:val="nil"/>
            </w:tcBorders>
            <w:tcMar>
              <w:top w:w="40" w:type="dxa"/>
              <w:left w:w="40" w:type="dxa"/>
              <w:bottom w:w="40" w:type="dxa"/>
              <w:right w:w="40" w:type="dxa"/>
            </w:tcMar>
          </w:tcPr>
          <w:p w14:paraId="18C1859A" w14:textId="408CCA4A" w:rsidR="00994638" w:rsidRDefault="00994638" w:rsidP="00AE72A5">
            <w:pPr>
              <w:widowControl w:val="0"/>
              <w:spacing w:line="276" w:lineRule="auto"/>
              <w:jc w:val="center"/>
              <w:rPr>
                <w:rFonts w:ascii="Arial" w:eastAsia="Arial" w:hAnsi="Arial" w:cs="Arial"/>
                <w:sz w:val="20"/>
                <w:szCs w:val="20"/>
              </w:rPr>
            </w:pPr>
            <w:r w:rsidRPr="00D61A23">
              <w:t>33.33%</w:t>
            </w:r>
          </w:p>
        </w:tc>
        <w:tc>
          <w:tcPr>
            <w:tcW w:w="1560" w:type="dxa"/>
            <w:tcBorders>
              <w:top w:val="nil"/>
              <w:left w:val="nil"/>
              <w:bottom w:val="nil"/>
              <w:right w:val="nil"/>
            </w:tcBorders>
            <w:tcMar>
              <w:top w:w="40" w:type="dxa"/>
              <w:left w:w="40" w:type="dxa"/>
              <w:bottom w:w="40" w:type="dxa"/>
              <w:right w:w="40" w:type="dxa"/>
            </w:tcMar>
          </w:tcPr>
          <w:p w14:paraId="532F1D24" w14:textId="55BCF9AA" w:rsidR="00994638" w:rsidRDefault="00994638" w:rsidP="00AE72A5">
            <w:pPr>
              <w:widowControl w:val="0"/>
              <w:spacing w:line="276" w:lineRule="auto"/>
              <w:jc w:val="center"/>
              <w:rPr>
                <w:rFonts w:ascii="Arial" w:eastAsia="Arial" w:hAnsi="Arial" w:cs="Arial"/>
                <w:sz w:val="20"/>
                <w:szCs w:val="20"/>
              </w:rPr>
            </w:pPr>
            <w:r w:rsidRPr="00D61A23">
              <w:t>39.73%</w:t>
            </w:r>
          </w:p>
        </w:tc>
        <w:tc>
          <w:tcPr>
            <w:tcW w:w="1410" w:type="dxa"/>
            <w:tcBorders>
              <w:top w:val="nil"/>
              <w:left w:val="nil"/>
              <w:bottom w:val="nil"/>
              <w:right w:val="nil"/>
            </w:tcBorders>
            <w:tcMar>
              <w:top w:w="40" w:type="dxa"/>
              <w:left w:w="40" w:type="dxa"/>
              <w:bottom w:w="40" w:type="dxa"/>
              <w:right w:w="40" w:type="dxa"/>
            </w:tcMar>
          </w:tcPr>
          <w:p w14:paraId="517DD0C2" w14:textId="4462A995" w:rsidR="00994638" w:rsidRDefault="00994638" w:rsidP="00AE72A5">
            <w:pPr>
              <w:widowControl w:val="0"/>
              <w:spacing w:line="276" w:lineRule="auto"/>
              <w:jc w:val="center"/>
              <w:rPr>
                <w:rFonts w:ascii="Arial" w:eastAsia="Arial" w:hAnsi="Arial" w:cs="Arial"/>
                <w:sz w:val="20"/>
                <w:szCs w:val="20"/>
              </w:rPr>
            </w:pPr>
            <w:r w:rsidRPr="00D61A23">
              <w:t>9.98%</w:t>
            </w:r>
          </w:p>
        </w:tc>
        <w:tc>
          <w:tcPr>
            <w:tcW w:w="1800" w:type="dxa"/>
            <w:tcBorders>
              <w:top w:val="nil"/>
              <w:left w:val="nil"/>
              <w:bottom w:val="nil"/>
              <w:right w:val="nil"/>
            </w:tcBorders>
            <w:tcMar>
              <w:top w:w="40" w:type="dxa"/>
              <w:left w:w="40" w:type="dxa"/>
              <w:bottom w:w="40" w:type="dxa"/>
              <w:right w:w="40" w:type="dxa"/>
            </w:tcMar>
          </w:tcPr>
          <w:p w14:paraId="62BE84C8" w14:textId="4E700AF0" w:rsidR="00994638" w:rsidRDefault="00994638" w:rsidP="00AE72A5">
            <w:pPr>
              <w:widowControl w:val="0"/>
              <w:spacing w:line="276" w:lineRule="auto"/>
              <w:jc w:val="center"/>
              <w:rPr>
                <w:rFonts w:ascii="Arial" w:eastAsia="Arial" w:hAnsi="Arial" w:cs="Arial"/>
                <w:sz w:val="20"/>
                <w:szCs w:val="20"/>
              </w:rPr>
            </w:pPr>
            <w:r w:rsidRPr="00D61A23">
              <w:t>34.51%</w:t>
            </w:r>
          </w:p>
        </w:tc>
        <w:tc>
          <w:tcPr>
            <w:tcW w:w="1365" w:type="dxa"/>
            <w:tcBorders>
              <w:top w:val="nil"/>
              <w:left w:val="nil"/>
              <w:bottom w:val="nil"/>
              <w:right w:val="nil"/>
            </w:tcBorders>
            <w:tcMar>
              <w:top w:w="40" w:type="dxa"/>
              <w:left w:w="40" w:type="dxa"/>
              <w:bottom w:w="40" w:type="dxa"/>
              <w:right w:w="40" w:type="dxa"/>
            </w:tcMar>
          </w:tcPr>
          <w:p w14:paraId="41F8D27C" w14:textId="7FCD5254" w:rsidR="00994638" w:rsidRDefault="00994638" w:rsidP="00AE72A5">
            <w:pPr>
              <w:widowControl w:val="0"/>
              <w:spacing w:line="276" w:lineRule="auto"/>
              <w:jc w:val="center"/>
              <w:rPr>
                <w:rFonts w:ascii="Arial" w:eastAsia="Arial" w:hAnsi="Arial" w:cs="Arial"/>
                <w:sz w:val="20"/>
                <w:szCs w:val="20"/>
              </w:rPr>
            </w:pPr>
            <w:r w:rsidRPr="00D61A23">
              <w:t>99.59%</w:t>
            </w:r>
          </w:p>
        </w:tc>
        <w:tc>
          <w:tcPr>
            <w:tcW w:w="1530" w:type="dxa"/>
            <w:tcBorders>
              <w:top w:val="nil"/>
              <w:left w:val="nil"/>
              <w:bottom w:val="nil"/>
              <w:right w:val="nil"/>
            </w:tcBorders>
            <w:tcMar>
              <w:top w:w="40" w:type="dxa"/>
              <w:left w:w="40" w:type="dxa"/>
              <w:bottom w:w="40" w:type="dxa"/>
              <w:right w:w="40" w:type="dxa"/>
            </w:tcMar>
          </w:tcPr>
          <w:p w14:paraId="01AFB31F" w14:textId="5D37B06A" w:rsidR="00994638" w:rsidRDefault="00994638" w:rsidP="00AE72A5">
            <w:pPr>
              <w:widowControl w:val="0"/>
              <w:spacing w:line="276" w:lineRule="auto"/>
              <w:jc w:val="center"/>
              <w:rPr>
                <w:rFonts w:ascii="Arial" w:eastAsia="Arial" w:hAnsi="Arial" w:cs="Arial"/>
                <w:sz w:val="20"/>
                <w:szCs w:val="20"/>
              </w:rPr>
            </w:pPr>
            <w:r w:rsidRPr="00D61A23">
              <w:t>99.98%</w:t>
            </w:r>
          </w:p>
        </w:tc>
        <w:tc>
          <w:tcPr>
            <w:tcW w:w="1380" w:type="dxa"/>
            <w:tcBorders>
              <w:top w:val="nil"/>
              <w:left w:val="nil"/>
              <w:bottom w:val="nil"/>
              <w:right w:val="nil"/>
            </w:tcBorders>
            <w:tcMar>
              <w:top w:w="40" w:type="dxa"/>
              <w:left w:w="40" w:type="dxa"/>
              <w:bottom w:w="40" w:type="dxa"/>
              <w:right w:w="40" w:type="dxa"/>
            </w:tcMar>
          </w:tcPr>
          <w:p w14:paraId="4C775818" w14:textId="587A3FB8" w:rsidR="00994638" w:rsidRDefault="00994638" w:rsidP="00AE72A5">
            <w:pPr>
              <w:widowControl w:val="0"/>
              <w:spacing w:line="276" w:lineRule="auto"/>
              <w:jc w:val="center"/>
              <w:rPr>
                <w:rFonts w:ascii="Arial" w:eastAsia="Arial" w:hAnsi="Arial" w:cs="Arial"/>
                <w:sz w:val="20"/>
                <w:szCs w:val="20"/>
              </w:rPr>
            </w:pPr>
            <w:r w:rsidRPr="00D61A23">
              <w:t>71.35%</w:t>
            </w:r>
          </w:p>
        </w:tc>
      </w:tr>
      <w:tr w:rsidR="00994638" w14:paraId="1C3CB412" w14:textId="77777777" w:rsidTr="00ED7213">
        <w:trPr>
          <w:trHeight w:val="315"/>
        </w:trPr>
        <w:tc>
          <w:tcPr>
            <w:tcW w:w="1462" w:type="dxa"/>
            <w:tcBorders>
              <w:top w:val="nil"/>
              <w:left w:val="nil"/>
              <w:bottom w:val="nil"/>
              <w:right w:val="nil"/>
            </w:tcBorders>
            <w:tcMar>
              <w:top w:w="40" w:type="dxa"/>
              <w:left w:w="40" w:type="dxa"/>
              <w:bottom w:w="40" w:type="dxa"/>
              <w:right w:w="40" w:type="dxa"/>
            </w:tcMar>
            <w:vAlign w:val="bottom"/>
          </w:tcPr>
          <w:p w14:paraId="3032276D" w14:textId="77777777" w:rsidR="00994638" w:rsidRDefault="00994638" w:rsidP="00994638">
            <w:pPr>
              <w:widowControl w:val="0"/>
              <w:spacing w:line="276" w:lineRule="auto"/>
              <w:rPr>
                <w:rFonts w:ascii="Arial" w:eastAsia="Arial" w:hAnsi="Arial" w:cs="Arial"/>
                <w:sz w:val="20"/>
                <w:szCs w:val="20"/>
              </w:rPr>
            </w:pPr>
            <w:r>
              <w:rPr>
                <w:sz w:val="22"/>
                <w:szCs w:val="22"/>
              </w:rPr>
              <w:t>Agricultural</w:t>
            </w:r>
          </w:p>
        </w:tc>
        <w:tc>
          <w:tcPr>
            <w:tcW w:w="1478" w:type="dxa"/>
            <w:tcBorders>
              <w:top w:val="nil"/>
              <w:left w:val="nil"/>
              <w:bottom w:val="nil"/>
              <w:right w:val="nil"/>
            </w:tcBorders>
            <w:tcMar>
              <w:top w:w="40" w:type="dxa"/>
              <w:left w:w="40" w:type="dxa"/>
              <w:bottom w:w="40" w:type="dxa"/>
              <w:right w:w="40" w:type="dxa"/>
            </w:tcMar>
          </w:tcPr>
          <w:p w14:paraId="0F1F45E9" w14:textId="32DB388F" w:rsidR="00994638" w:rsidRDefault="00994638" w:rsidP="00AE72A5">
            <w:pPr>
              <w:widowControl w:val="0"/>
              <w:spacing w:line="276" w:lineRule="auto"/>
              <w:jc w:val="center"/>
              <w:rPr>
                <w:rFonts w:ascii="Arial" w:eastAsia="Arial" w:hAnsi="Arial" w:cs="Arial"/>
                <w:sz w:val="20"/>
                <w:szCs w:val="20"/>
              </w:rPr>
            </w:pPr>
            <w:r w:rsidRPr="00D61A23">
              <w:t>33.33%</w:t>
            </w:r>
          </w:p>
        </w:tc>
        <w:tc>
          <w:tcPr>
            <w:tcW w:w="1560" w:type="dxa"/>
            <w:tcBorders>
              <w:top w:val="nil"/>
              <w:left w:val="nil"/>
              <w:bottom w:val="nil"/>
              <w:right w:val="nil"/>
            </w:tcBorders>
            <w:tcMar>
              <w:top w:w="40" w:type="dxa"/>
              <w:left w:w="40" w:type="dxa"/>
              <w:bottom w:w="40" w:type="dxa"/>
              <w:right w:w="40" w:type="dxa"/>
            </w:tcMar>
          </w:tcPr>
          <w:p w14:paraId="3DC9AFCC" w14:textId="17614AF1" w:rsidR="00994638" w:rsidRDefault="00994638" w:rsidP="00AE72A5">
            <w:pPr>
              <w:widowControl w:val="0"/>
              <w:spacing w:line="276" w:lineRule="auto"/>
              <w:jc w:val="center"/>
              <w:rPr>
                <w:rFonts w:ascii="Arial" w:eastAsia="Arial" w:hAnsi="Arial" w:cs="Arial"/>
                <w:sz w:val="20"/>
                <w:szCs w:val="20"/>
              </w:rPr>
            </w:pPr>
            <w:r w:rsidRPr="00D61A23">
              <w:t>2.02%</w:t>
            </w:r>
          </w:p>
        </w:tc>
        <w:tc>
          <w:tcPr>
            <w:tcW w:w="1410" w:type="dxa"/>
            <w:tcBorders>
              <w:top w:val="nil"/>
              <w:left w:val="nil"/>
              <w:bottom w:val="nil"/>
              <w:right w:val="nil"/>
            </w:tcBorders>
            <w:tcMar>
              <w:top w:w="40" w:type="dxa"/>
              <w:left w:w="40" w:type="dxa"/>
              <w:bottom w:w="40" w:type="dxa"/>
              <w:right w:w="40" w:type="dxa"/>
            </w:tcMar>
          </w:tcPr>
          <w:p w14:paraId="7D69E8C4" w14:textId="233EBDE7" w:rsidR="00994638" w:rsidRDefault="00994638" w:rsidP="00AE72A5">
            <w:pPr>
              <w:widowControl w:val="0"/>
              <w:spacing w:line="276" w:lineRule="auto"/>
              <w:jc w:val="center"/>
              <w:rPr>
                <w:rFonts w:ascii="Arial" w:eastAsia="Arial" w:hAnsi="Arial" w:cs="Arial"/>
                <w:sz w:val="20"/>
                <w:szCs w:val="20"/>
              </w:rPr>
            </w:pPr>
            <w:r w:rsidRPr="00D61A23">
              <w:t>53.41%</w:t>
            </w:r>
          </w:p>
        </w:tc>
        <w:tc>
          <w:tcPr>
            <w:tcW w:w="1800" w:type="dxa"/>
            <w:tcBorders>
              <w:top w:val="nil"/>
              <w:left w:val="nil"/>
              <w:bottom w:val="nil"/>
              <w:right w:val="nil"/>
            </w:tcBorders>
            <w:tcMar>
              <w:top w:w="40" w:type="dxa"/>
              <w:left w:w="40" w:type="dxa"/>
              <w:bottom w:w="40" w:type="dxa"/>
              <w:right w:w="40" w:type="dxa"/>
            </w:tcMar>
          </w:tcPr>
          <w:p w14:paraId="6313A83A" w14:textId="04067062" w:rsidR="00994638" w:rsidRDefault="00994638" w:rsidP="00AE72A5">
            <w:pPr>
              <w:widowControl w:val="0"/>
              <w:spacing w:line="276" w:lineRule="auto"/>
              <w:jc w:val="center"/>
              <w:rPr>
                <w:rFonts w:ascii="Arial" w:eastAsia="Arial" w:hAnsi="Arial" w:cs="Arial"/>
                <w:sz w:val="20"/>
                <w:szCs w:val="20"/>
              </w:rPr>
            </w:pPr>
            <w:r w:rsidRPr="00D61A23">
              <w:t>33.29%</w:t>
            </w:r>
          </w:p>
        </w:tc>
        <w:tc>
          <w:tcPr>
            <w:tcW w:w="1365" w:type="dxa"/>
            <w:tcBorders>
              <w:top w:val="nil"/>
              <w:left w:val="nil"/>
              <w:bottom w:val="nil"/>
              <w:right w:val="nil"/>
            </w:tcBorders>
            <w:tcMar>
              <w:top w:w="40" w:type="dxa"/>
              <w:left w:w="40" w:type="dxa"/>
              <w:bottom w:w="40" w:type="dxa"/>
              <w:right w:w="40" w:type="dxa"/>
            </w:tcMar>
          </w:tcPr>
          <w:p w14:paraId="0429B12F" w14:textId="7CE04A0A" w:rsidR="00994638" w:rsidRDefault="00994638" w:rsidP="00AE72A5">
            <w:pPr>
              <w:widowControl w:val="0"/>
              <w:spacing w:line="276" w:lineRule="auto"/>
              <w:jc w:val="center"/>
              <w:rPr>
                <w:rFonts w:ascii="Arial" w:eastAsia="Arial" w:hAnsi="Arial" w:cs="Arial"/>
                <w:sz w:val="20"/>
                <w:szCs w:val="20"/>
              </w:rPr>
            </w:pPr>
            <w:r w:rsidRPr="00D61A23">
              <w:t>0.00%</w:t>
            </w:r>
          </w:p>
        </w:tc>
        <w:tc>
          <w:tcPr>
            <w:tcW w:w="1530" w:type="dxa"/>
            <w:tcBorders>
              <w:top w:val="nil"/>
              <w:left w:val="nil"/>
              <w:bottom w:val="nil"/>
              <w:right w:val="nil"/>
            </w:tcBorders>
            <w:tcMar>
              <w:top w:w="40" w:type="dxa"/>
              <w:left w:w="40" w:type="dxa"/>
              <w:bottom w:w="40" w:type="dxa"/>
              <w:right w:w="40" w:type="dxa"/>
            </w:tcMar>
          </w:tcPr>
          <w:p w14:paraId="4E7F1211" w14:textId="6F2F5EAD" w:rsidR="00994638" w:rsidRDefault="00994638" w:rsidP="00AE72A5">
            <w:pPr>
              <w:widowControl w:val="0"/>
              <w:spacing w:line="276" w:lineRule="auto"/>
              <w:jc w:val="center"/>
              <w:rPr>
                <w:rFonts w:ascii="Arial" w:eastAsia="Arial" w:hAnsi="Arial" w:cs="Arial"/>
                <w:sz w:val="20"/>
                <w:szCs w:val="20"/>
              </w:rPr>
            </w:pPr>
            <w:r w:rsidRPr="00D61A23">
              <w:t>0.00%</w:t>
            </w:r>
          </w:p>
        </w:tc>
        <w:tc>
          <w:tcPr>
            <w:tcW w:w="1380" w:type="dxa"/>
            <w:tcBorders>
              <w:top w:val="nil"/>
              <w:left w:val="nil"/>
              <w:bottom w:val="nil"/>
              <w:right w:val="nil"/>
            </w:tcBorders>
            <w:tcMar>
              <w:top w:w="40" w:type="dxa"/>
              <w:left w:w="40" w:type="dxa"/>
              <w:bottom w:w="40" w:type="dxa"/>
              <w:right w:w="40" w:type="dxa"/>
            </w:tcMar>
          </w:tcPr>
          <w:p w14:paraId="7BE506A4" w14:textId="240C2183" w:rsidR="00994638" w:rsidRDefault="00994638" w:rsidP="00AE72A5">
            <w:pPr>
              <w:widowControl w:val="0"/>
              <w:spacing w:line="276" w:lineRule="auto"/>
              <w:jc w:val="center"/>
              <w:rPr>
                <w:rFonts w:ascii="Arial" w:eastAsia="Arial" w:hAnsi="Arial" w:cs="Arial"/>
                <w:sz w:val="20"/>
                <w:szCs w:val="20"/>
              </w:rPr>
            </w:pPr>
            <w:r w:rsidRPr="00D61A23">
              <w:t>11.27%</w:t>
            </w:r>
          </w:p>
        </w:tc>
      </w:tr>
      <w:tr w:rsidR="00994638" w14:paraId="1A508856" w14:textId="77777777" w:rsidTr="00ED7213">
        <w:trPr>
          <w:trHeight w:val="315"/>
        </w:trPr>
        <w:tc>
          <w:tcPr>
            <w:tcW w:w="1462" w:type="dxa"/>
            <w:tcBorders>
              <w:top w:val="nil"/>
              <w:left w:val="nil"/>
              <w:bottom w:val="nil"/>
              <w:right w:val="nil"/>
            </w:tcBorders>
            <w:tcMar>
              <w:top w:w="40" w:type="dxa"/>
              <w:left w:w="40" w:type="dxa"/>
              <w:bottom w:w="40" w:type="dxa"/>
              <w:right w:w="40" w:type="dxa"/>
            </w:tcMar>
            <w:vAlign w:val="bottom"/>
          </w:tcPr>
          <w:p w14:paraId="5FD4DEFE" w14:textId="77777777" w:rsidR="00994638" w:rsidRDefault="00994638" w:rsidP="00994638">
            <w:pPr>
              <w:widowControl w:val="0"/>
              <w:spacing w:line="276" w:lineRule="auto"/>
              <w:rPr>
                <w:rFonts w:ascii="Arial" w:eastAsia="Arial" w:hAnsi="Arial" w:cs="Arial"/>
                <w:sz w:val="20"/>
                <w:szCs w:val="20"/>
              </w:rPr>
            </w:pPr>
            <w:r>
              <w:rPr>
                <w:b/>
                <w:sz w:val="22"/>
                <w:szCs w:val="22"/>
              </w:rPr>
              <w:t>Performance</w:t>
            </w:r>
          </w:p>
        </w:tc>
        <w:tc>
          <w:tcPr>
            <w:tcW w:w="1478" w:type="dxa"/>
            <w:tcBorders>
              <w:top w:val="nil"/>
              <w:left w:val="nil"/>
              <w:bottom w:val="nil"/>
              <w:right w:val="nil"/>
            </w:tcBorders>
            <w:tcMar>
              <w:top w:w="40" w:type="dxa"/>
              <w:left w:w="40" w:type="dxa"/>
              <w:bottom w:w="40" w:type="dxa"/>
              <w:right w:w="40" w:type="dxa"/>
            </w:tcMar>
          </w:tcPr>
          <w:p w14:paraId="047BA8EB" w14:textId="77777777" w:rsidR="00994638" w:rsidRDefault="00994638" w:rsidP="00AE72A5">
            <w:pPr>
              <w:widowControl w:val="0"/>
              <w:spacing w:line="276" w:lineRule="auto"/>
              <w:jc w:val="center"/>
              <w:rPr>
                <w:rFonts w:ascii="Arial" w:eastAsia="Arial" w:hAnsi="Arial" w:cs="Arial"/>
                <w:sz w:val="20"/>
                <w:szCs w:val="20"/>
              </w:rPr>
            </w:pPr>
          </w:p>
        </w:tc>
        <w:tc>
          <w:tcPr>
            <w:tcW w:w="1560" w:type="dxa"/>
            <w:tcBorders>
              <w:top w:val="nil"/>
              <w:left w:val="nil"/>
              <w:bottom w:val="nil"/>
              <w:right w:val="nil"/>
            </w:tcBorders>
            <w:tcMar>
              <w:top w:w="40" w:type="dxa"/>
              <w:left w:w="40" w:type="dxa"/>
              <w:bottom w:w="40" w:type="dxa"/>
              <w:right w:w="40" w:type="dxa"/>
            </w:tcMar>
          </w:tcPr>
          <w:p w14:paraId="170BEF67" w14:textId="77777777" w:rsidR="00994638" w:rsidRDefault="00994638" w:rsidP="00AE72A5">
            <w:pPr>
              <w:widowControl w:val="0"/>
              <w:spacing w:line="276" w:lineRule="auto"/>
              <w:jc w:val="center"/>
              <w:rPr>
                <w:rFonts w:ascii="Arial" w:eastAsia="Arial" w:hAnsi="Arial" w:cs="Arial"/>
                <w:sz w:val="20"/>
                <w:szCs w:val="20"/>
              </w:rPr>
            </w:pPr>
          </w:p>
        </w:tc>
        <w:tc>
          <w:tcPr>
            <w:tcW w:w="1410" w:type="dxa"/>
            <w:tcBorders>
              <w:top w:val="nil"/>
              <w:left w:val="nil"/>
              <w:bottom w:val="nil"/>
              <w:right w:val="nil"/>
            </w:tcBorders>
            <w:tcMar>
              <w:top w:w="40" w:type="dxa"/>
              <w:left w:w="40" w:type="dxa"/>
              <w:bottom w:w="40" w:type="dxa"/>
              <w:right w:w="40" w:type="dxa"/>
            </w:tcMar>
          </w:tcPr>
          <w:p w14:paraId="3FEC0674" w14:textId="77777777" w:rsidR="00994638" w:rsidRDefault="00994638" w:rsidP="00AE72A5">
            <w:pPr>
              <w:widowControl w:val="0"/>
              <w:spacing w:line="276" w:lineRule="auto"/>
              <w:jc w:val="center"/>
              <w:rPr>
                <w:rFonts w:ascii="Arial" w:eastAsia="Arial" w:hAnsi="Arial" w:cs="Arial"/>
                <w:sz w:val="20"/>
                <w:szCs w:val="20"/>
              </w:rPr>
            </w:pPr>
          </w:p>
        </w:tc>
        <w:tc>
          <w:tcPr>
            <w:tcW w:w="1800" w:type="dxa"/>
            <w:tcBorders>
              <w:top w:val="nil"/>
              <w:left w:val="nil"/>
              <w:bottom w:val="nil"/>
              <w:right w:val="nil"/>
            </w:tcBorders>
            <w:tcMar>
              <w:top w:w="40" w:type="dxa"/>
              <w:left w:w="40" w:type="dxa"/>
              <w:bottom w:w="40" w:type="dxa"/>
              <w:right w:w="40" w:type="dxa"/>
            </w:tcMar>
          </w:tcPr>
          <w:p w14:paraId="5CC06748" w14:textId="77777777" w:rsidR="00994638" w:rsidRDefault="00994638" w:rsidP="00AE72A5">
            <w:pPr>
              <w:widowControl w:val="0"/>
              <w:spacing w:line="276" w:lineRule="auto"/>
              <w:jc w:val="center"/>
              <w:rPr>
                <w:rFonts w:ascii="Arial" w:eastAsia="Arial" w:hAnsi="Arial" w:cs="Arial"/>
                <w:sz w:val="20"/>
                <w:szCs w:val="20"/>
              </w:rPr>
            </w:pPr>
          </w:p>
        </w:tc>
        <w:tc>
          <w:tcPr>
            <w:tcW w:w="1365" w:type="dxa"/>
            <w:tcBorders>
              <w:top w:val="nil"/>
              <w:left w:val="nil"/>
              <w:bottom w:val="nil"/>
              <w:right w:val="nil"/>
            </w:tcBorders>
            <w:tcMar>
              <w:top w:w="40" w:type="dxa"/>
              <w:left w:w="40" w:type="dxa"/>
              <w:bottom w:w="40" w:type="dxa"/>
              <w:right w:w="40" w:type="dxa"/>
            </w:tcMar>
          </w:tcPr>
          <w:p w14:paraId="5C471882" w14:textId="77777777" w:rsidR="00994638" w:rsidRDefault="00994638" w:rsidP="00AE72A5">
            <w:pPr>
              <w:widowControl w:val="0"/>
              <w:spacing w:line="276" w:lineRule="auto"/>
              <w:jc w:val="center"/>
              <w:rPr>
                <w:rFonts w:ascii="Arial" w:eastAsia="Arial" w:hAnsi="Arial" w:cs="Arial"/>
                <w:sz w:val="20"/>
                <w:szCs w:val="20"/>
              </w:rPr>
            </w:pPr>
          </w:p>
        </w:tc>
        <w:tc>
          <w:tcPr>
            <w:tcW w:w="1530" w:type="dxa"/>
            <w:tcBorders>
              <w:top w:val="nil"/>
              <w:left w:val="nil"/>
              <w:bottom w:val="nil"/>
              <w:right w:val="nil"/>
            </w:tcBorders>
            <w:tcMar>
              <w:top w:w="40" w:type="dxa"/>
              <w:left w:w="40" w:type="dxa"/>
              <w:bottom w:w="40" w:type="dxa"/>
              <w:right w:w="40" w:type="dxa"/>
            </w:tcMar>
          </w:tcPr>
          <w:p w14:paraId="2E842DE3" w14:textId="77777777" w:rsidR="00994638" w:rsidRDefault="00994638" w:rsidP="00AE72A5">
            <w:pPr>
              <w:widowControl w:val="0"/>
              <w:spacing w:line="276" w:lineRule="auto"/>
              <w:jc w:val="center"/>
              <w:rPr>
                <w:rFonts w:ascii="Arial" w:eastAsia="Arial" w:hAnsi="Arial" w:cs="Arial"/>
                <w:sz w:val="20"/>
                <w:szCs w:val="20"/>
              </w:rPr>
            </w:pPr>
          </w:p>
        </w:tc>
        <w:tc>
          <w:tcPr>
            <w:tcW w:w="1380" w:type="dxa"/>
            <w:tcBorders>
              <w:top w:val="nil"/>
              <w:left w:val="nil"/>
              <w:bottom w:val="nil"/>
              <w:right w:val="nil"/>
            </w:tcBorders>
            <w:tcMar>
              <w:top w:w="40" w:type="dxa"/>
              <w:left w:w="40" w:type="dxa"/>
              <w:bottom w:w="40" w:type="dxa"/>
              <w:right w:w="40" w:type="dxa"/>
            </w:tcMar>
          </w:tcPr>
          <w:p w14:paraId="1FE11E35" w14:textId="77777777" w:rsidR="00994638" w:rsidRDefault="00994638" w:rsidP="00AE72A5">
            <w:pPr>
              <w:widowControl w:val="0"/>
              <w:spacing w:line="276" w:lineRule="auto"/>
              <w:jc w:val="center"/>
              <w:rPr>
                <w:rFonts w:ascii="Arial" w:eastAsia="Arial" w:hAnsi="Arial" w:cs="Arial"/>
                <w:sz w:val="20"/>
                <w:szCs w:val="20"/>
              </w:rPr>
            </w:pPr>
          </w:p>
        </w:tc>
      </w:tr>
      <w:tr w:rsidR="00994638" w14:paraId="0D8DB259" w14:textId="77777777" w:rsidTr="00ED7213">
        <w:trPr>
          <w:trHeight w:val="315"/>
        </w:trPr>
        <w:tc>
          <w:tcPr>
            <w:tcW w:w="1462" w:type="dxa"/>
            <w:tcBorders>
              <w:top w:val="nil"/>
              <w:left w:val="nil"/>
              <w:bottom w:val="nil"/>
              <w:right w:val="nil"/>
            </w:tcBorders>
            <w:tcMar>
              <w:top w:w="40" w:type="dxa"/>
              <w:left w:w="40" w:type="dxa"/>
              <w:bottom w:w="40" w:type="dxa"/>
              <w:right w:w="40" w:type="dxa"/>
            </w:tcMar>
            <w:vAlign w:val="bottom"/>
          </w:tcPr>
          <w:p w14:paraId="1E8AFDBF" w14:textId="21888FE7" w:rsidR="00994638" w:rsidRDefault="00994638" w:rsidP="00994638">
            <w:pPr>
              <w:widowControl w:val="0"/>
              <w:spacing w:line="276" w:lineRule="auto"/>
              <w:rPr>
                <w:rFonts w:ascii="Arial" w:eastAsia="Arial" w:hAnsi="Arial" w:cs="Arial"/>
                <w:sz w:val="20"/>
                <w:szCs w:val="20"/>
              </w:rPr>
            </w:pPr>
            <w:r>
              <w:rPr>
                <w:sz w:val="22"/>
                <w:szCs w:val="22"/>
              </w:rPr>
              <w:t>Return</w:t>
            </w:r>
          </w:p>
        </w:tc>
        <w:tc>
          <w:tcPr>
            <w:tcW w:w="1478" w:type="dxa"/>
            <w:tcBorders>
              <w:top w:val="nil"/>
              <w:left w:val="nil"/>
              <w:bottom w:val="nil"/>
              <w:right w:val="nil"/>
            </w:tcBorders>
            <w:tcMar>
              <w:top w:w="40" w:type="dxa"/>
              <w:left w:w="40" w:type="dxa"/>
              <w:bottom w:w="40" w:type="dxa"/>
              <w:right w:w="40" w:type="dxa"/>
            </w:tcMar>
          </w:tcPr>
          <w:p w14:paraId="55354C32" w14:textId="255D302F" w:rsidR="00994638" w:rsidRDefault="00994638" w:rsidP="00AE72A5">
            <w:pPr>
              <w:widowControl w:val="0"/>
              <w:spacing w:line="276" w:lineRule="auto"/>
              <w:jc w:val="center"/>
              <w:rPr>
                <w:rFonts w:ascii="Arial" w:eastAsia="Arial" w:hAnsi="Arial" w:cs="Arial"/>
                <w:sz w:val="20"/>
                <w:szCs w:val="20"/>
              </w:rPr>
            </w:pPr>
            <w:r w:rsidRPr="00D61A23">
              <w:t>0.01%</w:t>
            </w:r>
          </w:p>
        </w:tc>
        <w:tc>
          <w:tcPr>
            <w:tcW w:w="1560" w:type="dxa"/>
            <w:tcBorders>
              <w:top w:val="nil"/>
              <w:left w:val="nil"/>
              <w:bottom w:val="nil"/>
              <w:right w:val="nil"/>
            </w:tcBorders>
            <w:tcMar>
              <w:top w:w="40" w:type="dxa"/>
              <w:left w:w="40" w:type="dxa"/>
              <w:bottom w:w="40" w:type="dxa"/>
              <w:right w:w="40" w:type="dxa"/>
            </w:tcMar>
          </w:tcPr>
          <w:p w14:paraId="78B902C3" w14:textId="54027E8A" w:rsidR="00994638" w:rsidRDefault="00994638" w:rsidP="00AE72A5">
            <w:pPr>
              <w:widowControl w:val="0"/>
              <w:spacing w:line="276" w:lineRule="auto"/>
              <w:jc w:val="center"/>
              <w:rPr>
                <w:rFonts w:ascii="Arial" w:eastAsia="Arial" w:hAnsi="Arial" w:cs="Arial"/>
                <w:sz w:val="20"/>
                <w:szCs w:val="20"/>
              </w:rPr>
            </w:pPr>
            <w:r w:rsidRPr="00D61A23">
              <w:t>0.02%</w:t>
            </w:r>
          </w:p>
        </w:tc>
        <w:tc>
          <w:tcPr>
            <w:tcW w:w="1410" w:type="dxa"/>
            <w:tcBorders>
              <w:top w:val="nil"/>
              <w:left w:val="nil"/>
              <w:bottom w:val="nil"/>
              <w:right w:val="nil"/>
            </w:tcBorders>
            <w:tcMar>
              <w:top w:w="40" w:type="dxa"/>
              <w:left w:w="40" w:type="dxa"/>
              <w:bottom w:w="40" w:type="dxa"/>
              <w:right w:w="40" w:type="dxa"/>
            </w:tcMar>
          </w:tcPr>
          <w:p w14:paraId="6CABE28E" w14:textId="40A2D3CE" w:rsidR="00994638" w:rsidRDefault="00994638" w:rsidP="00AE72A5">
            <w:pPr>
              <w:widowControl w:val="0"/>
              <w:spacing w:line="276" w:lineRule="auto"/>
              <w:jc w:val="center"/>
              <w:rPr>
                <w:rFonts w:ascii="Arial" w:eastAsia="Arial" w:hAnsi="Arial" w:cs="Arial"/>
                <w:sz w:val="20"/>
                <w:szCs w:val="20"/>
              </w:rPr>
            </w:pPr>
            <w:r w:rsidRPr="00D61A23">
              <w:t>0.01%</w:t>
            </w:r>
          </w:p>
        </w:tc>
        <w:tc>
          <w:tcPr>
            <w:tcW w:w="1800" w:type="dxa"/>
            <w:tcBorders>
              <w:top w:val="nil"/>
              <w:left w:val="nil"/>
              <w:bottom w:val="nil"/>
              <w:right w:val="nil"/>
            </w:tcBorders>
            <w:tcMar>
              <w:top w:w="40" w:type="dxa"/>
              <w:left w:w="40" w:type="dxa"/>
              <w:bottom w:w="40" w:type="dxa"/>
              <w:right w:w="40" w:type="dxa"/>
            </w:tcMar>
          </w:tcPr>
          <w:p w14:paraId="191F5B32" w14:textId="58C68F3A" w:rsidR="00994638" w:rsidRDefault="00994638" w:rsidP="00AE72A5">
            <w:pPr>
              <w:widowControl w:val="0"/>
              <w:spacing w:line="276" w:lineRule="auto"/>
              <w:jc w:val="center"/>
              <w:rPr>
                <w:rFonts w:ascii="Arial" w:eastAsia="Arial" w:hAnsi="Arial" w:cs="Arial"/>
                <w:sz w:val="20"/>
                <w:szCs w:val="20"/>
              </w:rPr>
            </w:pPr>
            <w:r w:rsidRPr="00D61A23">
              <w:t>0.01%</w:t>
            </w:r>
          </w:p>
        </w:tc>
        <w:tc>
          <w:tcPr>
            <w:tcW w:w="1365" w:type="dxa"/>
            <w:tcBorders>
              <w:top w:val="nil"/>
              <w:left w:val="nil"/>
              <w:bottom w:val="nil"/>
              <w:right w:val="nil"/>
            </w:tcBorders>
            <w:tcMar>
              <w:top w:w="40" w:type="dxa"/>
              <w:left w:w="40" w:type="dxa"/>
              <w:bottom w:w="40" w:type="dxa"/>
              <w:right w:w="40" w:type="dxa"/>
            </w:tcMar>
          </w:tcPr>
          <w:p w14:paraId="62FA5F82" w14:textId="23200C7D" w:rsidR="00994638" w:rsidRDefault="00994638" w:rsidP="00AE72A5">
            <w:pPr>
              <w:widowControl w:val="0"/>
              <w:spacing w:line="276" w:lineRule="auto"/>
              <w:jc w:val="center"/>
              <w:rPr>
                <w:rFonts w:ascii="Arial" w:eastAsia="Arial" w:hAnsi="Arial" w:cs="Arial"/>
                <w:sz w:val="20"/>
                <w:szCs w:val="20"/>
              </w:rPr>
            </w:pPr>
            <w:r w:rsidRPr="00D61A23">
              <w:t>0.01%</w:t>
            </w:r>
          </w:p>
        </w:tc>
        <w:tc>
          <w:tcPr>
            <w:tcW w:w="1530" w:type="dxa"/>
            <w:tcBorders>
              <w:top w:val="nil"/>
              <w:left w:val="nil"/>
              <w:bottom w:val="nil"/>
              <w:right w:val="nil"/>
            </w:tcBorders>
            <w:tcMar>
              <w:top w:w="40" w:type="dxa"/>
              <w:left w:w="40" w:type="dxa"/>
              <w:bottom w:w="40" w:type="dxa"/>
              <w:right w:w="40" w:type="dxa"/>
            </w:tcMar>
          </w:tcPr>
          <w:p w14:paraId="3A2EEFF8" w14:textId="5309E015" w:rsidR="00994638" w:rsidRDefault="00994638" w:rsidP="00AE72A5">
            <w:pPr>
              <w:widowControl w:val="0"/>
              <w:spacing w:line="276" w:lineRule="auto"/>
              <w:jc w:val="center"/>
              <w:rPr>
                <w:rFonts w:ascii="Arial" w:eastAsia="Arial" w:hAnsi="Arial" w:cs="Arial"/>
                <w:sz w:val="20"/>
                <w:szCs w:val="20"/>
              </w:rPr>
            </w:pPr>
            <w:r w:rsidRPr="00D61A23">
              <w:t>-0.32%</w:t>
            </w:r>
          </w:p>
        </w:tc>
        <w:tc>
          <w:tcPr>
            <w:tcW w:w="1380" w:type="dxa"/>
            <w:tcBorders>
              <w:top w:val="nil"/>
              <w:left w:val="nil"/>
              <w:bottom w:val="nil"/>
              <w:right w:val="nil"/>
            </w:tcBorders>
            <w:tcMar>
              <w:top w:w="40" w:type="dxa"/>
              <w:left w:w="40" w:type="dxa"/>
              <w:bottom w:w="40" w:type="dxa"/>
              <w:right w:w="40" w:type="dxa"/>
            </w:tcMar>
          </w:tcPr>
          <w:p w14:paraId="35B8CC98" w14:textId="6CF4CFBF" w:rsidR="00994638" w:rsidRDefault="00994638" w:rsidP="00AE72A5">
            <w:pPr>
              <w:widowControl w:val="0"/>
              <w:spacing w:line="276" w:lineRule="auto"/>
              <w:jc w:val="center"/>
              <w:rPr>
                <w:rFonts w:ascii="Arial" w:eastAsia="Arial" w:hAnsi="Arial" w:cs="Arial"/>
                <w:sz w:val="20"/>
                <w:szCs w:val="20"/>
              </w:rPr>
            </w:pPr>
            <w:r w:rsidRPr="00D61A23">
              <w:t>-0.06%</w:t>
            </w:r>
          </w:p>
        </w:tc>
      </w:tr>
      <w:tr w:rsidR="00994638" w14:paraId="2EB25505" w14:textId="77777777" w:rsidTr="00ED7213">
        <w:trPr>
          <w:trHeight w:val="315"/>
        </w:trPr>
        <w:tc>
          <w:tcPr>
            <w:tcW w:w="1462" w:type="dxa"/>
            <w:tcBorders>
              <w:top w:val="nil"/>
              <w:left w:val="nil"/>
              <w:bottom w:val="nil"/>
              <w:right w:val="nil"/>
            </w:tcBorders>
            <w:tcMar>
              <w:top w:w="40" w:type="dxa"/>
              <w:left w:w="40" w:type="dxa"/>
              <w:bottom w:w="40" w:type="dxa"/>
              <w:right w:w="40" w:type="dxa"/>
            </w:tcMar>
            <w:vAlign w:val="bottom"/>
          </w:tcPr>
          <w:p w14:paraId="0FFFAC9E" w14:textId="77777777" w:rsidR="00994638" w:rsidRDefault="00994638" w:rsidP="00994638">
            <w:pPr>
              <w:widowControl w:val="0"/>
              <w:spacing w:line="276" w:lineRule="auto"/>
              <w:rPr>
                <w:rFonts w:ascii="Arial" w:eastAsia="Arial" w:hAnsi="Arial" w:cs="Arial"/>
                <w:sz w:val="20"/>
                <w:szCs w:val="20"/>
              </w:rPr>
            </w:pPr>
            <w:r>
              <w:rPr>
                <w:sz w:val="22"/>
                <w:szCs w:val="22"/>
              </w:rPr>
              <w:t>Variance</w:t>
            </w:r>
          </w:p>
        </w:tc>
        <w:tc>
          <w:tcPr>
            <w:tcW w:w="1478" w:type="dxa"/>
            <w:tcBorders>
              <w:top w:val="nil"/>
              <w:left w:val="nil"/>
              <w:bottom w:val="nil"/>
              <w:right w:val="nil"/>
            </w:tcBorders>
            <w:tcMar>
              <w:top w:w="40" w:type="dxa"/>
              <w:left w:w="40" w:type="dxa"/>
              <w:bottom w:w="40" w:type="dxa"/>
              <w:right w:w="40" w:type="dxa"/>
            </w:tcMar>
          </w:tcPr>
          <w:p w14:paraId="5E8DEA49" w14:textId="5E5C19D4" w:rsidR="00994638" w:rsidRDefault="00994638" w:rsidP="00AE72A5">
            <w:pPr>
              <w:widowControl w:val="0"/>
              <w:spacing w:line="276" w:lineRule="auto"/>
              <w:jc w:val="center"/>
              <w:rPr>
                <w:rFonts w:ascii="Arial" w:eastAsia="Arial" w:hAnsi="Arial" w:cs="Arial"/>
                <w:sz w:val="20"/>
                <w:szCs w:val="20"/>
              </w:rPr>
            </w:pPr>
            <w:r w:rsidRPr="00D61A23">
              <w:t>0.01%</w:t>
            </w:r>
          </w:p>
        </w:tc>
        <w:tc>
          <w:tcPr>
            <w:tcW w:w="1560" w:type="dxa"/>
            <w:tcBorders>
              <w:top w:val="nil"/>
              <w:left w:val="nil"/>
              <w:bottom w:val="nil"/>
              <w:right w:val="nil"/>
            </w:tcBorders>
            <w:tcMar>
              <w:top w:w="40" w:type="dxa"/>
              <w:left w:w="40" w:type="dxa"/>
              <w:bottom w:w="40" w:type="dxa"/>
              <w:right w:w="40" w:type="dxa"/>
            </w:tcMar>
          </w:tcPr>
          <w:p w14:paraId="0561D7E7" w14:textId="582DEC9D" w:rsidR="00994638" w:rsidRDefault="00994638" w:rsidP="00AE72A5">
            <w:pPr>
              <w:widowControl w:val="0"/>
              <w:spacing w:line="276" w:lineRule="auto"/>
              <w:jc w:val="center"/>
              <w:rPr>
                <w:rFonts w:ascii="Arial" w:eastAsia="Arial" w:hAnsi="Arial" w:cs="Arial"/>
                <w:sz w:val="20"/>
                <w:szCs w:val="20"/>
              </w:rPr>
            </w:pPr>
            <w:r w:rsidRPr="00D61A23">
              <w:t>0.01%</w:t>
            </w:r>
          </w:p>
        </w:tc>
        <w:tc>
          <w:tcPr>
            <w:tcW w:w="1410" w:type="dxa"/>
            <w:tcBorders>
              <w:top w:val="nil"/>
              <w:left w:val="nil"/>
              <w:bottom w:val="nil"/>
              <w:right w:val="nil"/>
            </w:tcBorders>
            <w:tcMar>
              <w:top w:w="40" w:type="dxa"/>
              <w:left w:w="40" w:type="dxa"/>
              <w:bottom w:w="40" w:type="dxa"/>
              <w:right w:w="40" w:type="dxa"/>
            </w:tcMar>
          </w:tcPr>
          <w:p w14:paraId="15A4632E" w14:textId="172B9550" w:rsidR="00994638" w:rsidRDefault="00994638" w:rsidP="00AE72A5">
            <w:pPr>
              <w:widowControl w:val="0"/>
              <w:spacing w:line="276" w:lineRule="auto"/>
              <w:jc w:val="center"/>
              <w:rPr>
                <w:rFonts w:ascii="Arial" w:eastAsia="Arial" w:hAnsi="Arial" w:cs="Arial"/>
                <w:sz w:val="20"/>
                <w:szCs w:val="20"/>
              </w:rPr>
            </w:pPr>
            <w:r w:rsidRPr="00D61A23">
              <w:t>0.01%</w:t>
            </w:r>
          </w:p>
        </w:tc>
        <w:tc>
          <w:tcPr>
            <w:tcW w:w="1800" w:type="dxa"/>
            <w:tcBorders>
              <w:top w:val="nil"/>
              <w:left w:val="nil"/>
              <w:bottom w:val="nil"/>
              <w:right w:val="nil"/>
            </w:tcBorders>
            <w:tcMar>
              <w:top w:w="40" w:type="dxa"/>
              <w:left w:w="40" w:type="dxa"/>
              <w:bottom w:w="40" w:type="dxa"/>
              <w:right w:w="40" w:type="dxa"/>
            </w:tcMar>
          </w:tcPr>
          <w:p w14:paraId="5E7DA045" w14:textId="29F90433" w:rsidR="00994638" w:rsidRDefault="00994638" w:rsidP="00AE72A5">
            <w:pPr>
              <w:widowControl w:val="0"/>
              <w:spacing w:line="276" w:lineRule="auto"/>
              <w:jc w:val="center"/>
              <w:rPr>
                <w:rFonts w:ascii="Arial" w:eastAsia="Arial" w:hAnsi="Arial" w:cs="Arial"/>
                <w:sz w:val="20"/>
                <w:szCs w:val="20"/>
              </w:rPr>
            </w:pPr>
            <w:r w:rsidRPr="00D61A23">
              <w:t>0.01%</w:t>
            </w:r>
          </w:p>
        </w:tc>
        <w:tc>
          <w:tcPr>
            <w:tcW w:w="1365" w:type="dxa"/>
            <w:tcBorders>
              <w:top w:val="nil"/>
              <w:left w:val="nil"/>
              <w:bottom w:val="nil"/>
              <w:right w:val="nil"/>
            </w:tcBorders>
            <w:tcMar>
              <w:top w:w="40" w:type="dxa"/>
              <w:left w:w="40" w:type="dxa"/>
              <w:bottom w:w="40" w:type="dxa"/>
              <w:right w:w="40" w:type="dxa"/>
            </w:tcMar>
          </w:tcPr>
          <w:p w14:paraId="147A58A0" w14:textId="407482F7" w:rsidR="00994638" w:rsidRDefault="00994638" w:rsidP="00AE72A5">
            <w:pPr>
              <w:widowControl w:val="0"/>
              <w:spacing w:line="276" w:lineRule="auto"/>
              <w:jc w:val="center"/>
              <w:rPr>
                <w:rFonts w:ascii="Arial" w:eastAsia="Arial" w:hAnsi="Arial" w:cs="Arial"/>
                <w:sz w:val="20"/>
                <w:szCs w:val="20"/>
              </w:rPr>
            </w:pPr>
            <w:r w:rsidRPr="00D61A23">
              <w:t>0.04%</w:t>
            </w:r>
          </w:p>
        </w:tc>
        <w:tc>
          <w:tcPr>
            <w:tcW w:w="1530" w:type="dxa"/>
            <w:tcBorders>
              <w:top w:val="nil"/>
              <w:left w:val="nil"/>
              <w:bottom w:val="nil"/>
              <w:right w:val="nil"/>
            </w:tcBorders>
            <w:tcMar>
              <w:top w:w="40" w:type="dxa"/>
              <w:left w:w="40" w:type="dxa"/>
              <w:bottom w:w="40" w:type="dxa"/>
              <w:right w:w="40" w:type="dxa"/>
            </w:tcMar>
          </w:tcPr>
          <w:p w14:paraId="34A6B8A2" w14:textId="7F685A62" w:rsidR="00994638" w:rsidRDefault="00994638" w:rsidP="00AE72A5">
            <w:pPr>
              <w:widowControl w:val="0"/>
              <w:spacing w:line="276" w:lineRule="auto"/>
              <w:jc w:val="center"/>
              <w:rPr>
                <w:rFonts w:ascii="Arial" w:eastAsia="Arial" w:hAnsi="Arial" w:cs="Arial"/>
                <w:sz w:val="20"/>
                <w:szCs w:val="20"/>
              </w:rPr>
            </w:pPr>
            <w:r w:rsidRPr="00D61A23">
              <w:t>0.04%</w:t>
            </w:r>
          </w:p>
        </w:tc>
        <w:tc>
          <w:tcPr>
            <w:tcW w:w="1380" w:type="dxa"/>
            <w:tcBorders>
              <w:top w:val="nil"/>
              <w:left w:val="nil"/>
              <w:bottom w:val="nil"/>
              <w:right w:val="nil"/>
            </w:tcBorders>
            <w:tcMar>
              <w:top w:w="40" w:type="dxa"/>
              <w:left w:w="40" w:type="dxa"/>
              <w:bottom w:w="40" w:type="dxa"/>
              <w:right w:w="40" w:type="dxa"/>
            </w:tcMar>
          </w:tcPr>
          <w:p w14:paraId="7B05F5C4" w14:textId="46CC0DA8" w:rsidR="00994638" w:rsidRDefault="00994638" w:rsidP="00AE72A5">
            <w:pPr>
              <w:widowControl w:val="0"/>
              <w:spacing w:line="276" w:lineRule="auto"/>
              <w:jc w:val="center"/>
              <w:rPr>
                <w:rFonts w:ascii="Arial" w:eastAsia="Arial" w:hAnsi="Arial" w:cs="Arial"/>
                <w:sz w:val="20"/>
                <w:szCs w:val="20"/>
              </w:rPr>
            </w:pPr>
            <w:r w:rsidRPr="00D61A23">
              <w:t>0.04%</w:t>
            </w:r>
          </w:p>
        </w:tc>
      </w:tr>
      <w:tr w:rsidR="00994638" w14:paraId="077E57E1" w14:textId="77777777" w:rsidTr="00ED7213">
        <w:trPr>
          <w:trHeight w:val="315"/>
        </w:trPr>
        <w:tc>
          <w:tcPr>
            <w:tcW w:w="1462" w:type="dxa"/>
            <w:tcBorders>
              <w:top w:val="nil"/>
              <w:left w:val="nil"/>
              <w:bottom w:val="nil"/>
              <w:right w:val="nil"/>
            </w:tcBorders>
            <w:tcMar>
              <w:top w:w="40" w:type="dxa"/>
              <w:left w:w="40" w:type="dxa"/>
              <w:bottom w:w="40" w:type="dxa"/>
              <w:right w:w="40" w:type="dxa"/>
            </w:tcMar>
            <w:vAlign w:val="bottom"/>
          </w:tcPr>
          <w:p w14:paraId="486E8EAC" w14:textId="77777777" w:rsidR="00994638" w:rsidRDefault="00994638" w:rsidP="00994638">
            <w:pPr>
              <w:widowControl w:val="0"/>
              <w:spacing w:line="276" w:lineRule="auto"/>
              <w:rPr>
                <w:rFonts w:ascii="Arial" w:eastAsia="Arial" w:hAnsi="Arial" w:cs="Arial"/>
                <w:sz w:val="20"/>
                <w:szCs w:val="20"/>
              </w:rPr>
            </w:pPr>
            <w:r>
              <w:rPr>
                <w:sz w:val="22"/>
                <w:szCs w:val="22"/>
              </w:rPr>
              <w:t>CVaR</w:t>
            </w:r>
          </w:p>
        </w:tc>
        <w:tc>
          <w:tcPr>
            <w:tcW w:w="1478" w:type="dxa"/>
            <w:tcBorders>
              <w:top w:val="nil"/>
              <w:left w:val="nil"/>
              <w:bottom w:val="nil"/>
              <w:right w:val="nil"/>
            </w:tcBorders>
            <w:tcMar>
              <w:top w:w="40" w:type="dxa"/>
              <w:left w:w="40" w:type="dxa"/>
              <w:bottom w:w="40" w:type="dxa"/>
              <w:right w:w="40" w:type="dxa"/>
            </w:tcMar>
          </w:tcPr>
          <w:p w14:paraId="546433A0" w14:textId="2BC41E3B" w:rsidR="00994638" w:rsidRDefault="00994638" w:rsidP="00AE72A5">
            <w:pPr>
              <w:widowControl w:val="0"/>
              <w:spacing w:line="276" w:lineRule="auto"/>
              <w:jc w:val="center"/>
              <w:rPr>
                <w:rFonts w:ascii="Arial" w:eastAsia="Arial" w:hAnsi="Arial" w:cs="Arial"/>
                <w:sz w:val="20"/>
                <w:szCs w:val="20"/>
              </w:rPr>
            </w:pPr>
            <w:r w:rsidRPr="00D61A23">
              <w:t>-2.34%</w:t>
            </w:r>
          </w:p>
        </w:tc>
        <w:tc>
          <w:tcPr>
            <w:tcW w:w="1560" w:type="dxa"/>
            <w:tcBorders>
              <w:top w:val="nil"/>
              <w:left w:val="nil"/>
              <w:bottom w:val="nil"/>
              <w:right w:val="nil"/>
            </w:tcBorders>
            <w:tcMar>
              <w:top w:w="40" w:type="dxa"/>
              <w:left w:w="40" w:type="dxa"/>
              <w:bottom w:w="40" w:type="dxa"/>
              <w:right w:w="40" w:type="dxa"/>
            </w:tcMar>
          </w:tcPr>
          <w:p w14:paraId="231D647B" w14:textId="2FE51232" w:rsidR="00994638" w:rsidRDefault="00994638" w:rsidP="00AE72A5">
            <w:pPr>
              <w:widowControl w:val="0"/>
              <w:spacing w:line="276" w:lineRule="auto"/>
              <w:jc w:val="center"/>
              <w:rPr>
                <w:rFonts w:ascii="Arial" w:eastAsia="Arial" w:hAnsi="Arial" w:cs="Arial"/>
                <w:sz w:val="20"/>
                <w:szCs w:val="20"/>
              </w:rPr>
            </w:pPr>
            <w:r w:rsidRPr="00D61A23">
              <w:t>-2.48%</w:t>
            </w:r>
          </w:p>
        </w:tc>
        <w:tc>
          <w:tcPr>
            <w:tcW w:w="1410" w:type="dxa"/>
            <w:tcBorders>
              <w:top w:val="nil"/>
              <w:left w:val="nil"/>
              <w:bottom w:val="nil"/>
              <w:right w:val="nil"/>
            </w:tcBorders>
            <w:tcMar>
              <w:top w:w="40" w:type="dxa"/>
              <w:left w:w="40" w:type="dxa"/>
              <w:bottom w:w="40" w:type="dxa"/>
              <w:right w:w="40" w:type="dxa"/>
            </w:tcMar>
          </w:tcPr>
          <w:p w14:paraId="39A496FB" w14:textId="198FC11D" w:rsidR="00994638" w:rsidRDefault="00994638" w:rsidP="00AE72A5">
            <w:pPr>
              <w:widowControl w:val="0"/>
              <w:spacing w:line="276" w:lineRule="auto"/>
              <w:jc w:val="center"/>
              <w:rPr>
                <w:rFonts w:ascii="Arial" w:eastAsia="Arial" w:hAnsi="Arial" w:cs="Arial"/>
                <w:sz w:val="20"/>
                <w:szCs w:val="20"/>
              </w:rPr>
            </w:pPr>
            <w:r w:rsidRPr="00D61A23">
              <w:t>-1.83%</w:t>
            </w:r>
          </w:p>
        </w:tc>
        <w:tc>
          <w:tcPr>
            <w:tcW w:w="1800" w:type="dxa"/>
            <w:tcBorders>
              <w:top w:val="nil"/>
              <w:left w:val="nil"/>
              <w:bottom w:val="nil"/>
              <w:right w:val="nil"/>
            </w:tcBorders>
            <w:tcMar>
              <w:top w:w="40" w:type="dxa"/>
              <w:left w:w="40" w:type="dxa"/>
              <w:bottom w:w="40" w:type="dxa"/>
              <w:right w:w="40" w:type="dxa"/>
            </w:tcMar>
          </w:tcPr>
          <w:p w14:paraId="7A40DBEB" w14:textId="2AE67AD1" w:rsidR="00994638" w:rsidRDefault="00994638" w:rsidP="00AE72A5">
            <w:pPr>
              <w:widowControl w:val="0"/>
              <w:spacing w:line="276" w:lineRule="auto"/>
              <w:jc w:val="center"/>
              <w:rPr>
                <w:rFonts w:ascii="Arial" w:eastAsia="Arial" w:hAnsi="Arial" w:cs="Arial"/>
                <w:sz w:val="20"/>
                <w:szCs w:val="20"/>
              </w:rPr>
            </w:pPr>
            <w:r w:rsidRPr="00D61A23">
              <w:t>-2.41%</w:t>
            </w:r>
          </w:p>
        </w:tc>
        <w:tc>
          <w:tcPr>
            <w:tcW w:w="1365" w:type="dxa"/>
            <w:tcBorders>
              <w:top w:val="nil"/>
              <w:left w:val="nil"/>
              <w:bottom w:val="nil"/>
              <w:right w:val="nil"/>
            </w:tcBorders>
            <w:tcMar>
              <w:top w:w="40" w:type="dxa"/>
              <w:left w:w="40" w:type="dxa"/>
              <w:bottom w:w="40" w:type="dxa"/>
              <w:right w:w="40" w:type="dxa"/>
            </w:tcMar>
          </w:tcPr>
          <w:p w14:paraId="2541C42D" w14:textId="6488C66B" w:rsidR="00994638" w:rsidRDefault="00994638" w:rsidP="00AE72A5">
            <w:pPr>
              <w:widowControl w:val="0"/>
              <w:spacing w:line="276" w:lineRule="auto"/>
              <w:jc w:val="center"/>
              <w:rPr>
                <w:rFonts w:ascii="Arial" w:eastAsia="Arial" w:hAnsi="Arial" w:cs="Arial"/>
                <w:sz w:val="20"/>
                <w:szCs w:val="20"/>
              </w:rPr>
            </w:pPr>
            <w:r w:rsidRPr="00D61A23">
              <w:t>-4.81%</w:t>
            </w:r>
          </w:p>
        </w:tc>
        <w:tc>
          <w:tcPr>
            <w:tcW w:w="1530" w:type="dxa"/>
            <w:tcBorders>
              <w:top w:val="nil"/>
              <w:left w:val="nil"/>
              <w:bottom w:val="nil"/>
              <w:right w:val="nil"/>
            </w:tcBorders>
            <w:tcMar>
              <w:top w:w="40" w:type="dxa"/>
              <w:left w:w="40" w:type="dxa"/>
              <w:bottom w:w="40" w:type="dxa"/>
              <w:right w:w="40" w:type="dxa"/>
            </w:tcMar>
          </w:tcPr>
          <w:p w14:paraId="670FCB49" w14:textId="641C6CC2" w:rsidR="00994638" w:rsidRDefault="00994638" w:rsidP="00AE72A5">
            <w:pPr>
              <w:widowControl w:val="0"/>
              <w:spacing w:line="276" w:lineRule="auto"/>
              <w:jc w:val="center"/>
              <w:rPr>
                <w:rFonts w:ascii="Arial" w:eastAsia="Arial" w:hAnsi="Arial" w:cs="Arial"/>
                <w:sz w:val="20"/>
                <w:szCs w:val="20"/>
              </w:rPr>
            </w:pPr>
            <w:r w:rsidRPr="00D61A23">
              <w:t>-4.72%</w:t>
            </w:r>
          </w:p>
        </w:tc>
        <w:tc>
          <w:tcPr>
            <w:tcW w:w="1380" w:type="dxa"/>
            <w:tcBorders>
              <w:top w:val="nil"/>
              <w:left w:val="nil"/>
              <w:bottom w:val="nil"/>
              <w:right w:val="nil"/>
            </w:tcBorders>
            <w:tcMar>
              <w:top w:w="40" w:type="dxa"/>
              <w:left w:w="40" w:type="dxa"/>
              <w:bottom w:w="40" w:type="dxa"/>
              <w:right w:w="40" w:type="dxa"/>
            </w:tcMar>
          </w:tcPr>
          <w:p w14:paraId="63F6A0A9" w14:textId="5F81D967" w:rsidR="00994638" w:rsidRDefault="00994638" w:rsidP="00AE72A5">
            <w:pPr>
              <w:widowControl w:val="0"/>
              <w:spacing w:line="276" w:lineRule="auto"/>
              <w:jc w:val="center"/>
              <w:rPr>
                <w:rFonts w:ascii="Arial" w:eastAsia="Arial" w:hAnsi="Arial" w:cs="Arial"/>
                <w:sz w:val="20"/>
                <w:szCs w:val="20"/>
              </w:rPr>
            </w:pPr>
            <w:r w:rsidRPr="00D61A23">
              <w:t>-4.95%</w:t>
            </w:r>
          </w:p>
        </w:tc>
      </w:tr>
      <w:tr w:rsidR="00D640F1" w14:paraId="6DD73974" w14:textId="77777777">
        <w:trPr>
          <w:trHeight w:val="365"/>
        </w:trPr>
        <w:tc>
          <w:tcPr>
            <w:tcW w:w="11985" w:type="dxa"/>
            <w:gridSpan w:val="8"/>
            <w:tcBorders>
              <w:top w:val="nil"/>
              <w:left w:val="nil"/>
              <w:bottom w:val="nil"/>
              <w:right w:val="nil"/>
            </w:tcBorders>
            <w:shd w:val="clear" w:color="auto" w:fill="auto"/>
            <w:tcMar>
              <w:top w:w="40" w:type="dxa"/>
              <w:left w:w="40" w:type="dxa"/>
              <w:bottom w:w="40" w:type="dxa"/>
              <w:right w:w="40" w:type="dxa"/>
            </w:tcMar>
            <w:vAlign w:val="bottom"/>
          </w:tcPr>
          <w:p w14:paraId="14FDF61B" w14:textId="77777777" w:rsidR="00D640F1" w:rsidRDefault="00000000">
            <w:pPr>
              <w:widowControl w:val="0"/>
              <w:spacing w:line="276" w:lineRule="auto"/>
              <w:jc w:val="center"/>
              <w:rPr>
                <w:rFonts w:ascii="Arial" w:eastAsia="Arial" w:hAnsi="Arial" w:cs="Arial"/>
                <w:sz w:val="20"/>
                <w:szCs w:val="20"/>
              </w:rPr>
            </w:pPr>
            <w:r>
              <w:rPr>
                <w:b/>
                <w:sz w:val="22"/>
                <w:szCs w:val="22"/>
              </w:rPr>
              <w:t>Short Selling</w:t>
            </w:r>
          </w:p>
        </w:tc>
      </w:tr>
      <w:tr w:rsidR="00D640F1" w14:paraId="4CB814D0" w14:textId="77777777" w:rsidTr="00AE45BA">
        <w:trPr>
          <w:trHeight w:val="315"/>
        </w:trPr>
        <w:tc>
          <w:tcPr>
            <w:tcW w:w="1462" w:type="dxa"/>
            <w:tcBorders>
              <w:top w:val="nil"/>
              <w:left w:val="nil"/>
              <w:bottom w:val="nil"/>
              <w:right w:val="nil"/>
            </w:tcBorders>
            <w:tcMar>
              <w:top w:w="40" w:type="dxa"/>
              <w:left w:w="40" w:type="dxa"/>
              <w:bottom w:w="40" w:type="dxa"/>
              <w:right w:w="40" w:type="dxa"/>
            </w:tcMar>
            <w:vAlign w:val="bottom"/>
          </w:tcPr>
          <w:p w14:paraId="74C41A90" w14:textId="77777777" w:rsidR="00D640F1" w:rsidRDefault="00000000">
            <w:pPr>
              <w:widowControl w:val="0"/>
              <w:spacing w:line="276" w:lineRule="auto"/>
              <w:rPr>
                <w:rFonts w:ascii="Arial" w:eastAsia="Arial" w:hAnsi="Arial" w:cs="Arial"/>
                <w:sz w:val="20"/>
                <w:szCs w:val="20"/>
              </w:rPr>
            </w:pPr>
            <w:r>
              <w:rPr>
                <w:b/>
                <w:sz w:val="22"/>
                <w:szCs w:val="22"/>
              </w:rPr>
              <w:t>Weights</w:t>
            </w:r>
          </w:p>
        </w:tc>
        <w:tc>
          <w:tcPr>
            <w:tcW w:w="1478" w:type="dxa"/>
            <w:tcBorders>
              <w:top w:val="nil"/>
              <w:left w:val="nil"/>
              <w:bottom w:val="nil"/>
              <w:right w:val="nil"/>
            </w:tcBorders>
            <w:tcMar>
              <w:top w:w="40" w:type="dxa"/>
              <w:left w:w="40" w:type="dxa"/>
              <w:bottom w:w="40" w:type="dxa"/>
              <w:right w:w="40" w:type="dxa"/>
            </w:tcMar>
            <w:vAlign w:val="bottom"/>
          </w:tcPr>
          <w:p w14:paraId="223BF73B" w14:textId="77777777" w:rsidR="00D640F1" w:rsidRDefault="00D640F1">
            <w:pPr>
              <w:widowControl w:val="0"/>
              <w:spacing w:line="276" w:lineRule="auto"/>
              <w:rPr>
                <w:rFonts w:ascii="Arial" w:eastAsia="Arial" w:hAnsi="Arial" w:cs="Arial"/>
                <w:sz w:val="20"/>
                <w:szCs w:val="20"/>
              </w:rPr>
            </w:pPr>
          </w:p>
        </w:tc>
        <w:tc>
          <w:tcPr>
            <w:tcW w:w="1560" w:type="dxa"/>
            <w:tcBorders>
              <w:top w:val="nil"/>
              <w:left w:val="nil"/>
              <w:bottom w:val="nil"/>
              <w:right w:val="nil"/>
            </w:tcBorders>
            <w:tcMar>
              <w:top w:w="40" w:type="dxa"/>
              <w:left w:w="40" w:type="dxa"/>
              <w:bottom w:w="40" w:type="dxa"/>
              <w:right w:w="40" w:type="dxa"/>
            </w:tcMar>
            <w:vAlign w:val="bottom"/>
          </w:tcPr>
          <w:p w14:paraId="71886214" w14:textId="77777777" w:rsidR="00D640F1" w:rsidRDefault="00D640F1">
            <w:pPr>
              <w:widowControl w:val="0"/>
              <w:spacing w:line="276" w:lineRule="auto"/>
              <w:rPr>
                <w:rFonts w:ascii="Arial" w:eastAsia="Arial" w:hAnsi="Arial" w:cs="Arial"/>
                <w:sz w:val="20"/>
                <w:szCs w:val="20"/>
              </w:rPr>
            </w:pPr>
          </w:p>
        </w:tc>
        <w:tc>
          <w:tcPr>
            <w:tcW w:w="1410" w:type="dxa"/>
            <w:tcBorders>
              <w:top w:val="nil"/>
              <w:left w:val="nil"/>
              <w:bottom w:val="nil"/>
              <w:right w:val="nil"/>
            </w:tcBorders>
            <w:tcMar>
              <w:top w:w="40" w:type="dxa"/>
              <w:left w:w="40" w:type="dxa"/>
              <w:bottom w:w="40" w:type="dxa"/>
              <w:right w:w="40" w:type="dxa"/>
            </w:tcMar>
            <w:vAlign w:val="bottom"/>
          </w:tcPr>
          <w:p w14:paraId="18279CB1" w14:textId="77777777" w:rsidR="00D640F1" w:rsidRDefault="00D640F1">
            <w:pPr>
              <w:widowControl w:val="0"/>
              <w:spacing w:line="276" w:lineRule="auto"/>
              <w:rPr>
                <w:rFonts w:ascii="Arial" w:eastAsia="Arial" w:hAnsi="Arial" w:cs="Arial"/>
                <w:sz w:val="20"/>
                <w:szCs w:val="20"/>
              </w:rPr>
            </w:pPr>
          </w:p>
        </w:tc>
        <w:tc>
          <w:tcPr>
            <w:tcW w:w="1800" w:type="dxa"/>
            <w:tcBorders>
              <w:top w:val="nil"/>
              <w:left w:val="nil"/>
              <w:bottom w:val="nil"/>
              <w:right w:val="nil"/>
            </w:tcBorders>
            <w:tcMar>
              <w:top w:w="40" w:type="dxa"/>
              <w:left w:w="40" w:type="dxa"/>
              <w:bottom w:w="40" w:type="dxa"/>
              <w:right w:w="40" w:type="dxa"/>
            </w:tcMar>
            <w:vAlign w:val="bottom"/>
          </w:tcPr>
          <w:p w14:paraId="42B2FCDB" w14:textId="77777777" w:rsidR="00D640F1" w:rsidRDefault="00D640F1">
            <w:pPr>
              <w:widowControl w:val="0"/>
              <w:spacing w:line="276" w:lineRule="auto"/>
              <w:rPr>
                <w:rFonts w:ascii="Arial" w:eastAsia="Arial" w:hAnsi="Arial" w:cs="Arial"/>
                <w:sz w:val="20"/>
                <w:szCs w:val="20"/>
              </w:rPr>
            </w:pPr>
          </w:p>
        </w:tc>
        <w:tc>
          <w:tcPr>
            <w:tcW w:w="1365" w:type="dxa"/>
            <w:tcBorders>
              <w:top w:val="nil"/>
              <w:left w:val="nil"/>
              <w:bottom w:val="nil"/>
              <w:right w:val="nil"/>
            </w:tcBorders>
            <w:tcMar>
              <w:top w:w="40" w:type="dxa"/>
              <w:left w:w="40" w:type="dxa"/>
              <w:bottom w:w="40" w:type="dxa"/>
              <w:right w:w="40" w:type="dxa"/>
            </w:tcMar>
            <w:vAlign w:val="bottom"/>
          </w:tcPr>
          <w:p w14:paraId="679B2D21" w14:textId="77777777" w:rsidR="00D640F1" w:rsidRDefault="00D640F1">
            <w:pPr>
              <w:widowControl w:val="0"/>
              <w:spacing w:line="276" w:lineRule="auto"/>
              <w:rPr>
                <w:rFonts w:ascii="Arial" w:eastAsia="Arial" w:hAnsi="Arial" w:cs="Arial"/>
                <w:sz w:val="20"/>
                <w:szCs w:val="20"/>
              </w:rPr>
            </w:pPr>
          </w:p>
        </w:tc>
        <w:tc>
          <w:tcPr>
            <w:tcW w:w="1530" w:type="dxa"/>
            <w:tcBorders>
              <w:top w:val="nil"/>
              <w:left w:val="nil"/>
              <w:bottom w:val="nil"/>
              <w:right w:val="nil"/>
            </w:tcBorders>
            <w:tcMar>
              <w:top w:w="40" w:type="dxa"/>
              <w:left w:w="40" w:type="dxa"/>
              <w:bottom w:w="40" w:type="dxa"/>
              <w:right w:w="40" w:type="dxa"/>
            </w:tcMar>
            <w:vAlign w:val="bottom"/>
          </w:tcPr>
          <w:p w14:paraId="471F4772" w14:textId="77777777" w:rsidR="00D640F1" w:rsidRDefault="00D640F1">
            <w:pPr>
              <w:widowControl w:val="0"/>
              <w:spacing w:line="276" w:lineRule="auto"/>
              <w:rPr>
                <w:rFonts w:ascii="Arial" w:eastAsia="Arial" w:hAnsi="Arial" w:cs="Arial"/>
                <w:sz w:val="20"/>
                <w:szCs w:val="20"/>
              </w:rPr>
            </w:pPr>
          </w:p>
        </w:tc>
        <w:tc>
          <w:tcPr>
            <w:tcW w:w="1380" w:type="dxa"/>
            <w:tcBorders>
              <w:top w:val="nil"/>
              <w:left w:val="nil"/>
              <w:bottom w:val="nil"/>
              <w:right w:val="nil"/>
            </w:tcBorders>
            <w:tcMar>
              <w:top w:w="40" w:type="dxa"/>
              <w:left w:w="40" w:type="dxa"/>
              <w:bottom w:w="40" w:type="dxa"/>
              <w:right w:w="40" w:type="dxa"/>
            </w:tcMar>
            <w:vAlign w:val="bottom"/>
          </w:tcPr>
          <w:p w14:paraId="1604AEF1" w14:textId="77777777" w:rsidR="00D640F1" w:rsidRDefault="00D640F1">
            <w:pPr>
              <w:widowControl w:val="0"/>
              <w:spacing w:line="276" w:lineRule="auto"/>
              <w:rPr>
                <w:rFonts w:ascii="Arial" w:eastAsia="Arial" w:hAnsi="Arial" w:cs="Arial"/>
                <w:sz w:val="20"/>
                <w:szCs w:val="20"/>
              </w:rPr>
            </w:pPr>
          </w:p>
        </w:tc>
      </w:tr>
      <w:tr w:rsidR="00184A99" w14:paraId="4FADE292" w14:textId="77777777" w:rsidTr="002C1C70">
        <w:trPr>
          <w:trHeight w:val="315"/>
        </w:trPr>
        <w:tc>
          <w:tcPr>
            <w:tcW w:w="1462" w:type="dxa"/>
            <w:tcBorders>
              <w:top w:val="nil"/>
              <w:left w:val="nil"/>
              <w:bottom w:val="nil"/>
              <w:right w:val="nil"/>
            </w:tcBorders>
            <w:tcMar>
              <w:top w:w="40" w:type="dxa"/>
              <w:left w:w="40" w:type="dxa"/>
              <w:bottom w:w="40" w:type="dxa"/>
              <w:right w:w="40" w:type="dxa"/>
            </w:tcMar>
            <w:vAlign w:val="bottom"/>
          </w:tcPr>
          <w:p w14:paraId="4D03516B" w14:textId="77777777" w:rsidR="00184A99" w:rsidRDefault="00184A99" w:rsidP="00184A99">
            <w:pPr>
              <w:widowControl w:val="0"/>
              <w:spacing w:line="276" w:lineRule="auto"/>
              <w:rPr>
                <w:rFonts w:ascii="Arial" w:eastAsia="Arial" w:hAnsi="Arial" w:cs="Arial"/>
                <w:sz w:val="20"/>
                <w:szCs w:val="20"/>
              </w:rPr>
            </w:pPr>
            <w:r>
              <w:rPr>
                <w:sz w:val="22"/>
                <w:szCs w:val="22"/>
              </w:rPr>
              <w:t>Metal</w:t>
            </w:r>
          </w:p>
        </w:tc>
        <w:tc>
          <w:tcPr>
            <w:tcW w:w="1478" w:type="dxa"/>
            <w:tcBorders>
              <w:top w:val="nil"/>
              <w:left w:val="nil"/>
              <w:bottom w:val="nil"/>
              <w:right w:val="nil"/>
            </w:tcBorders>
            <w:tcMar>
              <w:top w:w="40" w:type="dxa"/>
              <w:left w:w="40" w:type="dxa"/>
              <w:bottom w:w="40" w:type="dxa"/>
              <w:right w:w="40" w:type="dxa"/>
            </w:tcMar>
          </w:tcPr>
          <w:p w14:paraId="13575841" w14:textId="72ECEE59" w:rsidR="00184A99" w:rsidRDefault="00184A99" w:rsidP="00AE72A5">
            <w:pPr>
              <w:widowControl w:val="0"/>
              <w:spacing w:line="276" w:lineRule="auto"/>
              <w:jc w:val="center"/>
              <w:rPr>
                <w:rFonts w:ascii="Arial" w:eastAsia="Arial" w:hAnsi="Arial" w:cs="Arial"/>
                <w:sz w:val="20"/>
                <w:szCs w:val="20"/>
              </w:rPr>
            </w:pPr>
            <w:r w:rsidRPr="00B87F80">
              <w:t>33.33%</w:t>
            </w:r>
          </w:p>
        </w:tc>
        <w:tc>
          <w:tcPr>
            <w:tcW w:w="1560" w:type="dxa"/>
            <w:tcBorders>
              <w:top w:val="nil"/>
              <w:left w:val="nil"/>
              <w:bottom w:val="nil"/>
              <w:right w:val="nil"/>
            </w:tcBorders>
            <w:tcMar>
              <w:top w:w="40" w:type="dxa"/>
              <w:left w:w="40" w:type="dxa"/>
              <w:bottom w:w="40" w:type="dxa"/>
              <w:right w:w="40" w:type="dxa"/>
            </w:tcMar>
          </w:tcPr>
          <w:p w14:paraId="18E17C0C" w14:textId="160297CB" w:rsidR="00184A99" w:rsidRDefault="00184A99" w:rsidP="00AE72A5">
            <w:pPr>
              <w:widowControl w:val="0"/>
              <w:spacing w:line="276" w:lineRule="auto"/>
              <w:jc w:val="center"/>
              <w:rPr>
                <w:rFonts w:ascii="Arial" w:eastAsia="Arial" w:hAnsi="Arial" w:cs="Arial"/>
                <w:sz w:val="20"/>
                <w:szCs w:val="20"/>
              </w:rPr>
            </w:pPr>
            <w:r w:rsidRPr="00B87F80">
              <w:t>95.62%</w:t>
            </w:r>
          </w:p>
        </w:tc>
        <w:tc>
          <w:tcPr>
            <w:tcW w:w="1410" w:type="dxa"/>
            <w:tcBorders>
              <w:top w:val="nil"/>
              <w:left w:val="nil"/>
              <w:bottom w:val="nil"/>
              <w:right w:val="nil"/>
            </w:tcBorders>
            <w:tcMar>
              <w:top w:w="40" w:type="dxa"/>
              <w:left w:w="40" w:type="dxa"/>
              <w:bottom w:w="40" w:type="dxa"/>
              <w:right w:w="40" w:type="dxa"/>
            </w:tcMar>
          </w:tcPr>
          <w:p w14:paraId="1D60A84F" w14:textId="3BE2C29C" w:rsidR="00184A99" w:rsidRDefault="00184A99" w:rsidP="00AE72A5">
            <w:pPr>
              <w:widowControl w:val="0"/>
              <w:spacing w:line="276" w:lineRule="auto"/>
              <w:jc w:val="center"/>
              <w:rPr>
                <w:rFonts w:ascii="Arial" w:eastAsia="Arial" w:hAnsi="Arial" w:cs="Arial"/>
                <w:sz w:val="20"/>
                <w:szCs w:val="20"/>
              </w:rPr>
            </w:pPr>
            <w:r w:rsidRPr="00B87F80">
              <w:t>36.66%</w:t>
            </w:r>
          </w:p>
        </w:tc>
        <w:tc>
          <w:tcPr>
            <w:tcW w:w="1800" w:type="dxa"/>
            <w:tcBorders>
              <w:top w:val="nil"/>
              <w:left w:val="nil"/>
              <w:bottom w:val="nil"/>
              <w:right w:val="nil"/>
            </w:tcBorders>
            <w:tcMar>
              <w:top w:w="40" w:type="dxa"/>
              <w:left w:w="40" w:type="dxa"/>
              <w:bottom w:w="40" w:type="dxa"/>
              <w:right w:w="40" w:type="dxa"/>
            </w:tcMar>
          </w:tcPr>
          <w:p w14:paraId="2025B146" w14:textId="0566090A" w:rsidR="00184A99" w:rsidRDefault="00184A99" w:rsidP="00AE72A5">
            <w:pPr>
              <w:widowControl w:val="0"/>
              <w:spacing w:line="276" w:lineRule="auto"/>
              <w:jc w:val="center"/>
              <w:rPr>
                <w:rFonts w:ascii="Arial" w:eastAsia="Arial" w:hAnsi="Arial" w:cs="Arial"/>
                <w:sz w:val="20"/>
                <w:szCs w:val="20"/>
              </w:rPr>
            </w:pPr>
            <w:r w:rsidRPr="00B87F80">
              <w:t>32.17%</w:t>
            </w:r>
          </w:p>
        </w:tc>
        <w:tc>
          <w:tcPr>
            <w:tcW w:w="1365" w:type="dxa"/>
            <w:tcBorders>
              <w:top w:val="nil"/>
              <w:left w:val="nil"/>
              <w:bottom w:val="nil"/>
              <w:right w:val="nil"/>
            </w:tcBorders>
            <w:tcMar>
              <w:top w:w="40" w:type="dxa"/>
              <w:left w:w="40" w:type="dxa"/>
              <w:bottom w:w="40" w:type="dxa"/>
              <w:right w:w="40" w:type="dxa"/>
            </w:tcMar>
          </w:tcPr>
          <w:p w14:paraId="610E8459" w14:textId="548A9076" w:rsidR="00184A99" w:rsidRDefault="00184A99" w:rsidP="00AE72A5">
            <w:pPr>
              <w:widowControl w:val="0"/>
              <w:spacing w:line="276" w:lineRule="auto"/>
              <w:jc w:val="center"/>
              <w:rPr>
                <w:rFonts w:ascii="Arial" w:eastAsia="Arial" w:hAnsi="Arial" w:cs="Arial"/>
                <w:sz w:val="20"/>
                <w:szCs w:val="20"/>
              </w:rPr>
            </w:pPr>
            <w:r w:rsidRPr="00B87F80">
              <w:t>100.00%</w:t>
            </w:r>
          </w:p>
        </w:tc>
        <w:tc>
          <w:tcPr>
            <w:tcW w:w="1530" w:type="dxa"/>
            <w:tcBorders>
              <w:top w:val="nil"/>
              <w:left w:val="nil"/>
              <w:bottom w:val="nil"/>
              <w:right w:val="nil"/>
            </w:tcBorders>
            <w:tcMar>
              <w:top w:w="40" w:type="dxa"/>
              <w:left w:w="40" w:type="dxa"/>
              <w:bottom w:w="40" w:type="dxa"/>
              <w:right w:w="40" w:type="dxa"/>
            </w:tcMar>
          </w:tcPr>
          <w:p w14:paraId="04F833D6" w14:textId="1D9E05FE" w:rsidR="00184A99" w:rsidRDefault="00184A99" w:rsidP="00AE72A5">
            <w:pPr>
              <w:widowControl w:val="0"/>
              <w:spacing w:line="276" w:lineRule="auto"/>
              <w:jc w:val="center"/>
              <w:rPr>
                <w:rFonts w:ascii="Arial" w:eastAsia="Arial" w:hAnsi="Arial" w:cs="Arial"/>
                <w:sz w:val="20"/>
                <w:szCs w:val="20"/>
              </w:rPr>
            </w:pPr>
            <w:r w:rsidRPr="00B87F80">
              <w:t>99.93%</w:t>
            </w:r>
          </w:p>
        </w:tc>
        <w:tc>
          <w:tcPr>
            <w:tcW w:w="1380" w:type="dxa"/>
            <w:tcBorders>
              <w:top w:val="nil"/>
              <w:left w:val="nil"/>
              <w:bottom w:val="nil"/>
              <w:right w:val="nil"/>
            </w:tcBorders>
            <w:tcMar>
              <w:top w:w="40" w:type="dxa"/>
              <w:left w:w="40" w:type="dxa"/>
              <w:bottom w:w="40" w:type="dxa"/>
              <w:right w:w="40" w:type="dxa"/>
            </w:tcMar>
          </w:tcPr>
          <w:p w14:paraId="40E942A1" w14:textId="2E7FB6B2" w:rsidR="00184A99" w:rsidRDefault="00184A99" w:rsidP="00AE72A5">
            <w:pPr>
              <w:widowControl w:val="0"/>
              <w:spacing w:line="276" w:lineRule="auto"/>
              <w:jc w:val="center"/>
              <w:rPr>
                <w:rFonts w:ascii="Arial" w:eastAsia="Arial" w:hAnsi="Arial" w:cs="Arial"/>
                <w:sz w:val="20"/>
                <w:szCs w:val="20"/>
              </w:rPr>
            </w:pPr>
            <w:r w:rsidRPr="00B87F80">
              <w:t>30.21%</w:t>
            </w:r>
          </w:p>
        </w:tc>
      </w:tr>
      <w:tr w:rsidR="00184A99" w14:paraId="1F403505" w14:textId="77777777" w:rsidTr="002C1C70">
        <w:trPr>
          <w:trHeight w:val="315"/>
        </w:trPr>
        <w:tc>
          <w:tcPr>
            <w:tcW w:w="1462" w:type="dxa"/>
            <w:tcBorders>
              <w:top w:val="nil"/>
              <w:left w:val="nil"/>
              <w:bottom w:val="nil"/>
              <w:right w:val="nil"/>
            </w:tcBorders>
            <w:tcMar>
              <w:top w:w="40" w:type="dxa"/>
              <w:left w:w="40" w:type="dxa"/>
              <w:bottom w:w="40" w:type="dxa"/>
              <w:right w:w="40" w:type="dxa"/>
            </w:tcMar>
            <w:vAlign w:val="bottom"/>
          </w:tcPr>
          <w:p w14:paraId="5CD9CAD6" w14:textId="77777777" w:rsidR="00184A99" w:rsidRDefault="00184A99" w:rsidP="00184A99">
            <w:pPr>
              <w:widowControl w:val="0"/>
              <w:spacing w:line="276" w:lineRule="auto"/>
              <w:rPr>
                <w:rFonts w:ascii="Arial" w:eastAsia="Arial" w:hAnsi="Arial" w:cs="Arial"/>
                <w:sz w:val="20"/>
                <w:szCs w:val="20"/>
              </w:rPr>
            </w:pPr>
            <w:r>
              <w:rPr>
                <w:sz w:val="22"/>
                <w:szCs w:val="22"/>
              </w:rPr>
              <w:t>Energy</w:t>
            </w:r>
          </w:p>
        </w:tc>
        <w:tc>
          <w:tcPr>
            <w:tcW w:w="1478" w:type="dxa"/>
            <w:tcBorders>
              <w:top w:val="nil"/>
              <w:left w:val="nil"/>
              <w:bottom w:val="nil"/>
              <w:right w:val="nil"/>
            </w:tcBorders>
            <w:tcMar>
              <w:top w:w="40" w:type="dxa"/>
              <w:left w:w="40" w:type="dxa"/>
              <w:bottom w:w="40" w:type="dxa"/>
              <w:right w:w="40" w:type="dxa"/>
            </w:tcMar>
          </w:tcPr>
          <w:p w14:paraId="2A475EBE" w14:textId="69071CEF" w:rsidR="00184A99" w:rsidRDefault="00184A99" w:rsidP="00AE72A5">
            <w:pPr>
              <w:widowControl w:val="0"/>
              <w:spacing w:line="276" w:lineRule="auto"/>
              <w:jc w:val="center"/>
              <w:rPr>
                <w:rFonts w:ascii="Arial" w:eastAsia="Arial" w:hAnsi="Arial" w:cs="Arial"/>
                <w:sz w:val="20"/>
                <w:szCs w:val="20"/>
              </w:rPr>
            </w:pPr>
            <w:r w:rsidRPr="00B87F80">
              <w:t>33.33%</w:t>
            </w:r>
          </w:p>
        </w:tc>
        <w:tc>
          <w:tcPr>
            <w:tcW w:w="1560" w:type="dxa"/>
            <w:tcBorders>
              <w:top w:val="nil"/>
              <w:left w:val="nil"/>
              <w:bottom w:val="nil"/>
              <w:right w:val="nil"/>
            </w:tcBorders>
            <w:tcMar>
              <w:top w:w="40" w:type="dxa"/>
              <w:left w:w="40" w:type="dxa"/>
              <w:bottom w:w="40" w:type="dxa"/>
              <w:right w:w="40" w:type="dxa"/>
            </w:tcMar>
          </w:tcPr>
          <w:p w14:paraId="0F0A6130" w14:textId="528CE42F" w:rsidR="00184A99" w:rsidRDefault="00184A99" w:rsidP="00AE72A5">
            <w:pPr>
              <w:widowControl w:val="0"/>
              <w:spacing w:line="276" w:lineRule="auto"/>
              <w:jc w:val="center"/>
              <w:rPr>
                <w:rFonts w:ascii="Arial" w:eastAsia="Arial" w:hAnsi="Arial" w:cs="Arial"/>
                <w:sz w:val="20"/>
                <w:szCs w:val="20"/>
              </w:rPr>
            </w:pPr>
            <w:r w:rsidRPr="00B87F80">
              <w:t>50.85%</w:t>
            </w:r>
          </w:p>
        </w:tc>
        <w:tc>
          <w:tcPr>
            <w:tcW w:w="1410" w:type="dxa"/>
            <w:tcBorders>
              <w:top w:val="nil"/>
              <w:left w:val="nil"/>
              <w:bottom w:val="nil"/>
              <w:right w:val="nil"/>
            </w:tcBorders>
            <w:tcMar>
              <w:top w:w="40" w:type="dxa"/>
              <w:left w:w="40" w:type="dxa"/>
              <w:bottom w:w="40" w:type="dxa"/>
              <w:right w:w="40" w:type="dxa"/>
            </w:tcMar>
          </w:tcPr>
          <w:p w14:paraId="1C3F30D4" w14:textId="567F7751" w:rsidR="00184A99" w:rsidRDefault="00184A99" w:rsidP="00AE72A5">
            <w:pPr>
              <w:widowControl w:val="0"/>
              <w:spacing w:line="276" w:lineRule="auto"/>
              <w:jc w:val="center"/>
              <w:rPr>
                <w:rFonts w:ascii="Arial" w:eastAsia="Arial" w:hAnsi="Arial" w:cs="Arial"/>
                <w:sz w:val="20"/>
                <w:szCs w:val="20"/>
              </w:rPr>
            </w:pPr>
            <w:r w:rsidRPr="00B87F80">
              <w:t>9.88%</w:t>
            </w:r>
          </w:p>
        </w:tc>
        <w:tc>
          <w:tcPr>
            <w:tcW w:w="1800" w:type="dxa"/>
            <w:tcBorders>
              <w:top w:val="nil"/>
              <w:left w:val="nil"/>
              <w:bottom w:val="nil"/>
              <w:right w:val="nil"/>
            </w:tcBorders>
            <w:tcMar>
              <w:top w:w="40" w:type="dxa"/>
              <w:left w:w="40" w:type="dxa"/>
              <w:bottom w:w="40" w:type="dxa"/>
              <w:right w:w="40" w:type="dxa"/>
            </w:tcMar>
          </w:tcPr>
          <w:p w14:paraId="3F40E5F2" w14:textId="77C7E471" w:rsidR="00184A99" w:rsidRDefault="00184A99" w:rsidP="00AE72A5">
            <w:pPr>
              <w:widowControl w:val="0"/>
              <w:spacing w:line="276" w:lineRule="auto"/>
              <w:jc w:val="center"/>
              <w:rPr>
                <w:rFonts w:ascii="Arial" w:eastAsia="Arial" w:hAnsi="Arial" w:cs="Arial"/>
                <w:sz w:val="20"/>
                <w:szCs w:val="20"/>
              </w:rPr>
            </w:pPr>
            <w:r w:rsidRPr="00B87F80">
              <w:t>34.52%</w:t>
            </w:r>
          </w:p>
        </w:tc>
        <w:tc>
          <w:tcPr>
            <w:tcW w:w="1365" w:type="dxa"/>
            <w:tcBorders>
              <w:top w:val="nil"/>
              <w:left w:val="nil"/>
              <w:bottom w:val="nil"/>
              <w:right w:val="nil"/>
            </w:tcBorders>
            <w:tcMar>
              <w:top w:w="40" w:type="dxa"/>
              <w:left w:w="40" w:type="dxa"/>
              <w:bottom w:w="40" w:type="dxa"/>
              <w:right w:w="40" w:type="dxa"/>
            </w:tcMar>
          </w:tcPr>
          <w:p w14:paraId="37C23FD8" w14:textId="21C7A596" w:rsidR="00184A99" w:rsidRDefault="00184A99" w:rsidP="00AE72A5">
            <w:pPr>
              <w:widowControl w:val="0"/>
              <w:spacing w:line="276" w:lineRule="auto"/>
              <w:jc w:val="center"/>
              <w:rPr>
                <w:rFonts w:ascii="Arial" w:eastAsia="Arial" w:hAnsi="Arial" w:cs="Arial"/>
                <w:sz w:val="20"/>
                <w:szCs w:val="20"/>
              </w:rPr>
            </w:pPr>
            <w:r w:rsidRPr="00B87F80">
              <w:t>100.00%</w:t>
            </w:r>
          </w:p>
        </w:tc>
        <w:tc>
          <w:tcPr>
            <w:tcW w:w="1530" w:type="dxa"/>
            <w:tcBorders>
              <w:top w:val="nil"/>
              <w:left w:val="nil"/>
              <w:bottom w:val="nil"/>
              <w:right w:val="nil"/>
            </w:tcBorders>
            <w:tcMar>
              <w:top w:w="40" w:type="dxa"/>
              <w:left w:w="40" w:type="dxa"/>
              <w:bottom w:w="40" w:type="dxa"/>
              <w:right w:w="40" w:type="dxa"/>
            </w:tcMar>
          </w:tcPr>
          <w:p w14:paraId="32180D86" w14:textId="383E1EFA" w:rsidR="00184A99" w:rsidRDefault="00184A99" w:rsidP="00AE72A5">
            <w:pPr>
              <w:widowControl w:val="0"/>
              <w:spacing w:line="276" w:lineRule="auto"/>
              <w:jc w:val="center"/>
              <w:rPr>
                <w:rFonts w:ascii="Arial" w:eastAsia="Arial" w:hAnsi="Arial" w:cs="Arial"/>
                <w:sz w:val="20"/>
                <w:szCs w:val="20"/>
              </w:rPr>
            </w:pPr>
            <w:r w:rsidRPr="00B87F80">
              <w:t>100.00%</w:t>
            </w:r>
          </w:p>
        </w:tc>
        <w:tc>
          <w:tcPr>
            <w:tcW w:w="1380" w:type="dxa"/>
            <w:tcBorders>
              <w:top w:val="nil"/>
              <w:left w:val="nil"/>
              <w:bottom w:val="nil"/>
              <w:right w:val="nil"/>
            </w:tcBorders>
            <w:tcMar>
              <w:top w:w="40" w:type="dxa"/>
              <w:left w:w="40" w:type="dxa"/>
              <w:bottom w:w="40" w:type="dxa"/>
              <w:right w:w="40" w:type="dxa"/>
            </w:tcMar>
          </w:tcPr>
          <w:p w14:paraId="5FCB8F2A" w14:textId="5BBFF3FD" w:rsidR="00184A99" w:rsidRDefault="00184A99" w:rsidP="00AE72A5">
            <w:pPr>
              <w:widowControl w:val="0"/>
              <w:spacing w:line="276" w:lineRule="auto"/>
              <w:jc w:val="center"/>
              <w:rPr>
                <w:rFonts w:ascii="Arial" w:eastAsia="Arial" w:hAnsi="Arial" w:cs="Arial"/>
                <w:sz w:val="20"/>
                <w:szCs w:val="20"/>
              </w:rPr>
            </w:pPr>
            <w:r w:rsidRPr="00B87F80">
              <w:t>84.58%</w:t>
            </w:r>
          </w:p>
        </w:tc>
      </w:tr>
      <w:tr w:rsidR="00184A99" w14:paraId="00714388" w14:textId="77777777" w:rsidTr="002C1C70">
        <w:trPr>
          <w:trHeight w:val="315"/>
        </w:trPr>
        <w:tc>
          <w:tcPr>
            <w:tcW w:w="1462" w:type="dxa"/>
            <w:tcBorders>
              <w:top w:val="nil"/>
              <w:left w:val="nil"/>
              <w:bottom w:val="nil"/>
              <w:right w:val="nil"/>
            </w:tcBorders>
            <w:tcMar>
              <w:top w:w="40" w:type="dxa"/>
              <w:left w:w="40" w:type="dxa"/>
              <w:bottom w:w="40" w:type="dxa"/>
              <w:right w:w="40" w:type="dxa"/>
            </w:tcMar>
            <w:vAlign w:val="bottom"/>
          </w:tcPr>
          <w:p w14:paraId="7D3ED6D5" w14:textId="77777777" w:rsidR="00184A99" w:rsidRDefault="00184A99" w:rsidP="00184A99">
            <w:pPr>
              <w:widowControl w:val="0"/>
              <w:spacing w:line="276" w:lineRule="auto"/>
              <w:rPr>
                <w:rFonts w:ascii="Arial" w:eastAsia="Arial" w:hAnsi="Arial" w:cs="Arial"/>
                <w:sz w:val="20"/>
                <w:szCs w:val="20"/>
              </w:rPr>
            </w:pPr>
            <w:r>
              <w:rPr>
                <w:sz w:val="22"/>
                <w:szCs w:val="22"/>
              </w:rPr>
              <w:t>Agricultural</w:t>
            </w:r>
          </w:p>
        </w:tc>
        <w:tc>
          <w:tcPr>
            <w:tcW w:w="1478" w:type="dxa"/>
            <w:tcBorders>
              <w:top w:val="nil"/>
              <w:left w:val="nil"/>
              <w:bottom w:val="nil"/>
              <w:right w:val="nil"/>
            </w:tcBorders>
            <w:tcMar>
              <w:top w:w="40" w:type="dxa"/>
              <w:left w:w="40" w:type="dxa"/>
              <w:bottom w:w="40" w:type="dxa"/>
              <w:right w:w="40" w:type="dxa"/>
            </w:tcMar>
          </w:tcPr>
          <w:p w14:paraId="6EC4974C" w14:textId="16B40ADE" w:rsidR="00184A99" w:rsidRDefault="00184A99" w:rsidP="00AE72A5">
            <w:pPr>
              <w:widowControl w:val="0"/>
              <w:spacing w:line="276" w:lineRule="auto"/>
              <w:jc w:val="center"/>
              <w:rPr>
                <w:rFonts w:ascii="Arial" w:eastAsia="Arial" w:hAnsi="Arial" w:cs="Arial"/>
                <w:sz w:val="20"/>
                <w:szCs w:val="20"/>
              </w:rPr>
            </w:pPr>
            <w:r w:rsidRPr="00B87F80">
              <w:t>33.33%</w:t>
            </w:r>
          </w:p>
        </w:tc>
        <w:tc>
          <w:tcPr>
            <w:tcW w:w="1560" w:type="dxa"/>
            <w:tcBorders>
              <w:top w:val="nil"/>
              <w:left w:val="nil"/>
              <w:bottom w:val="nil"/>
              <w:right w:val="nil"/>
            </w:tcBorders>
            <w:tcMar>
              <w:top w:w="40" w:type="dxa"/>
              <w:left w:w="40" w:type="dxa"/>
              <w:bottom w:w="40" w:type="dxa"/>
              <w:right w:w="40" w:type="dxa"/>
            </w:tcMar>
          </w:tcPr>
          <w:p w14:paraId="06ED2A6F" w14:textId="0429FA17" w:rsidR="00184A99" w:rsidRDefault="00184A99" w:rsidP="00AE72A5">
            <w:pPr>
              <w:widowControl w:val="0"/>
              <w:spacing w:line="276" w:lineRule="auto"/>
              <w:jc w:val="center"/>
              <w:rPr>
                <w:rFonts w:ascii="Arial" w:eastAsia="Arial" w:hAnsi="Arial" w:cs="Arial"/>
                <w:sz w:val="20"/>
                <w:szCs w:val="20"/>
              </w:rPr>
            </w:pPr>
            <w:r w:rsidRPr="00B87F80">
              <w:t>-46.46%</w:t>
            </w:r>
          </w:p>
        </w:tc>
        <w:tc>
          <w:tcPr>
            <w:tcW w:w="1410" w:type="dxa"/>
            <w:tcBorders>
              <w:top w:val="nil"/>
              <w:left w:val="nil"/>
              <w:bottom w:val="nil"/>
              <w:right w:val="nil"/>
            </w:tcBorders>
            <w:tcMar>
              <w:top w:w="40" w:type="dxa"/>
              <w:left w:w="40" w:type="dxa"/>
              <w:bottom w:w="40" w:type="dxa"/>
              <w:right w:w="40" w:type="dxa"/>
            </w:tcMar>
          </w:tcPr>
          <w:p w14:paraId="5381A67C" w14:textId="20319F7B" w:rsidR="00184A99" w:rsidRDefault="00184A99" w:rsidP="00AE72A5">
            <w:pPr>
              <w:widowControl w:val="0"/>
              <w:spacing w:line="276" w:lineRule="auto"/>
              <w:jc w:val="center"/>
              <w:rPr>
                <w:rFonts w:ascii="Arial" w:eastAsia="Arial" w:hAnsi="Arial" w:cs="Arial"/>
                <w:sz w:val="20"/>
                <w:szCs w:val="20"/>
              </w:rPr>
            </w:pPr>
            <w:r w:rsidRPr="00B87F80">
              <w:t>53.46%</w:t>
            </w:r>
          </w:p>
        </w:tc>
        <w:tc>
          <w:tcPr>
            <w:tcW w:w="1800" w:type="dxa"/>
            <w:tcBorders>
              <w:top w:val="nil"/>
              <w:left w:val="nil"/>
              <w:bottom w:val="nil"/>
              <w:right w:val="nil"/>
            </w:tcBorders>
            <w:tcMar>
              <w:top w:w="40" w:type="dxa"/>
              <w:left w:w="40" w:type="dxa"/>
              <w:bottom w:w="40" w:type="dxa"/>
              <w:right w:w="40" w:type="dxa"/>
            </w:tcMar>
          </w:tcPr>
          <w:p w14:paraId="2FDCCBCC" w14:textId="221A014A" w:rsidR="00184A99" w:rsidRDefault="00184A99" w:rsidP="00AE72A5">
            <w:pPr>
              <w:widowControl w:val="0"/>
              <w:spacing w:line="276" w:lineRule="auto"/>
              <w:jc w:val="center"/>
              <w:rPr>
                <w:rFonts w:ascii="Arial" w:eastAsia="Arial" w:hAnsi="Arial" w:cs="Arial"/>
                <w:sz w:val="20"/>
                <w:szCs w:val="20"/>
              </w:rPr>
            </w:pPr>
            <w:r w:rsidRPr="00B87F80">
              <w:t>33.30%</w:t>
            </w:r>
          </w:p>
        </w:tc>
        <w:tc>
          <w:tcPr>
            <w:tcW w:w="1365" w:type="dxa"/>
            <w:tcBorders>
              <w:top w:val="nil"/>
              <w:left w:val="nil"/>
              <w:bottom w:val="nil"/>
              <w:right w:val="nil"/>
            </w:tcBorders>
            <w:tcMar>
              <w:top w:w="40" w:type="dxa"/>
              <w:left w:w="40" w:type="dxa"/>
              <w:bottom w:w="40" w:type="dxa"/>
              <w:right w:w="40" w:type="dxa"/>
            </w:tcMar>
          </w:tcPr>
          <w:p w14:paraId="44832867" w14:textId="33FC796C" w:rsidR="00184A99" w:rsidRDefault="00184A99" w:rsidP="00AE72A5">
            <w:pPr>
              <w:widowControl w:val="0"/>
              <w:spacing w:line="276" w:lineRule="auto"/>
              <w:jc w:val="center"/>
              <w:rPr>
                <w:rFonts w:ascii="Arial" w:eastAsia="Arial" w:hAnsi="Arial" w:cs="Arial"/>
                <w:sz w:val="20"/>
                <w:szCs w:val="20"/>
              </w:rPr>
            </w:pPr>
            <w:r w:rsidRPr="00B87F80">
              <w:t>-100.00%</w:t>
            </w:r>
          </w:p>
        </w:tc>
        <w:tc>
          <w:tcPr>
            <w:tcW w:w="1530" w:type="dxa"/>
            <w:tcBorders>
              <w:top w:val="nil"/>
              <w:left w:val="nil"/>
              <w:bottom w:val="nil"/>
              <w:right w:val="nil"/>
            </w:tcBorders>
            <w:tcMar>
              <w:top w:w="40" w:type="dxa"/>
              <w:left w:w="40" w:type="dxa"/>
              <w:bottom w:w="40" w:type="dxa"/>
              <w:right w:w="40" w:type="dxa"/>
            </w:tcMar>
          </w:tcPr>
          <w:p w14:paraId="76B1C258" w14:textId="3E689445" w:rsidR="00184A99" w:rsidRDefault="00184A99" w:rsidP="00AE72A5">
            <w:pPr>
              <w:widowControl w:val="0"/>
              <w:spacing w:line="276" w:lineRule="auto"/>
              <w:jc w:val="center"/>
              <w:rPr>
                <w:rFonts w:ascii="Arial" w:eastAsia="Arial" w:hAnsi="Arial" w:cs="Arial"/>
                <w:sz w:val="20"/>
                <w:szCs w:val="20"/>
              </w:rPr>
            </w:pPr>
            <w:r w:rsidRPr="00B87F80">
              <w:t>-99.93%</w:t>
            </w:r>
          </w:p>
        </w:tc>
        <w:tc>
          <w:tcPr>
            <w:tcW w:w="1380" w:type="dxa"/>
            <w:tcBorders>
              <w:top w:val="nil"/>
              <w:left w:val="nil"/>
              <w:bottom w:val="nil"/>
              <w:right w:val="nil"/>
            </w:tcBorders>
            <w:tcMar>
              <w:top w:w="40" w:type="dxa"/>
              <w:left w:w="40" w:type="dxa"/>
              <w:bottom w:w="40" w:type="dxa"/>
              <w:right w:w="40" w:type="dxa"/>
            </w:tcMar>
          </w:tcPr>
          <w:p w14:paraId="1C799C63" w14:textId="030B51C1" w:rsidR="00184A99" w:rsidRDefault="00184A99" w:rsidP="00AE72A5">
            <w:pPr>
              <w:widowControl w:val="0"/>
              <w:spacing w:line="276" w:lineRule="auto"/>
              <w:jc w:val="center"/>
              <w:rPr>
                <w:rFonts w:ascii="Arial" w:eastAsia="Arial" w:hAnsi="Arial" w:cs="Arial"/>
                <w:sz w:val="20"/>
                <w:szCs w:val="20"/>
              </w:rPr>
            </w:pPr>
            <w:r w:rsidRPr="00B87F80">
              <w:t>-14.79%</w:t>
            </w:r>
          </w:p>
        </w:tc>
      </w:tr>
      <w:tr w:rsidR="00184A99" w14:paraId="24E3C4A3" w14:textId="77777777" w:rsidTr="002C1C70">
        <w:trPr>
          <w:trHeight w:val="315"/>
        </w:trPr>
        <w:tc>
          <w:tcPr>
            <w:tcW w:w="1462" w:type="dxa"/>
            <w:tcBorders>
              <w:top w:val="nil"/>
              <w:left w:val="nil"/>
              <w:bottom w:val="nil"/>
              <w:right w:val="nil"/>
            </w:tcBorders>
            <w:tcMar>
              <w:top w:w="40" w:type="dxa"/>
              <w:left w:w="40" w:type="dxa"/>
              <w:bottom w:w="40" w:type="dxa"/>
              <w:right w:w="40" w:type="dxa"/>
            </w:tcMar>
            <w:vAlign w:val="bottom"/>
          </w:tcPr>
          <w:p w14:paraId="1438696A" w14:textId="77777777" w:rsidR="00184A99" w:rsidRDefault="00184A99" w:rsidP="00184A99">
            <w:pPr>
              <w:widowControl w:val="0"/>
              <w:spacing w:line="276" w:lineRule="auto"/>
              <w:rPr>
                <w:rFonts w:ascii="Arial" w:eastAsia="Arial" w:hAnsi="Arial" w:cs="Arial"/>
                <w:sz w:val="20"/>
                <w:szCs w:val="20"/>
              </w:rPr>
            </w:pPr>
            <w:r>
              <w:rPr>
                <w:b/>
                <w:sz w:val="22"/>
                <w:szCs w:val="22"/>
              </w:rPr>
              <w:t>Performance</w:t>
            </w:r>
          </w:p>
        </w:tc>
        <w:tc>
          <w:tcPr>
            <w:tcW w:w="1478" w:type="dxa"/>
            <w:tcBorders>
              <w:top w:val="nil"/>
              <w:left w:val="nil"/>
              <w:bottom w:val="nil"/>
              <w:right w:val="nil"/>
            </w:tcBorders>
            <w:tcMar>
              <w:top w:w="40" w:type="dxa"/>
              <w:left w:w="40" w:type="dxa"/>
              <w:bottom w:w="40" w:type="dxa"/>
              <w:right w:w="40" w:type="dxa"/>
            </w:tcMar>
          </w:tcPr>
          <w:p w14:paraId="5330B30B" w14:textId="77777777" w:rsidR="00184A99" w:rsidRDefault="00184A99" w:rsidP="00AE72A5">
            <w:pPr>
              <w:widowControl w:val="0"/>
              <w:spacing w:line="276" w:lineRule="auto"/>
              <w:jc w:val="center"/>
              <w:rPr>
                <w:rFonts w:ascii="Arial" w:eastAsia="Arial" w:hAnsi="Arial" w:cs="Arial"/>
                <w:sz w:val="20"/>
                <w:szCs w:val="20"/>
              </w:rPr>
            </w:pPr>
          </w:p>
        </w:tc>
        <w:tc>
          <w:tcPr>
            <w:tcW w:w="1560" w:type="dxa"/>
            <w:tcBorders>
              <w:top w:val="nil"/>
              <w:left w:val="nil"/>
              <w:bottom w:val="nil"/>
              <w:right w:val="nil"/>
            </w:tcBorders>
            <w:tcMar>
              <w:top w:w="40" w:type="dxa"/>
              <w:left w:w="40" w:type="dxa"/>
              <w:bottom w:w="40" w:type="dxa"/>
              <w:right w:w="40" w:type="dxa"/>
            </w:tcMar>
          </w:tcPr>
          <w:p w14:paraId="0E51806F" w14:textId="77777777" w:rsidR="00184A99" w:rsidRDefault="00184A99" w:rsidP="00AE72A5">
            <w:pPr>
              <w:widowControl w:val="0"/>
              <w:spacing w:line="276" w:lineRule="auto"/>
              <w:jc w:val="center"/>
              <w:rPr>
                <w:rFonts w:ascii="Arial" w:eastAsia="Arial" w:hAnsi="Arial" w:cs="Arial"/>
                <w:sz w:val="20"/>
                <w:szCs w:val="20"/>
              </w:rPr>
            </w:pPr>
          </w:p>
        </w:tc>
        <w:tc>
          <w:tcPr>
            <w:tcW w:w="1410" w:type="dxa"/>
            <w:tcBorders>
              <w:top w:val="nil"/>
              <w:left w:val="nil"/>
              <w:bottom w:val="nil"/>
              <w:right w:val="nil"/>
            </w:tcBorders>
            <w:tcMar>
              <w:top w:w="40" w:type="dxa"/>
              <w:left w:w="40" w:type="dxa"/>
              <w:bottom w:w="40" w:type="dxa"/>
              <w:right w:w="40" w:type="dxa"/>
            </w:tcMar>
          </w:tcPr>
          <w:p w14:paraId="67B8CC6F" w14:textId="77777777" w:rsidR="00184A99" w:rsidRDefault="00184A99" w:rsidP="00AE72A5">
            <w:pPr>
              <w:widowControl w:val="0"/>
              <w:spacing w:line="276" w:lineRule="auto"/>
              <w:jc w:val="center"/>
              <w:rPr>
                <w:rFonts w:ascii="Arial" w:eastAsia="Arial" w:hAnsi="Arial" w:cs="Arial"/>
                <w:sz w:val="20"/>
                <w:szCs w:val="20"/>
              </w:rPr>
            </w:pPr>
          </w:p>
        </w:tc>
        <w:tc>
          <w:tcPr>
            <w:tcW w:w="1800" w:type="dxa"/>
            <w:tcBorders>
              <w:top w:val="nil"/>
              <w:left w:val="nil"/>
              <w:bottom w:val="nil"/>
              <w:right w:val="nil"/>
            </w:tcBorders>
            <w:tcMar>
              <w:top w:w="40" w:type="dxa"/>
              <w:left w:w="40" w:type="dxa"/>
              <w:bottom w:w="40" w:type="dxa"/>
              <w:right w:w="40" w:type="dxa"/>
            </w:tcMar>
          </w:tcPr>
          <w:p w14:paraId="37879B50" w14:textId="77777777" w:rsidR="00184A99" w:rsidRDefault="00184A99" w:rsidP="00AE72A5">
            <w:pPr>
              <w:widowControl w:val="0"/>
              <w:spacing w:line="276" w:lineRule="auto"/>
              <w:jc w:val="center"/>
              <w:rPr>
                <w:rFonts w:ascii="Arial" w:eastAsia="Arial" w:hAnsi="Arial" w:cs="Arial"/>
                <w:sz w:val="20"/>
                <w:szCs w:val="20"/>
              </w:rPr>
            </w:pPr>
          </w:p>
        </w:tc>
        <w:tc>
          <w:tcPr>
            <w:tcW w:w="1365" w:type="dxa"/>
            <w:tcBorders>
              <w:top w:val="nil"/>
              <w:left w:val="nil"/>
              <w:bottom w:val="nil"/>
              <w:right w:val="nil"/>
            </w:tcBorders>
            <w:tcMar>
              <w:top w:w="40" w:type="dxa"/>
              <w:left w:w="40" w:type="dxa"/>
              <w:bottom w:w="40" w:type="dxa"/>
              <w:right w:w="40" w:type="dxa"/>
            </w:tcMar>
          </w:tcPr>
          <w:p w14:paraId="685E0F7F" w14:textId="77777777" w:rsidR="00184A99" w:rsidRDefault="00184A99" w:rsidP="00AE72A5">
            <w:pPr>
              <w:widowControl w:val="0"/>
              <w:spacing w:line="276" w:lineRule="auto"/>
              <w:jc w:val="center"/>
              <w:rPr>
                <w:rFonts w:ascii="Arial" w:eastAsia="Arial" w:hAnsi="Arial" w:cs="Arial"/>
                <w:sz w:val="20"/>
                <w:szCs w:val="20"/>
              </w:rPr>
            </w:pPr>
          </w:p>
        </w:tc>
        <w:tc>
          <w:tcPr>
            <w:tcW w:w="1530" w:type="dxa"/>
            <w:tcBorders>
              <w:top w:val="nil"/>
              <w:left w:val="nil"/>
              <w:bottom w:val="nil"/>
              <w:right w:val="nil"/>
            </w:tcBorders>
            <w:tcMar>
              <w:top w:w="40" w:type="dxa"/>
              <w:left w:w="40" w:type="dxa"/>
              <w:bottom w:w="40" w:type="dxa"/>
              <w:right w:w="40" w:type="dxa"/>
            </w:tcMar>
          </w:tcPr>
          <w:p w14:paraId="7B856741" w14:textId="77777777" w:rsidR="00184A99" w:rsidRDefault="00184A99" w:rsidP="00AE72A5">
            <w:pPr>
              <w:widowControl w:val="0"/>
              <w:spacing w:line="276" w:lineRule="auto"/>
              <w:jc w:val="center"/>
              <w:rPr>
                <w:rFonts w:ascii="Arial" w:eastAsia="Arial" w:hAnsi="Arial" w:cs="Arial"/>
                <w:sz w:val="20"/>
                <w:szCs w:val="20"/>
              </w:rPr>
            </w:pPr>
          </w:p>
        </w:tc>
        <w:tc>
          <w:tcPr>
            <w:tcW w:w="1380" w:type="dxa"/>
            <w:tcBorders>
              <w:top w:val="nil"/>
              <w:left w:val="nil"/>
              <w:bottom w:val="nil"/>
              <w:right w:val="nil"/>
            </w:tcBorders>
            <w:tcMar>
              <w:top w:w="40" w:type="dxa"/>
              <w:left w:w="40" w:type="dxa"/>
              <w:bottom w:w="40" w:type="dxa"/>
              <w:right w:w="40" w:type="dxa"/>
            </w:tcMar>
          </w:tcPr>
          <w:p w14:paraId="47D72CF0" w14:textId="77777777" w:rsidR="00184A99" w:rsidRDefault="00184A99" w:rsidP="00AE72A5">
            <w:pPr>
              <w:widowControl w:val="0"/>
              <w:spacing w:line="276" w:lineRule="auto"/>
              <w:jc w:val="center"/>
              <w:rPr>
                <w:rFonts w:ascii="Arial" w:eastAsia="Arial" w:hAnsi="Arial" w:cs="Arial"/>
                <w:sz w:val="20"/>
                <w:szCs w:val="20"/>
              </w:rPr>
            </w:pPr>
          </w:p>
        </w:tc>
      </w:tr>
      <w:tr w:rsidR="00184A99" w14:paraId="667923EC" w14:textId="77777777" w:rsidTr="002C1C70">
        <w:trPr>
          <w:trHeight w:val="315"/>
        </w:trPr>
        <w:tc>
          <w:tcPr>
            <w:tcW w:w="1462" w:type="dxa"/>
            <w:tcBorders>
              <w:top w:val="nil"/>
              <w:left w:val="nil"/>
              <w:bottom w:val="nil"/>
              <w:right w:val="nil"/>
            </w:tcBorders>
            <w:tcMar>
              <w:top w:w="40" w:type="dxa"/>
              <w:left w:w="40" w:type="dxa"/>
              <w:bottom w:w="40" w:type="dxa"/>
              <w:right w:w="40" w:type="dxa"/>
            </w:tcMar>
            <w:vAlign w:val="bottom"/>
          </w:tcPr>
          <w:p w14:paraId="50FB65B3" w14:textId="2E6084E9" w:rsidR="00184A99" w:rsidRDefault="00184A99" w:rsidP="00184A99">
            <w:pPr>
              <w:widowControl w:val="0"/>
              <w:spacing w:line="276" w:lineRule="auto"/>
              <w:rPr>
                <w:rFonts w:ascii="Arial" w:eastAsia="Arial" w:hAnsi="Arial" w:cs="Arial"/>
                <w:sz w:val="20"/>
                <w:szCs w:val="20"/>
              </w:rPr>
            </w:pPr>
            <w:r>
              <w:rPr>
                <w:sz w:val="22"/>
                <w:szCs w:val="22"/>
              </w:rPr>
              <w:t>Return</w:t>
            </w:r>
          </w:p>
        </w:tc>
        <w:tc>
          <w:tcPr>
            <w:tcW w:w="1478" w:type="dxa"/>
            <w:tcBorders>
              <w:top w:val="nil"/>
              <w:left w:val="nil"/>
              <w:bottom w:val="nil"/>
              <w:right w:val="nil"/>
            </w:tcBorders>
            <w:tcMar>
              <w:top w:w="40" w:type="dxa"/>
              <w:left w:w="40" w:type="dxa"/>
              <w:bottom w:w="40" w:type="dxa"/>
              <w:right w:w="40" w:type="dxa"/>
            </w:tcMar>
          </w:tcPr>
          <w:p w14:paraId="57795E9D" w14:textId="53219ED3" w:rsidR="00184A99" w:rsidRDefault="00184A99" w:rsidP="00AE72A5">
            <w:pPr>
              <w:widowControl w:val="0"/>
              <w:spacing w:line="276" w:lineRule="auto"/>
              <w:jc w:val="center"/>
              <w:rPr>
                <w:rFonts w:ascii="Arial" w:eastAsia="Arial" w:hAnsi="Arial" w:cs="Arial"/>
                <w:sz w:val="20"/>
                <w:szCs w:val="20"/>
              </w:rPr>
            </w:pPr>
            <w:r w:rsidRPr="00B87F80">
              <w:t>0.01%</w:t>
            </w:r>
          </w:p>
        </w:tc>
        <w:tc>
          <w:tcPr>
            <w:tcW w:w="1560" w:type="dxa"/>
            <w:tcBorders>
              <w:top w:val="nil"/>
              <w:left w:val="nil"/>
              <w:bottom w:val="nil"/>
              <w:right w:val="nil"/>
            </w:tcBorders>
            <w:tcMar>
              <w:top w:w="40" w:type="dxa"/>
              <w:left w:w="40" w:type="dxa"/>
              <w:bottom w:w="40" w:type="dxa"/>
              <w:right w:w="40" w:type="dxa"/>
            </w:tcMar>
          </w:tcPr>
          <w:p w14:paraId="662F9E06" w14:textId="0DD7714D" w:rsidR="00184A99" w:rsidRDefault="00184A99" w:rsidP="00AE72A5">
            <w:pPr>
              <w:widowControl w:val="0"/>
              <w:spacing w:line="276" w:lineRule="auto"/>
              <w:jc w:val="center"/>
              <w:rPr>
                <w:rFonts w:ascii="Arial" w:eastAsia="Arial" w:hAnsi="Arial" w:cs="Arial"/>
                <w:sz w:val="20"/>
                <w:szCs w:val="20"/>
              </w:rPr>
            </w:pPr>
            <w:r w:rsidRPr="00B87F80">
              <w:t>0.03%</w:t>
            </w:r>
          </w:p>
        </w:tc>
        <w:tc>
          <w:tcPr>
            <w:tcW w:w="1410" w:type="dxa"/>
            <w:tcBorders>
              <w:top w:val="nil"/>
              <w:left w:val="nil"/>
              <w:bottom w:val="nil"/>
              <w:right w:val="nil"/>
            </w:tcBorders>
            <w:tcMar>
              <w:top w:w="40" w:type="dxa"/>
              <w:left w:w="40" w:type="dxa"/>
              <w:bottom w:w="40" w:type="dxa"/>
              <w:right w:w="40" w:type="dxa"/>
            </w:tcMar>
          </w:tcPr>
          <w:p w14:paraId="4BCE4916" w14:textId="48D3C0D6" w:rsidR="00184A99" w:rsidRDefault="00184A99" w:rsidP="00AE72A5">
            <w:pPr>
              <w:widowControl w:val="0"/>
              <w:spacing w:line="276" w:lineRule="auto"/>
              <w:jc w:val="center"/>
              <w:rPr>
                <w:rFonts w:ascii="Arial" w:eastAsia="Arial" w:hAnsi="Arial" w:cs="Arial"/>
                <w:sz w:val="20"/>
                <w:szCs w:val="20"/>
              </w:rPr>
            </w:pPr>
            <w:r w:rsidRPr="00B87F80">
              <w:t>0.01%</w:t>
            </w:r>
          </w:p>
        </w:tc>
        <w:tc>
          <w:tcPr>
            <w:tcW w:w="1800" w:type="dxa"/>
            <w:tcBorders>
              <w:top w:val="nil"/>
              <w:left w:val="nil"/>
              <w:bottom w:val="nil"/>
              <w:right w:val="nil"/>
            </w:tcBorders>
            <w:tcMar>
              <w:top w:w="40" w:type="dxa"/>
              <w:left w:w="40" w:type="dxa"/>
              <w:bottom w:w="40" w:type="dxa"/>
              <w:right w:w="40" w:type="dxa"/>
            </w:tcMar>
          </w:tcPr>
          <w:p w14:paraId="43D6A2F7" w14:textId="677AEEC2" w:rsidR="00184A99" w:rsidRDefault="00184A99" w:rsidP="00AE72A5">
            <w:pPr>
              <w:widowControl w:val="0"/>
              <w:spacing w:line="276" w:lineRule="auto"/>
              <w:jc w:val="center"/>
              <w:rPr>
                <w:rFonts w:ascii="Arial" w:eastAsia="Arial" w:hAnsi="Arial" w:cs="Arial"/>
                <w:sz w:val="20"/>
                <w:szCs w:val="20"/>
              </w:rPr>
            </w:pPr>
            <w:r w:rsidRPr="00B87F80">
              <w:t>0.01%</w:t>
            </w:r>
          </w:p>
        </w:tc>
        <w:tc>
          <w:tcPr>
            <w:tcW w:w="1365" w:type="dxa"/>
            <w:tcBorders>
              <w:top w:val="nil"/>
              <w:left w:val="nil"/>
              <w:bottom w:val="nil"/>
              <w:right w:val="nil"/>
            </w:tcBorders>
            <w:tcMar>
              <w:top w:w="40" w:type="dxa"/>
              <w:left w:w="40" w:type="dxa"/>
              <w:bottom w:w="40" w:type="dxa"/>
              <w:right w:w="40" w:type="dxa"/>
            </w:tcMar>
          </w:tcPr>
          <w:p w14:paraId="1C36ACA2" w14:textId="4717BDC5" w:rsidR="00184A99" w:rsidRDefault="00184A99" w:rsidP="00AE72A5">
            <w:pPr>
              <w:widowControl w:val="0"/>
              <w:spacing w:line="276" w:lineRule="auto"/>
              <w:jc w:val="center"/>
              <w:rPr>
                <w:rFonts w:ascii="Arial" w:eastAsia="Arial" w:hAnsi="Arial" w:cs="Arial"/>
                <w:sz w:val="20"/>
                <w:szCs w:val="20"/>
              </w:rPr>
            </w:pPr>
            <w:r w:rsidRPr="00B87F80">
              <w:t>0.03%</w:t>
            </w:r>
          </w:p>
        </w:tc>
        <w:tc>
          <w:tcPr>
            <w:tcW w:w="1530" w:type="dxa"/>
            <w:tcBorders>
              <w:top w:val="nil"/>
              <w:left w:val="nil"/>
              <w:bottom w:val="nil"/>
              <w:right w:val="nil"/>
            </w:tcBorders>
            <w:tcMar>
              <w:top w:w="40" w:type="dxa"/>
              <w:left w:w="40" w:type="dxa"/>
              <w:bottom w:w="40" w:type="dxa"/>
              <w:right w:w="40" w:type="dxa"/>
            </w:tcMar>
          </w:tcPr>
          <w:p w14:paraId="78898097" w14:textId="1C716A5B" w:rsidR="00184A99" w:rsidRDefault="00184A99" w:rsidP="00AE72A5">
            <w:pPr>
              <w:widowControl w:val="0"/>
              <w:spacing w:line="276" w:lineRule="auto"/>
              <w:jc w:val="center"/>
              <w:rPr>
                <w:rFonts w:ascii="Arial" w:eastAsia="Arial" w:hAnsi="Arial" w:cs="Arial"/>
                <w:sz w:val="20"/>
                <w:szCs w:val="20"/>
              </w:rPr>
            </w:pPr>
            <w:r w:rsidRPr="00B87F80">
              <w:t>-0.33%</w:t>
            </w:r>
          </w:p>
        </w:tc>
        <w:tc>
          <w:tcPr>
            <w:tcW w:w="1380" w:type="dxa"/>
            <w:tcBorders>
              <w:top w:val="nil"/>
              <w:left w:val="nil"/>
              <w:bottom w:val="nil"/>
              <w:right w:val="nil"/>
            </w:tcBorders>
            <w:tcMar>
              <w:top w:w="40" w:type="dxa"/>
              <w:left w:w="40" w:type="dxa"/>
              <w:bottom w:w="40" w:type="dxa"/>
              <w:right w:w="40" w:type="dxa"/>
            </w:tcMar>
          </w:tcPr>
          <w:p w14:paraId="4E171478" w14:textId="04B33B34" w:rsidR="00184A99" w:rsidRDefault="00184A99" w:rsidP="00AE72A5">
            <w:pPr>
              <w:widowControl w:val="0"/>
              <w:spacing w:line="276" w:lineRule="auto"/>
              <w:jc w:val="center"/>
              <w:rPr>
                <w:rFonts w:ascii="Arial" w:eastAsia="Arial" w:hAnsi="Arial" w:cs="Arial"/>
                <w:sz w:val="20"/>
                <w:szCs w:val="20"/>
              </w:rPr>
            </w:pPr>
            <w:r w:rsidRPr="00B87F80">
              <w:t>-0.10%</w:t>
            </w:r>
          </w:p>
        </w:tc>
      </w:tr>
      <w:tr w:rsidR="00184A99" w14:paraId="232B1AD7" w14:textId="77777777" w:rsidTr="002C1C70">
        <w:trPr>
          <w:trHeight w:val="315"/>
        </w:trPr>
        <w:tc>
          <w:tcPr>
            <w:tcW w:w="1462" w:type="dxa"/>
            <w:tcBorders>
              <w:top w:val="nil"/>
              <w:left w:val="nil"/>
              <w:bottom w:val="nil"/>
              <w:right w:val="nil"/>
            </w:tcBorders>
            <w:tcMar>
              <w:top w:w="40" w:type="dxa"/>
              <w:left w:w="40" w:type="dxa"/>
              <w:bottom w:w="40" w:type="dxa"/>
              <w:right w:w="40" w:type="dxa"/>
            </w:tcMar>
            <w:vAlign w:val="bottom"/>
          </w:tcPr>
          <w:p w14:paraId="5063F6E4" w14:textId="77777777" w:rsidR="00184A99" w:rsidRDefault="00184A99" w:rsidP="00184A99">
            <w:pPr>
              <w:widowControl w:val="0"/>
              <w:spacing w:line="276" w:lineRule="auto"/>
              <w:rPr>
                <w:rFonts w:ascii="Arial" w:eastAsia="Arial" w:hAnsi="Arial" w:cs="Arial"/>
                <w:sz w:val="20"/>
                <w:szCs w:val="20"/>
              </w:rPr>
            </w:pPr>
            <w:r>
              <w:rPr>
                <w:sz w:val="22"/>
                <w:szCs w:val="22"/>
              </w:rPr>
              <w:t>Variance</w:t>
            </w:r>
          </w:p>
        </w:tc>
        <w:tc>
          <w:tcPr>
            <w:tcW w:w="1478" w:type="dxa"/>
            <w:tcBorders>
              <w:top w:val="nil"/>
              <w:left w:val="nil"/>
              <w:bottom w:val="nil"/>
              <w:right w:val="nil"/>
            </w:tcBorders>
            <w:tcMar>
              <w:top w:w="40" w:type="dxa"/>
              <w:left w:w="40" w:type="dxa"/>
              <w:bottom w:w="40" w:type="dxa"/>
              <w:right w:w="40" w:type="dxa"/>
            </w:tcMar>
          </w:tcPr>
          <w:p w14:paraId="260360B9" w14:textId="01BA6128" w:rsidR="00184A99" w:rsidRDefault="00184A99" w:rsidP="00AE72A5">
            <w:pPr>
              <w:widowControl w:val="0"/>
              <w:spacing w:line="276" w:lineRule="auto"/>
              <w:jc w:val="center"/>
              <w:rPr>
                <w:rFonts w:ascii="Arial" w:eastAsia="Arial" w:hAnsi="Arial" w:cs="Arial"/>
                <w:sz w:val="20"/>
                <w:szCs w:val="20"/>
              </w:rPr>
            </w:pPr>
            <w:r w:rsidRPr="00B87F80">
              <w:t>0.01%</w:t>
            </w:r>
          </w:p>
        </w:tc>
        <w:tc>
          <w:tcPr>
            <w:tcW w:w="1560" w:type="dxa"/>
            <w:tcBorders>
              <w:top w:val="nil"/>
              <w:left w:val="nil"/>
              <w:bottom w:val="nil"/>
              <w:right w:val="nil"/>
            </w:tcBorders>
            <w:tcMar>
              <w:top w:w="40" w:type="dxa"/>
              <w:left w:w="40" w:type="dxa"/>
              <w:bottom w:w="40" w:type="dxa"/>
              <w:right w:w="40" w:type="dxa"/>
            </w:tcMar>
          </w:tcPr>
          <w:p w14:paraId="6AA24F27" w14:textId="0A50FBC0" w:rsidR="00184A99" w:rsidRDefault="00184A99" w:rsidP="00AE72A5">
            <w:pPr>
              <w:widowControl w:val="0"/>
              <w:spacing w:line="276" w:lineRule="auto"/>
              <w:jc w:val="center"/>
              <w:rPr>
                <w:rFonts w:ascii="Arial" w:eastAsia="Arial" w:hAnsi="Arial" w:cs="Arial"/>
                <w:sz w:val="20"/>
                <w:szCs w:val="20"/>
              </w:rPr>
            </w:pPr>
            <w:r w:rsidRPr="00B87F80">
              <w:t>0.02%</w:t>
            </w:r>
          </w:p>
        </w:tc>
        <w:tc>
          <w:tcPr>
            <w:tcW w:w="1410" w:type="dxa"/>
            <w:tcBorders>
              <w:top w:val="nil"/>
              <w:left w:val="nil"/>
              <w:bottom w:val="nil"/>
              <w:right w:val="nil"/>
            </w:tcBorders>
            <w:tcMar>
              <w:top w:w="40" w:type="dxa"/>
              <w:left w:w="40" w:type="dxa"/>
              <w:bottom w:w="40" w:type="dxa"/>
              <w:right w:w="40" w:type="dxa"/>
            </w:tcMar>
          </w:tcPr>
          <w:p w14:paraId="6FC382FA" w14:textId="4A0BDEB7" w:rsidR="00184A99" w:rsidRDefault="00184A99" w:rsidP="00AE72A5">
            <w:pPr>
              <w:widowControl w:val="0"/>
              <w:spacing w:line="276" w:lineRule="auto"/>
              <w:jc w:val="center"/>
              <w:rPr>
                <w:rFonts w:ascii="Arial" w:eastAsia="Arial" w:hAnsi="Arial" w:cs="Arial"/>
                <w:sz w:val="20"/>
                <w:szCs w:val="20"/>
              </w:rPr>
            </w:pPr>
            <w:r w:rsidRPr="00B87F80">
              <w:t>0.01%</w:t>
            </w:r>
          </w:p>
        </w:tc>
        <w:tc>
          <w:tcPr>
            <w:tcW w:w="1800" w:type="dxa"/>
            <w:tcBorders>
              <w:top w:val="nil"/>
              <w:left w:val="nil"/>
              <w:bottom w:val="nil"/>
              <w:right w:val="nil"/>
            </w:tcBorders>
            <w:tcMar>
              <w:top w:w="40" w:type="dxa"/>
              <w:left w:w="40" w:type="dxa"/>
              <w:bottom w:w="40" w:type="dxa"/>
              <w:right w:w="40" w:type="dxa"/>
            </w:tcMar>
          </w:tcPr>
          <w:p w14:paraId="3A849BAB" w14:textId="7B52F796" w:rsidR="00184A99" w:rsidRDefault="00184A99" w:rsidP="00AE72A5">
            <w:pPr>
              <w:widowControl w:val="0"/>
              <w:spacing w:line="276" w:lineRule="auto"/>
              <w:jc w:val="center"/>
              <w:rPr>
                <w:rFonts w:ascii="Arial" w:eastAsia="Arial" w:hAnsi="Arial" w:cs="Arial"/>
                <w:sz w:val="20"/>
                <w:szCs w:val="20"/>
              </w:rPr>
            </w:pPr>
            <w:r w:rsidRPr="00B87F80">
              <w:t>0.01%</w:t>
            </w:r>
          </w:p>
        </w:tc>
        <w:tc>
          <w:tcPr>
            <w:tcW w:w="1365" w:type="dxa"/>
            <w:tcBorders>
              <w:top w:val="nil"/>
              <w:left w:val="nil"/>
              <w:bottom w:val="nil"/>
              <w:right w:val="nil"/>
            </w:tcBorders>
            <w:tcMar>
              <w:top w:w="40" w:type="dxa"/>
              <w:left w:w="40" w:type="dxa"/>
              <w:bottom w:w="40" w:type="dxa"/>
              <w:right w:w="40" w:type="dxa"/>
            </w:tcMar>
          </w:tcPr>
          <w:p w14:paraId="0C54C9DD" w14:textId="19329900" w:rsidR="00184A99" w:rsidRDefault="00184A99" w:rsidP="00AE72A5">
            <w:pPr>
              <w:widowControl w:val="0"/>
              <w:spacing w:line="276" w:lineRule="auto"/>
              <w:jc w:val="center"/>
              <w:rPr>
                <w:rFonts w:ascii="Arial" w:eastAsia="Arial" w:hAnsi="Arial" w:cs="Arial"/>
                <w:sz w:val="20"/>
                <w:szCs w:val="20"/>
              </w:rPr>
            </w:pPr>
            <w:r w:rsidRPr="00B87F80">
              <w:t>0.07%</w:t>
            </w:r>
          </w:p>
        </w:tc>
        <w:tc>
          <w:tcPr>
            <w:tcW w:w="1530" w:type="dxa"/>
            <w:tcBorders>
              <w:top w:val="nil"/>
              <w:left w:val="nil"/>
              <w:bottom w:val="nil"/>
              <w:right w:val="nil"/>
            </w:tcBorders>
            <w:tcMar>
              <w:top w:w="40" w:type="dxa"/>
              <w:left w:w="40" w:type="dxa"/>
              <w:bottom w:w="40" w:type="dxa"/>
              <w:right w:w="40" w:type="dxa"/>
            </w:tcMar>
          </w:tcPr>
          <w:p w14:paraId="2BD0D57D" w14:textId="2027B204" w:rsidR="00184A99" w:rsidRDefault="00184A99" w:rsidP="00AE72A5">
            <w:pPr>
              <w:widowControl w:val="0"/>
              <w:spacing w:line="276" w:lineRule="auto"/>
              <w:jc w:val="center"/>
              <w:rPr>
                <w:rFonts w:ascii="Arial" w:eastAsia="Arial" w:hAnsi="Arial" w:cs="Arial"/>
                <w:sz w:val="20"/>
                <w:szCs w:val="20"/>
              </w:rPr>
            </w:pPr>
            <w:r w:rsidRPr="00B87F80">
              <w:t>0.06%</w:t>
            </w:r>
          </w:p>
        </w:tc>
        <w:tc>
          <w:tcPr>
            <w:tcW w:w="1380" w:type="dxa"/>
            <w:tcBorders>
              <w:top w:val="nil"/>
              <w:left w:val="nil"/>
              <w:bottom w:val="nil"/>
              <w:right w:val="nil"/>
            </w:tcBorders>
            <w:tcMar>
              <w:top w:w="40" w:type="dxa"/>
              <w:left w:w="40" w:type="dxa"/>
              <w:bottom w:w="40" w:type="dxa"/>
              <w:right w:w="40" w:type="dxa"/>
            </w:tcMar>
          </w:tcPr>
          <w:p w14:paraId="059AEAB7" w14:textId="44A83136" w:rsidR="00184A99" w:rsidRDefault="00184A99" w:rsidP="00AE72A5">
            <w:pPr>
              <w:widowControl w:val="0"/>
              <w:spacing w:line="276" w:lineRule="auto"/>
              <w:jc w:val="center"/>
              <w:rPr>
                <w:rFonts w:ascii="Arial" w:eastAsia="Arial" w:hAnsi="Arial" w:cs="Arial"/>
                <w:sz w:val="20"/>
                <w:szCs w:val="20"/>
              </w:rPr>
            </w:pPr>
            <w:r w:rsidRPr="00B87F80">
              <w:t>0.06%</w:t>
            </w:r>
          </w:p>
        </w:tc>
      </w:tr>
      <w:tr w:rsidR="00184A99" w14:paraId="72A91704" w14:textId="77777777" w:rsidTr="002C1C70">
        <w:trPr>
          <w:trHeight w:val="330"/>
        </w:trPr>
        <w:tc>
          <w:tcPr>
            <w:tcW w:w="1462" w:type="dxa"/>
            <w:tcBorders>
              <w:top w:val="nil"/>
              <w:left w:val="nil"/>
              <w:bottom w:val="single" w:sz="4" w:space="0" w:color="000000"/>
              <w:right w:val="nil"/>
            </w:tcBorders>
            <w:tcMar>
              <w:top w:w="40" w:type="dxa"/>
              <w:left w:w="40" w:type="dxa"/>
              <w:bottom w:w="40" w:type="dxa"/>
              <w:right w:w="40" w:type="dxa"/>
            </w:tcMar>
            <w:vAlign w:val="bottom"/>
          </w:tcPr>
          <w:p w14:paraId="45159A2C" w14:textId="77777777" w:rsidR="00184A99" w:rsidRDefault="00184A99" w:rsidP="00184A99">
            <w:pPr>
              <w:widowControl w:val="0"/>
              <w:spacing w:line="276" w:lineRule="auto"/>
              <w:rPr>
                <w:rFonts w:ascii="Arial" w:eastAsia="Arial" w:hAnsi="Arial" w:cs="Arial"/>
                <w:sz w:val="20"/>
                <w:szCs w:val="20"/>
              </w:rPr>
            </w:pPr>
            <w:r>
              <w:rPr>
                <w:sz w:val="22"/>
                <w:szCs w:val="22"/>
              </w:rPr>
              <w:t>CVaR</w:t>
            </w:r>
          </w:p>
        </w:tc>
        <w:tc>
          <w:tcPr>
            <w:tcW w:w="1478" w:type="dxa"/>
            <w:tcBorders>
              <w:top w:val="nil"/>
              <w:left w:val="nil"/>
              <w:bottom w:val="single" w:sz="4" w:space="0" w:color="000000"/>
              <w:right w:val="nil"/>
            </w:tcBorders>
            <w:tcMar>
              <w:top w:w="40" w:type="dxa"/>
              <w:left w:w="40" w:type="dxa"/>
              <w:bottom w:w="40" w:type="dxa"/>
              <w:right w:w="40" w:type="dxa"/>
            </w:tcMar>
          </w:tcPr>
          <w:p w14:paraId="68C85DAD" w14:textId="61D9CCA7" w:rsidR="00184A99" w:rsidRDefault="00184A99" w:rsidP="00AE72A5">
            <w:pPr>
              <w:widowControl w:val="0"/>
              <w:spacing w:line="276" w:lineRule="auto"/>
              <w:jc w:val="center"/>
              <w:rPr>
                <w:rFonts w:ascii="Arial" w:eastAsia="Arial" w:hAnsi="Arial" w:cs="Arial"/>
                <w:sz w:val="20"/>
                <w:szCs w:val="20"/>
              </w:rPr>
            </w:pPr>
            <w:r w:rsidRPr="00B87F80">
              <w:t>-2.34%</w:t>
            </w:r>
          </w:p>
        </w:tc>
        <w:tc>
          <w:tcPr>
            <w:tcW w:w="1560" w:type="dxa"/>
            <w:tcBorders>
              <w:top w:val="nil"/>
              <w:left w:val="nil"/>
              <w:bottom w:val="single" w:sz="4" w:space="0" w:color="000000"/>
              <w:right w:val="nil"/>
            </w:tcBorders>
            <w:tcMar>
              <w:top w:w="40" w:type="dxa"/>
              <w:left w:w="40" w:type="dxa"/>
              <w:bottom w:w="40" w:type="dxa"/>
              <w:right w:w="40" w:type="dxa"/>
            </w:tcMar>
          </w:tcPr>
          <w:p w14:paraId="69BEB1ED" w14:textId="6ECAAA57" w:rsidR="00184A99" w:rsidRDefault="00184A99" w:rsidP="00AE72A5">
            <w:pPr>
              <w:widowControl w:val="0"/>
              <w:spacing w:line="276" w:lineRule="auto"/>
              <w:jc w:val="center"/>
              <w:rPr>
                <w:rFonts w:ascii="Arial" w:eastAsia="Arial" w:hAnsi="Arial" w:cs="Arial"/>
                <w:sz w:val="20"/>
                <w:szCs w:val="20"/>
              </w:rPr>
            </w:pPr>
            <w:r w:rsidRPr="00B87F80">
              <w:t>-3.23%</w:t>
            </w:r>
          </w:p>
        </w:tc>
        <w:tc>
          <w:tcPr>
            <w:tcW w:w="1410" w:type="dxa"/>
            <w:tcBorders>
              <w:top w:val="nil"/>
              <w:left w:val="nil"/>
              <w:bottom w:val="single" w:sz="4" w:space="0" w:color="000000"/>
              <w:right w:val="nil"/>
            </w:tcBorders>
            <w:tcMar>
              <w:top w:w="40" w:type="dxa"/>
              <w:left w:w="40" w:type="dxa"/>
              <w:bottom w:w="40" w:type="dxa"/>
              <w:right w:w="40" w:type="dxa"/>
            </w:tcMar>
          </w:tcPr>
          <w:p w14:paraId="53BCC982" w14:textId="3FB042F4" w:rsidR="00184A99" w:rsidRDefault="00184A99" w:rsidP="00AE72A5">
            <w:pPr>
              <w:widowControl w:val="0"/>
              <w:spacing w:line="276" w:lineRule="auto"/>
              <w:jc w:val="center"/>
              <w:rPr>
                <w:rFonts w:ascii="Arial" w:eastAsia="Arial" w:hAnsi="Arial" w:cs="Arial"/>
                <w:sz w:val="20"/>
                <w:szCs w:val="20"/>
              </w:rPr>
            </w:pPr>
            <w:r w:rsidRPr="00B87F80">
              <w:t>-1.83%</w:t>
            </w:r>
          </w:p>
        </w:tc>
        <w:tc>
          <w:tcPr>
            <w:tcW w:w="1800" w:type="dxa"/>
            <w:tcBorders>
              <w:top w:val="nil"/>
              <w:left w:val="nil"/>
              <w:bottom w:val="single" w:sz="4" w:space="0" w:color="000000"/>
              <w:right w:val="nil"/>
            </w:tcBorders>
            <w:tcMar>
              <w:top w:w="40" w:type="dxa"/>
              <w:left w:w="40" w:type="dxa"/>
              <w:bottom w:w="40" w:type="dxa"/>
              <w:right w:w="40" w:type="dxa"/>
            </w:tcMar>
          </w:tcPr>
          <w:p w14:paraId="0C8B5619" w14:textId="2F5D31D8" w:rsidR="00184A99" w:rsidRDefault="00184A99" w:rsidP="00AE72A5">
            <w:pPr>
              <w:widowControl w:val="0"/>
              <w:spacing w:line="276" w:lineRule="auto"/>
              <w:jc w:val="center"/>
              <w:rPr>
                <w:rFonts w:ascii="Arial" w:eastAsia="Arial" w:hAnsi="Arial" w:cs="Arial"/>
                <w:sz w:val="20"/>
                <w:szCs w:val="20"/>
              </w:rPr>
            </w:pPr>
            <w:r w:rsidRPr="00B87F80">
              <w:t>-2.41%</w:t>
            </w:r>
          </w:p>
        </w:tc>
        <w:tc>
          <w:tcPr>
            <w:tcW w:w="1365" w:type="dxa"/>
            <w:tcBorders>
              <w:top w:val="nil"/>
              <w:left w:val="nil"/>
              <w:bottom w:val="single" w:sz="4" w:space="0" w:color="000000"/>
              <w:right w:val="nil"/>
            </w:tcBorders>
            <w:tcMar>
              <w:top w:w="40" w:type="dxa"/>
              <w:left w:w="40" w:type="dxa"/>
              <w:bottom w:w="40" w:type="dxa"/>
              <w:right w:w="40" w:type="dxa"/>
            </w:tcMar>
          </w:tcPr>
          <w:p w14:paraId="5872B6B3" w14:textId="3A31DBC6" w:rsidR="00184A99" w:rsidRDefault="00184A99" w:rsidP="00AE72A5">
            <w:pPr>
              <w:widowControl w:val="0"/>
              <w:spacing w:line="276" w:lineRule="auto"/>
              <w:jc w:val="center"/>
              <w:rPr>
                <w:rFonts w:ascii="Arial" w:eastAsia="Arial" w:hAnsi="Arial" w:cs="Arial"/>
                <w:sz w:val="20"/>
                <w:szCs w:val="20"/>
              </w:rPr>
            </w:pPr>
            <w:r w:rsidRPr="00B87F80">
              <w:t>-5.73%</w:t>
            </w:r>
          </w:p>
        </w:tc>
        <w:tc>
          <w:tcPr>
            <w:tcW w:w="1530" w:type="dxa"/>
            <w:tcBorders>
              <w:top w:val="nil"/>
              <w:left w:val="nil"/>
              <w:bottom w:val="single" w:sz="4" w:space="0" w:color="000000"/>
              <w:right w:val="nil"/>
            </w:tcBorders>
            <w:tcMar>
              <w:top w:w="40" w:type="dxa"/>
              <w:left w:w="40" w:type="dxa"/>
              <w:bottom w:w="40" w:type="dxa"/>
              <w:right w:w="40" w:type="dxa"/>
            </w:tcMar>
          </w:tcPr>
          <w:p w14:paraId="43D7E504" w14:textId="2BAAB835" w:rsidR="00184A99" w:rsidRDefault="00184A99" w:rsidP="00AE72A5">
            <w:pPr>
              <w:widowControl w:val="0"/>
              <w:spacing w:line="276" w:lineRule="auto"/>
              <w:jc w:val="center"/>
              <w:rPr>
                <w:rFonts w:ascii="Arial" w:eastAsia="Arial" w:hAnsi="Arial" w:cs="Arial"/>
                <w:sz w:val="20"/>
                <w:szCs w:val="20"/>
              </w:rPr>
            </w:pPr>
            <w:r w:rsidRPr="00B87F80">
              <w:t>-5.65%</w:t>
            </w:r>
          </w:p>
        </w:tc>
        <w:tc>
          <w:tcPr>
            <w:tcW w:w="1380" w:type="dxa"/>
            <w:tcBorders>
              <w:top w:val="nil"/>
              <w:left w:val="nil"/>
              <w:bottom w:val="single" w:sz="4" w:space="0" w:color="000000"/>
              <w:right w:val="nil"/>
            </w:tcBorders>
            <w:tcMar>
              <w:top w:w="40" w:type="dxa"/>
              <w:left w:w="40" w:type="dxa"/>
              <w:bottom w:w="40" w:type="dxa"/>
              <w:right w:w="40" w:type="dxa"/>
            </w:tcMar>
          </w:tcPr>
          <w:p w14:paraId="4C79AB2F" w14:textId="22ED5E08" w:rsidR="00184A99" w:rsidRDefault="00184A99" w:rsidP="00AE72A5">
            <w:pPr>
              <w:widowControl w:val="0"/>
              <w:spacing w:line="276" w:lineRule="auto"/>
              <w:jc w:val="center"/>
              <w:rPr>
                <w:rFonts w:ascii="Arial" w:eastAsia="Arial" w:hAnsi="Arial" w:cs="Arial"/>
                <w:sz w:val="20"/>
                <w:szCs w:val="20"/>
              </w:rPr>
            </w:pPr>
            <w:r w:rsidRPr="00B87F80">
              <w:t>-5.82%</w:t>
            </w:r>
          </w:p>
        </w:tc>
      </w:tr>
      <w:tr w:rsidR="00D640F1" w14:paraId="7A25DBCB" w14:textId="77777777">
        <w:trPr>
          <w:trHeight w:val="701"/>
        </w:trPr>
        <w:tc>
          <w:tcPr>
            <w:tcW w:w="11985" w:type="dxa"/>
            <w:gridSpan w:val="8"/>
            <w:tcBorders>
              <w:top w:val="nil"/>
              <w:left w:val="nil"/>
              <w:bottom w:val="nil"/>
              <w:right w:val="nil"/>
            </w:tcBorders>
            <w:tcMar>
              <w:top w:w="40" w:type="dxa"/>
              <w:left w:w="40" w:type="dxa"/>
              <w:bottom w:w="40" w:type="dxa"/>
              <w:right w:w="40" w:type="dxa"/>
            </w:tcMar>
            <w:vAlign w:val="bottom"/>
          </w:tcPr>
          <w:p w14:paraId="5BE4F8B3" w14:textId="33F279D9" w:rsidR="00D640F1" w:rsidRDefault="00000000" w:rsidP="001971D9">
            <w:pPr>
              <w:widowControl w:val="0"/>
              <w:spacing w:line="276" w:lineRule="auto"/>
              <w:jc w:val="both"/>
              <w:rPr>
                <w:rFonts w:ascii="Arial" w:eastAsia="Arial" w:hAnsi="Arial" w:cs="Arial"/>
                <w:sz w:val="20"/>
                <w:szCs w:val="20"/>
              </w:rPr>
            </w:pPr>
            <w:r>
              <w:rPr>
                <w:sz w:val="22"/>
                <w:szCs w:val="22"/>
              </w:rPr>
              <w:t xml:space="preserve">Note: The optimization process uses the conditional </w:t>
            </w:r>
            <w:r w:rsidR="0031199E">
              <w:rPr>
                <w:sz w:val="22"/>
                <w:szCs w:val="22"/>
              </w:rPr>
              <w:t>volatility</w:t>
            </w:r>
            <w:r>
              <w:rPr>
                <w:sz w:val="22"/>
                <w:szCs w:val="22"/>
              </w:rPr>
              <w:t xml:space="preserve"> and correlation of the diagonal VECH model with the student t distribution. </w:t>
            </w:r>
            <w:r w:rsidR="008477B4">
              <w:rPr>
                <w:sz w:val="22"/>
                <w:szCs w:val="22"/>
              </w:rPr>
              <w:t xml:space="preserve">The risk aversion parameters of </w:t>
            </w:r>
            <w:r w:rsidR="004B17A9">
              <w:rPr>
                <w:sz w:val="22"/>
                <w:szCs w:val="22"/>
              </w:rPr>
              <w:t xml:space="preserve">the </w:t>
            </w:r>
            <w:r w:rsidR="008477B4">
              <w:rPr>
                <w:sz w:val="22"/>
                <w:szCs w:val="22"/>
              </w:rPr>
              <w:t xml:space="preserve">mean-variance portfolio </w:t>
            </w:r>
            <w:r w:rsidR="004B17A9">
              <w:rPr>
                <w:sz w:val="22"/>
                <w:szCs w:val="22"/>
              </w:rPr>
              <w:t>are</w:t>
            </w:r>
            <w:r w:rsidR="008477B4">
              <w:rPr>
                <w:sz w:val="22"/>
                <w:szCs w:val="22"/>
              </w:rPr>
              <w:t xml:space="preserve"> set to be 1, indicating </w:t>
            </w:r>
            <w:r w:rsidR="00AF5E02">
              <w:rPr>
                <w:sz w:val="22"/>
                <w:szCs w:val="22"/>
              </w:rPr>
              <w:t>an</w:t>
            </w:r>
            <w:r w:rsidR="00FD59F8">
              <w:rPr>
                <w:sz w:val="22"/>
                <w:szCs w:val="22"/>
              </w:rPr>
              <w:t xml:space="preserve"> equal</w:t>
            </w:r>
            <w:r w:rsidR="008477B4">
              <w:rPr>
                <w:sz w:val="22"/>
                <w:szCs w:val="22"/>
              </w:rPr>
              <w:t xml:space="preserve"> balance between return and risk. </w:t>
            </w:r>
            <w:r w:rsidR="00586CDA">
              <w:rPr>
                <w:sz w:val="22"/>
                <w:szCs w:val="22"/>
              </w:rPr>
              <w:t>When calculating CVaR, t</w:t>
            </w:r>
            <w:r>
              <w:rPr>
                <w:sz w:val="22"/>
                <w:szCs w:val="22"/>
              </w:rPr>
              <w:t xml:space="preserve">he significance level is </w:t>
            </w:r>
            <w:r w:rsidR="00826D06">
              <w:rPr>
                <w:sz w:val="22"/>
                <w:szCs w:val="22"/>
              </w:rPr>
              <w:t>9</w:t>
            </w:r>
            <w:r>
              <w:rPr>
                <w:sz w:val="22"/>
                <w:szCs w:val="22"/>
              </w:rPr>
              <w:t>5%</w:t>
            </w:r>
            <w:r w:rsidR="007E778A">
              <w:rPr>
                <w:sz w:val="22"/>
                <w:szCs w:val="22"/>
              </w:rPr>
              <w:t xml:space="preserve"> and the rolling window size is 2</w:t>
            </w:r>
            <w:r w:rsidR="00844D55">
              <w:rPr>
                <w:sz w:val="22"/>
                <w:szCs w:val="22"/>
              </w:rPr>
              <w:t>50</w:t>
            </w:r>
            <w:r>
              <w:rPr>
                <w:sz w:val="22"/>
                <w:szCs w:val="22"/>
              </w:rPr>
              <w:t>.</w:t>
            </w:r>
            <w:r w:rsidR="00663389">
              <w:rPr>
                <w:sz w:val="22"/>
                <w:szCs w:val="22"/>
              </w:rPr>
              <w:t xml:space="preserve"> </w:t>
            </w:r>
          </w:p>
        </w:tc>
      </w:tr>
    </w:tbl>
    <w:p w14:paraId="3D73254E" w14:textId="77777777" w:rsidR="00841ECA" w:rsidRDefault="00841ECA">
      <w:pPr>
        <w:jc w:val="both"/>
      </w:pPr>
    </w:p>
    <w:p w14:paraId="7F768A3C" w14:textId="4FE95D97" w:rsidR="007A4878" w:rsidRDefault="00281FC9" w:rsidP="00D014E6">
      <w:pPr>
        <w:spacing w:after="240"/>
        <w:jc w:val="both"/>
      </w:pPr>
      <w:r w:rsidRPr="00281FC9">
        <w:t>Specifically</w:t>
      </w:r>
      <w:r w:rsidR="007A4878">
        <w:t xml:space="preserve">, the mean-variance portfolio uses the risk aversion </w:t>
      </w:r>
      <w:r w:rsidR="000E0B98">
        <w:t>parameter</w:t>
      </w:r>
      <w:r w:rsidR="007A4878">
        <w:t xml:space="preserve"> </w:t>
      </w:r>
      <m:oMath>
        <m:r>
          <w:rPr>
            <w:rFonts w:ascii="Cambria Math" w:hAnsi="Cambria Math"/>
          </w:rPr>
          <m:t>γ</m:t>
        </m:r>
      </m:oMath>
      <w:r w:rsidR="007A4878">
        <w:t xml:space="preserve">, which </w:t>
      </w:r>
      <w:r w:rsidR="006A65B4">
        <w:t xml:space="preserve">is named gamma and </w:t>
      </w:r>
      <w:r w:rsidR="007A4878">
        <w:t>measures the trade-off between return and risk.</w:t>
      </w:r>
      <w:r w:rsidR="003F7491">
        <w:t xml:space="preserve"> </w:t>
      </w:r>
      <w:r w:rsidR="004A53B0">
        <w:t xml:space="preserve">The results of </w:t>
      </w:r>
      <w:r w:rsidR="0093689B">
        <w:t xml:space="preserve">the </w:t>
      </w:r>
      <w:r w:rsidR="000E0B98">
        <w:t xml:space="preserve">mean-variance portfolio </w:t>
      </w:r>
      <w:r w:rsidR="0093689B">
        <w:t>with different risk aversion parameters</w:t>
      </w:r>
      <w:r w:rsidR="004A53B0">
        <w:t xml:space="preserve"> are shown in </w:t>
      </w:r>
      <w:r w:rsidR="00645034">
        <w:fldChar w:fldCharType="begin"/>
      </w:r>
      <w:r w:rsidR="00645034">
        <w:instrText xml:space="preserve"> REF _Ref167227891 \h </w:instrText>
      </w:r>
      <w:r w:rsidR="00645034">
        <w:fldChar w:fldCharType="separate"/>
      </w:r>
      <w:r w:rsidR="002E6614">
        <w:t xml:space="preserve">Table </w:t>
      </w:r>
      <w:r w:rsidR="002E6614">
        <w:rPr>
          <w:noProof/>
        </w:rPr>
        <w:t>7</w:t>
      </w:r>
      <w:r w:rsidR="00645034">
        <w:fldChar w:fldCharType="end"/>
      </w:r>
      <w:r w:rsidR="00645034">
        <w:t>.</w:t>
      </w:r>
      <w:r w:rsidR="0093689B">
        <w:t xml:space="preserve"> </w:t>
      </w:r>
      <w:r w:rsidR="007A4878">
        <w:t xml:space="preserve">When the risk aversion </w:t>
      </w:r>
      <w:r w:rsidR="000E0B98">
        <w:t>parameter</w:t>
      </w:r>
      <w:r w:rsidR="00BA33A6">
        <w:t xml:space="preserve"> gamma</w:t>
      </w:r>
      <w:r w:rsidR="000E0B98">
        <w:t xml:space="preserve"> is </w:t>
      </w:r>
      <w:r w:rsidR="007A4878">
        <w:t>set to</w:t>
      </w:r>
      <w:r w:rsidR="000E0B98">
        <w:t xml:space="preserve"> 0</w:t>
      </w:r>
      <w:r w:rsidR="007A4878">
        <w:t>, it means that the investment goal is to maximize returns</w:t>
      </w:r>
      <w:r w:rsidR="008646CD">
        <w:t>,</w:t>
      </w:r>
      <w:r w:rsidR="00AC4B96">
        <w:t xml:space="preserve"> </w:t>
      </w:r>
      <w:r w:rsidR="0042564B">
        <w:t>and</w:t>
      </w:r>
      <w:r w:rsidR="007A4878">
        <w:t xml:space="preserve"> </w:t>
      </w:r>
      <w:r w:rsidR="007D0B6D">
        <w:t xml:space="preserve">investors </w:t>
      </w:r>
      <w:r w:rsidR="00C6090A">
        <w:t>will</w:t>
      </w:r>
      <w:r w:rsidR="00654A01">
        <w:t xml:space="preserve"> no longer</w:t>
      </w:r>
      <w:r w:rsidR="007A4878">
        <w:t xml:space="preserve"> consider risk</w:t>
      </w:r>
      <w:r w:rsidR="007F32E9">
        <w:t xml:space="preserve"> factors</w:t>
      </w:r>
      <w:r w:rsidR="007A4878">
        <w:t>. The optimal weights are all allocated to the energy commodity group, which indicat</w:t>
      </w:r>
      <w:r w:rsidR="005109A5">
        <w:t>e</w:t>
      </w:r>
      <w:r w:rsidR="004A612C">
        <w:t>s</w:t>
      </w:r>
      <w:r w:rsidR="007A4878">
        <w:t xml:space="preserve"> that energy c</w:t>
      </w:r>
      <w:r w:rsidR="005109A5">
        <w:t>o</w:t>
      </w:r>
      <w:r w:rsidR="007A4878">
        <w:t>mmodities ha</w:t>
      </w:r>
      <w:r w:rsidR="003F2057">
        <w:t>ve</w:t>
      </w:r>
      <w:r w:rsidR="007A4878">
        <w:t xml:space="preserve"> higher returns compared to metal and agricultural commodities.</w:t>
      </w:r>
      <w:r w:rsidR="008E2093">
        <w:t xml:space="preserve"> </w:t>
      </w:r>
      <w:r w:rsidR="008B7A1D">
        <w:t xml:space="preserve">The </w:t>
      </w:r>
      <w:r w:rsidR="00DA2A3C">
        <w:t>risk aversion p</w:t>
      </w:r>
      <w:r w:rsidR="007F54A2">
        <w:t>arameter</w:t>
      </w:r>
      <w:r w:rsidR="00DA2A3C">
        <w:t xml:space="preserve"> of 0.5 </w:t>
      </w:r>
      <w:r w:rsidR="00B157FB">
        <w:t>suits</w:t>
      </w:r>
      <w:r w:rsidR="00DA2A3C">
        <w:t xml:space="preserve"> </w:t>
      </w:r>
      <w:r w:rsidR="00E74FEB">
        <w:t xml:space="preserve">risk-seeking </w:t>
      </w:r>
      <w:r w:rsidR="00B04E3E">
        <w:t>investors who</w:t>
      </w:r>
      <w:r w:rsidR="00DA2A3C">
        <w:t xml:space="preserve"> </w:t>
      </w:r>
      <w:r w:rsidR="0059689C">
        <w:t>emphasize</w:t>
      </w:r>
      <w:r w:rsidR="009946F0" w:rsidRPr="009946F0">
        <w:t xml:space="preserve"> </w:t>
      </w:r>
      <w:r w:rsidR="005D1453" w:rsidRPr="009946F0">
        <w:t xml:space="preserve">maximizing returns </w:t>
      </w:r>
      <w:r w:rsidR="005D1453">
        <w:t xml:space="preserve">rather than </w:t>
      </w:r>
      <w:r w:rsidR="009946F0" w:rsidRPr="009946F0">
        <w:t>minimizing risk</w:t>
      </w:r>
      <w:r w:rsidR="00B5544B">
        <w:t xml:space="preserve">. Additionally, </w:t>
      </w:r>
      <w:r w:rsidR="00E82951">
        <w:t>an</w:t>
      </w:r>
      <w:r w:rsidR="00B5544B">
        <w:t xml:space="preserve"> </w:t>
      </w:r>
      <w:r w:rsidR="00FD4A68">
        <w:t xml:space="preserve">equal balance </w:t>
      </w:r>
      <w:r w:rsidR="005D46E6">
        <w:t>between</w:t>
      </w:r>
      <w:r w:rsidR="00FD4A68">
        <w:t xml:space="preserve"> return</w:t>
      </w:r>
      <w:r w:rsidR="00CE163D">
        <w:t xml:space="preserve"> and </w:t>
      </w:r>
      <w:r w:rsidR="00FD4A68">
        <w:t>risk is given by setting</w:t>
      </w:r>
      <w:r w:rsidR="00E82951">
        <w:t xml:space="preserve"> </w:t>
      </w:r>
      <w:r w:rsidR="00CC27CE">
        <w:t xml:space="preserve">the </w:t>
      </w:r>
      <w:r w:rsidR="00BE341F">
        <w:t>g</w:t>
      </w:r>
      <w:r w:rsidR="000C6AE3">
        <w:t>amma</w:t>
      </w:r>
      <w:r w:rsidR="00E82951">
        <w:t xml:space="preserve"> to </w:t>
      </w:r>
      <w:r w:rsidR="003111C1">
        <w:t>1</w:t>
      </w:r>
      <w:r w:rsidR="00364F69">
        <w:t>, while</w:t>
      </w:r>
      <w:r w:rsidR="00CA095F">
        <w:t xml:space="preserve"> </w:t>
      </w:r>
      <w:r w:rsidR="003C6014">
        <w:t>risk-</w:t>
      </w:r>
      <w:r w:rsidR="008D5BD2">
        <w:t>averse</w:t>
      </w:r>
      <w:r w:rsidR="00CA095F" w:rsidRPr="00CA095F">
        <w:t xml:space="preserve"> investor</w:t>
      </w:r>
      <w:r w:rsidR="003C6014">
        <w:t xml:space="preserve">s </w:t>
      </w:r>
      <w:r w:rsidR="009940C7">
        <w:t xml:space="preserve">are represented as the </w:t>
      </w:r>
      <w:r w:rsidR="007762C7">
        <w:t>gamma</w:t>
      </w:r>
      <w:r w:rsidR="009940C7">
        <w:t xml:space="preserve"> of 1.5</w:t>
      </w:r>
      <w:r w:rsidR="003111C1">
        <w:t xml:space="preserve">. As the </w:t>
      </w:r>
      <w:r w:rsidR="00CE163D">
        <w:t>risk</w:t>
      </w:r>
      <w:r w:rsidR="00A67A54">
        <w:t xml:space="preserve"> aversion level increases, which means that investors focus more on reducing risk, it can be seen that the proportion allocated to metal commodities is increasing, while the proportion to energy commodities is decreasing, with slight increase</w:t>
      </w:r>
      <w:r w:rsidR="00E0120A">
        <w:t>s</w:t>
      </w:r>
      <w:r w:rsidR="00A67A54">
        <w:t xml:space="preserve"> in the proportion of agricultural commodities. </w:t>
      </w:r>
      <w:r w:rsidR="00804766">
        <w:t xml:space="preserve">These results align with the </w:t>
      </w:r>
      <w:r w:rsidR="000D04C9">
        <w:t>characteristics</w:t>
      </w:r>
      <w:r w:rsidR="00804766">
        <w:t xml:space="preserve"> of the commodities, </w:t>
      </w:r>
      <w:r w:rsidR="000D04C9">
        <w:t>as energy commodities are more volatile but have higher returns compared to metal and agricultural commodities.</w:t>
      </w:r>
      <w:r w:rsidR="001C45D4">
        <w:t xml:space="preserve"> </w:t>
      </w:r>
    </w:p>
    <w:p w14:paraId="0570DF06" w14:textId="11D26F24" w:rsidR="007A7740" w:rsidRDefault="007A7740" w:rsidP="00955401">
      <w:pPr>
        <w:pStyle w:val="Caption"/>
      </w:pPr>
      <w:bookmarkStart w:id="24" w:name="_Ref167227891"/>
      <w:r>
        <w:t xml:space="preserve">Table </w:t>
      </w:r>
      <w:r>
        <w:fldChar w:fldCharType="begin"/>
      </w:r>
      <w:r>
        <w:instrText xml:space="preserve"> SEQ Table \* ARABIC </w:instrText>
      </w:r>
      <w:r>
        <w:fldChar w:fldCharType="separate"/>
      </w:r>
      <w:r w:rsidR="002E6614">
        <w:rPr>
          <w:noProof/>
        </w:rPr>
        <w:t>7</w:t>
      </w:r>
      <w:r>
        <w:fldChar w:fldCharType="end"/>
      </w:r>
      <w:bookmarkEnd w:id="24"/>
      <w:r>
        <w:t xml:space="preserve">: </w:t>
      </w:r>
      <w:r w:rsidRPr="00AE258A">
        <w:t>Risk Aversion Parameter Tuning</w:t>
      </w:r>
    </w:p>
    <w:tbl>
      <w:tblPr>
        <w:tblW w:w="9360" w:type="dxa"/>
        <w:tblCellSpacing w:w="0" w:type="dxa"/>
        <w:tblCellMar>
          <w:left w:w="0" w:type="dxa"/>
          <w:right w:w="0" w:type="dxa"/>
        </w:tblCellMar>
        <w:tblLook w:val="04A0" w:firstRow="1" w:lastRow="0" w:firstColumn="1" w:lastColumn="0" w:noHBand="0" w:noVBand="1"/>
      </w:tblPr>
      <w:tblGrid>
        <w:gridCol w:w="2731"/>
        <w:gridCol w:w="1829"/>
        <w:gridCol w:w="1600"/>
        <w:gridCol w:w="1600"/>
        <w:gridCol w:w="1600"/>
      </w:tblGrid>
      <w:tr w:rsidR="005D2E38" w14:paraId="162650B3" w14:textId="77777777" w:rsidTr="007A7740">
        <w:trPr>
          <w:trHeight w:val="315"/>
          <w:tblCellSpacing w:w="0" w:type="dxa"/>
        </w:trPr>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3C21CDC2" w14:textId="77777777" w:rsidR="005D2E38" w:rsidRDefault="005D2E38"/>
        </w:tc>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77DF70B4" w14:textId="77777777" w:rsidR="005D2E38" w:rsidRDefault="005D2E38" w:rsidP="0017305E">
            <w:pPr>
              <w:jc w:val="center"/>
              <w:rPr>
                <w:b/>
                <w:bCs/>
                <w:sz w:val="22"/>
                <w:szCs w:val="22"/>
              </w:rPr>
            </w:pPr>
            <w:r>
              <w:rPr>
                <w:b/>
                <w:bCs/>
                <w:sz w:val="22"/>
                <w:szCs w:val="22"/>
              </w:rPr>
              <w:t>γ=0</w:t>
            </w:r>
          </w:p>
        </w:tc>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51F39270" w14:textId="77777777" w:rsidR="005D2E38" w:rsidRDefault="005D2E38" w:rsidP="0017305E">
            <w:pPr>
              <w:jc w:val="center"/>
              <w:rPr>
                <w:b/>
                <w:bCs/>
                <w:sz w:val="22"/>
                <w:szCs w:val="22"/>
              </w:rPr>
            </w:pPr>
            <w:r>
              <w:rPr>
                <w:b/>
                <w:bCs/>
                <w:sz w:val="22"/>
                <w:szCs w:val="22"/>
              </w:rPr>
              <w:t>γ=0.5</w:t>
            </w:r>
          </w:p>
        </w:tc>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0845C602" w14:textId="77777777" w:rsidR="005D2E38" w:rsidRDefault="005D2E38" w:rsidP="0017305E">
            <w:pPr>
              <w:jc w:val="center"/>
              <w:rPr>
                <w:b/>
                <w:bCs/>
                <w:sz w:val="22"/>
                <w:szCs w:val="22"/>
              </w:rPr>
            </w:pPr>
            <w:r>
              <w:rPr>
                <w:b/>
                <w:bCs/>
                <w:sz w:val="22"/>
                <w:szCs w:val="22"/>
              </w:rPr>
              <w:t>γ=1</w:t>
            </w:r>
          </w:p>
        </w:tc>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77C9DCBE" w14:textId="77777777" w:rsidR="005D2E38" w:rsidRDefault="005D2E38" w:rsidP="0017305E">
            <w:pPr>
              <w:jc w:val="center"/>
              <w:rPr>
                <w:b/>
                <w:bCs/>
                <w:sz w:val="22"/>
                <w:szCs w:val="22"/>
              </w:rPr>
            </w:pPr>
            <w:r>
              <w:rPr>
                <w:b/>
                <w:bCs/>
                <w:sz w:val="22"/>
                <w:szCs w:val="22"/>
              </w:rPr>
              <w:t>γ=1.5</w:t>
            </w:r>
          </w:p>
        </w:tc>
      </w:tr>
      <w:tr w:rsidR="005D2E38" w14:paraId="6324A37E" w14:textId="77777777" w:rsidTr="007A7740">
        <w:trPr>
          <w:trHeight w:val="315"/>
          <w:tblCellSpacing w:w="0" w:type="dxa"/>
        </w:trPr>
        <w:tc>
          <w:tcPr>
            <w:tcW w:w="0" w:type="auto"/>
            <w:tcMar>
              <w:top w:w="30" w:type="dxa"/>
              <w:left w:w="45" w:type="dxa"/>
              <w:bottom w:w="30" w:type="dxa"/>
              <w:right w:w="45" w:type="dxa"/>
            </w:tcMar>
            <w:vAlign w:val="bottom"/>
            <w:hideMark/>
          </w:tcPr>
          <w:p w14:paraId="56F29740" w14:textId="77777777" w:rsidR="005D2E38" w:rsidRDefault="005D2E38">
            <w:pPr>
              <w:rPr>
                <w:b/>
                <w:bCs/>
                <w:sz w:val="22"/>
                <w:szCs w:val="22"/>
              </w:rPr>
            </w:pPr>
            <w:r>
              <w:rPr>
                <w:b/>
                <w:bCs/>
                <w:sz w:val="22"/>
                <w:szCs w:val="22"/>
              </w:rPr>
              <w:t>Weights</w:t>
            </w:r>
          </w:p>
        </w:tc>
        <w:tc>
          <w:tcPr>
            <w:tcW w:w="0" w:type="auto"/>
            <w:tcMar>
              <w:top w:w="30" w:type="dxa"/>
              <w:left w:w="45" w:type="dxa"/>
              <w:bottom w:w="30" w:type="dxa"/>
              <w:right w:w="45" w:type="dxa"/>
            </w:tcMar>
            <w:vAlign w:val="bottom"/>
            <w:hideMark/>
          </w:tcPr>
          <w:p w14:paraId="33A1633E" w14:textId="77777777" w:rsidR="005D2E38" w:rsidRDefault="005D2E38" w:rsidP="0017305E">
            <w:pPr>
              <w:jc w:val="center"/>
              <w:rPr>
                <w:b/>
                <w:bCs/>
                <w:sz w:val="22"/>
                <w:szCs w:val="22"/>
              </w:rPr>
            </w:pPr>
          </w:p>
        </w:tc>
        <w:tc>
          <w:tcPr>
            <w:tcW w:w="0" w:type="auto"/>
            <w:tcMar>
              <w:top w:w="30" w:type="dxa"/>
              <w:left w:w="45" w:type="dxa"/>
              <w:bottom w:w="30" w:type="dxa"/>
              <w:right w:w="45" w:type="dxa"/>
            </w:tcMar>
            <w:vAlign w:val="bottom"/>
            <w:hideMark/>
          </w:tcPr>
          <w:p w14:paraId="51691811" w14:textId="77777777" w:rsidR="005D2E38" w:rsidRDefault="005D2E38" w:rsidP="0017305E">
            <w:pPr>
              <w:jc w:val="center"/>
              <w:rPr>
                <w:sz w:val="20"/>
                <w:szCs w:val="20"/>
              </w:rPr>
            </w:pPr>
          </w:p>
        </w:tc>
        <w:tc>
          <w:tcPr>
            <w:tcW w:w="0" w:type="auto"/>
            <w:tcMar>
              <w:top w:w="30" w:type="dxa"/>
              <w:left w:w="45" w:type="dxa"/>
              <w:bottom w:w="30" w:type="dxa"/>
              <w:right w:w="45" w:type="dxa"/>
            </w:tcMar>
            <w:vAlign w:val="bottom"/>
            <w:hideMark/>
          </w:tcPr>
          <w:p w14:paraId="47CD1626" w14:textId="77777777" w:rsidR="005D2E38" w:rsidRDefault="005D2E38" w:rsidP="0017305E">
            <w:pPr>
              <w:jc w:val="center"/>
              <w:rPr>
                <w:sz w:val="20"/>
                <w:szCs w:val="20"/>
              </w:rPr>
            </w:pPr>
          </w:p>
        </w:tc>
        <w:tc>
          <w:tcPr>
            <w:tcW w:w="0" w:type="auto"/>
            <w:tcMar>
              <w:top w:w="30" w:type="dxa"/>
              <w:left w:w="45" w:type="dxa"/>
              <w:bottom w:w="30" w:type="dxa"/>
              <w:right w:w="45" w:type="dxa"/>
            </w:tcMar>
            <w:vAlign w:val="bottom"/>
            <w:hideMark/>
          </w:tcPr>
          <w:p w14:paraId="21D77EB5" w14:textId="77777777" w:rsidR="005D2E38" w:rsidRDefault="005D2E38" w:rsidP="0017305E">
            <w:pPr>
              <w:jc w:val="center"/>
              <w:rPr>
                <w:sz w:val="20"/>
                <w:szCs w:val="20"/>
              </w:rPr>
            </w:pPr>
          </w:p>
        </w:tc>
      </w:tr>
      <w:tr w:rsidR="005D2E38" w14:paraId="14A7C42C" w14:textId="77777777" w:rsidTr="007A7740">
        <w:trPr>
          <w:trHeight w:val="315"/>
          <w:tblCellSpacing w:w="0" w:type="dxa"/>
        </w:trPr>
        <w:tc>
          <w:tcPr>
            <w:tcW w:w="0" w:type="auto"/>
            <w:tcMar>
              <w:top w:w="30" w:type="dxa"/>
              <w:left w:w="45" w:type="dxa"/>
              <w:bottom w:w="30" w:type="dxa"/>
              <w:right w:w="45" w:type="dxa"/>
            </w:tcMar>
            <w:vAlign w:val="bottom"/>
            <w:hideMark/>
          </w:tcPr>
          <w:p w14:paraId="0FA10C64" w14:textId="77777777" w:rsidR="005D2E38" w:rsidRDefault="005D2E38">
            <w:pPr>
              <w:rPr>
                <w:sz w:val="22"/>
                <w:szCs w:val="22"/>
              </w:rPr>
            </w:pPr>
            <w:r>
              <w:rPr>
                <w:sz w:val="22"/>
                <w:szCs w:val="22"/>
              </w:rPr>
              <w:t>Metal</w:t>
            </w:r>
          </w:p>
        </w:tc>
        <w:tc>
          <w:tcPr>
            <w:tcW w:w="0" w:type="auto"/>
            <w:tcMar>
              <w:top w:w="30" w:type="dxa"/>
              <w:left w:w="45" w:type="dxa"/>
              <w:bottom w:w="30" w:type="dxa"/>
              <w:right w:w="45" w:type="dxa"/>
            </w:tcMar>
            <w:vAlign w:val="bottom"/>
            <w:hideMark/>
          </w:tcPr>
          <w:p w14:paraId="30651638" w14:textId="77777777" w:rsidR="005D2E38" w:rsidRDefault="005D2E38" w:rsidP="0017305E">
            <w:pPr>
              <w:jc w:val="center"/>
              <w:rPr>
                <w:sz w:val="22"/>
                <w:szCs w:val="22"/>
              </w:rPr>
            </w:pPr>
            <w:r>
              <w:rPr>
                <w:sz w:val="22"/>
                <w:szCs w:val="22"/>
              </w:rPr>
              <w:t>0.00%</w:t>
            </w:r>
          </w:p>
        </w:tc>
        <w:tc>
          <w:tcPr>
            <w:tcW w:w="0" w:type="auto"/>
            <w:tcMar>
              <w:top w:w="30" w:type="dxa"/>
              <w:left w:w="45" w:type="dxa"/>
              <w:bottom w:w="30" w:type="dxa"/>
              <w:right w:w="45" w:type="dxa"/>
            </w:tcMar>
            <w:vAlign w:val="bottom"/>
            <w:hideMark/>
          </w:tcPr>
          <w:p w14:paraId="31123D88" w14:textId="77777777" w:rsidR="005D2E38" w:rsidRDefault="005D2E38" w:rsidP="0017305E">
            <w:pPr>
              <w:jc w:val="center"/>
              <w:rPr>
                <w:sz w:val="22"/>
                <w:szCs w:val="22"/>
              </w:rPr>
            </w:pPr>
            <w:r>
              <w:rPr>
                <w:sz w:val="22"/>
                <w:szCs w:val="22"/>
              </w:rPr>
              <w:t>42.92%</w:t>
            </w:r>
          </w:p>
        </w:tc>
        <w:tc>
          <w:tcPr>
            <w:tcW w:w="0" w:type="auto"/>
            <w:tcMar>
              <w:top w:w="30" w:type="dxa"/>
              <w:left w:w="45" w:type="dxa"/>
              <w:bottom w:w="30" w:type="dxa"/>
              <w:right w:w="45" w:type="dxa"/>
            </w:tcMar>
            <w:vAlign w:val="bottom"/>
            <w:hideMark/>
          </w:tcPr>
          <w:p w14:paraId="23CF666C" w14:textId="77777777" w:rsidR="005D2E38" w:rsidRDefault="005D2E38" w:rsidP="0017305E">
            <w:pPr>
              <w:jc w:val="center"/>
              <w:rPr>
                <w:sz w:val="22"/>
                <w:szCs w:val="22"/>
              </w:rPr>
            </w:pPr>
            <w:r>
              <w:rPr>
                <w:sz w:val="22"/>
                <w:szCs w:val="22"/>
              </w:rPr>
              <w:t>58.25%</w:t>
            </w:r>
          </w:p>
        </w:tc>
        <w:tc>
          <w:tcPr>
            <w:tcW w:w="0" w:type="auto"/>
            <w:tcMar>
              <w:top w:w="30" w:type="dxa"/>
              <w:left w:w="45" w:type="dxa"/>
              <w:bottom w:w="30" w:type="dxa"/>
              <w:right w:w="45" w:type="dxa"/>
            </w:tcMar>
            <w:vAlign w:val="bottom"/>
            <w:hideMark/>
          </w:tcPr>
          <w:p w14:paraId="6698F2CE" w14:textId="77777777" w:rsidR="005D2E38" w:rsidRDefault="005D2E38" w:rsidP="0017305E">
            <w:pPr>
              <w:jc w:val="center"/>
              <w:rPr>
                <w:sz w:val="22"/>
                <w:szCs w:val="22"/>
              </w:rPr>
            </w:pPr>
            <w:r>
              <w:rPr>
                <w:sz w:val="22"/>
                <w:szCs w:val="22"/>
              </w:rPr>
              <w:t>61.23%</w:t>
            </w:r>
          </w:p>
        </w:tc>
      </w:tr>
      <w:tr w:rsidR="005D2E38" w14:paraId="6BEBFC9D" w14:textId="77777777" w:rsidTr="007A7740">
        <w:trPr>
          <w:trHeight w:val="315"/>
          <w:tblCellSpacing w:w="0" w:type="dxa"/>
        </w:trPr>
        <w:tc>
          <w:tcPr>
            <w:tcW w:w="0" w:type="auto"/>
            <w:tcMar>
              <w:top w:w="30" w:type="dxa"/>
              <w:left w:w="45" w:type="dxa"/>
              <w:bottom w:w="30" w:type="dxa"/>
              <w:right w:w="45" w:type="dxa"/>
            </w:tcMar>
            <w:vAlign w:val="bottom"/>
            <w:hideMark/>
          </w:tcPr>
          <w:p w14:paraId="031D7EB7" w14:textId="56A09018" w:rsidR="005D2E38" w:rsidRDefault="00115582">
            <w:pPr>
              <w:rPr>
                <w:sz w:val="22"/>
                <w:szCs w:val="22"/>
              </w:rPr>
            </w:pPr>
            <w:r>
              <w:rPr>
                <w:sz w:val="22"/>
                <w:szCs w:val="22"/>
              </w:rPr>
              <w:t>Energy</w:t>
            </w:r>
          </w:p>
        </w:tc>
        <w:tc>
          <w:tcPr>
            <w:tcW w:w="0" w:type="auto"/>
            <w:tcMar>
              <w:top w:w="30" w:type="dxa"/>
              <w:left w:w="45" w:type="dxa"/>
              <w:bottom w:w="30" w:type="dxa"/>
              <w:right w:w="45" w:type="dxa"/>
            </w:tcMar>
            <w:vAlign w:val="bottom"/>
            <w:hideMark/>
          </w:tcPr>
          <w:p w14:paraId="1D92E4D6" w14:textId="77777777" w:rsidR="005D2E38" w:rsidRDefault="005D2E38" w:rsidP="0017305E">
            <w:pPr>
              <w:jc w:val="center"/>
              <w:rPr>
                <w:sz w:val="22"/>
                <w:szCs w:val="22"/>
              </w:rPr>
            </w:pPr>
            <w:r>
              <w:rPr>
                <w:sz w:val="22"/>
                <w:szCs w:val="22"/>
              </w:rPr>
              <w:t>100.00%</w:t>
            </w:r>
          </w:p>
        </w:tc>
        <w:tc>
          <w:tcPr>
            <w:tcW w:w="0" w:type="auto"/>
            <w:tcMar>
              <w:top w:w="30" w:type="dxa"/>
              <w:left w:w="45" w:type="dxa"/>
              <w:bottom w:w="30" w:type="dxa"/>
              <w:right w:w="45" w:type="dxa"/>
            </w:tcMar>
            <w:vAlign w:val="bottom"/>
            <w:hideMark/>
          </w:tcPr>
          <w:p w14:paraId="27619B9F" w14:textId="77777777" w:rsidR="005D2E38" w:rsidRDefault="005D2E38" w:rsidP="0017305E">
            <w:pPr>
              <w:jc w:val="center"/>
              <w:rPr>
                <w:sz w:val="22"/>
                <w:szCs w:val="22"/>
              </w:rPr>
            </w:pPr>
            <w:r>
              <w:rPr>
                <w:sz w:val="22"/>
                <w:szCs w:val="22"/>
              </w:rPr>
              <w:t>56.73%</w:t>
            </w:r>
          </w:p>
        </w:tc>
        <w:tc>
          <w:tcPr>
            <w:tcW w:w="0" w:type="auto"/>
            <w:tcMar>
              <w:top w:w="30" w:type="dxa"/>
              <w:left w:w="45" w:type="dxa"/>
              <w:bottom w:w="30" w:type="dxa"/>
              <w:right w:w="45" w:type="dxa"/>
            </w:tcMar>
            <w:vAlign w:val="bottom"/>
            <w:hideMark/>
          </w:tcPr>
          <w:p w14:paraId="669BDDE1" w14:textId="77777777" w:rsidR="005D2E38" w:rsidRDefault="005D2E38" w:rsidP="0017305E">
            <w:pPr>
              <w:jc w:val="center"/>
              <w:rPr>
                <w:sz w:val="22"/>
                <w:szCs w:val="22"/>
              </w:rPr>
            </w:pPr>
            <w:r>
              <w:rPr>
                <w:sz w:val="22"/>
                <w:szCs w:val="22"/>
              </w:rPr>
              <w:t>39.73%</w:t>
            </w:r>
          </w:p>
        </w:tc>
        <w:tc>
          <w:tcPr>
            <w:tcW w:w="0" w:type="auto"/>
            <w:tcMar>
              <w:top w:w="30" w:type="dxa"/>
              <w:left w:w="45" w:type="dxa"/>
              <w:bottom w:w="30" w:type="dxa"/>
              <w:right w:w="45" w:type="dxa"/>
            </w:tcMar>
            <w:vAlign w:val="bottom"/>
            <w:hideMark/>
          </w:tcPr>
          <w:p w14:paraId="049BE6A5" w14:textId="77777777" w:rsidR="005D2E38" w:rsidRDefault="005D2E38" w:rsidP="0017305E">
            <w:pPr>
              <w:jc w:val="center"/>
              <w:rPr>
                <w:sz w:val="22"/>
                <w:szCs w:val="22"/>
              </w:rPr>
            </w:pPr>
            <w:r>
              <w:rPr>
                <w:sz w:val="22"/>
                <w:szCs w:val="22"/>
              </w:rPr>
              <w:t>32.90%</w:t>
            </w:r>
          </w:p>
        </w:tc>
      </w:tr>
      <w:tr w:rsidR="005D2E38" w14:paraId="134A36E8" w14:textId="77777777" w:rsidTr="007A7740">
        <w:trPr>
          <w:trHeight w:val="315"/>
          <w:tblCellSpacing w:w="0" w:type="dxa"/>
        </w:trPr>
        <w:tc>
          <w:tcPr>
            <w:tcW w:w="0" w:type="auto"/>
            <w:tcMar>
              <w:top w:w="30" w:type="dxa"/>
              <w:left w:w="45" w:type="dxa"/>
              <w:bottom w:w="30" w:type="dxa"/>
              <w:right w:w="45" w:type="dxa"/>
            </w:tcMar>
            <w:vAlign w:val="bottom"/>
            <w:hideMark/>
          </w:tcPr>
          <w:p w14:paraId="57470779" w14:textId="77777777" w:rsidR="005D2E38" w:rsidRDefault="005D2E38">
            <w:pPr>
              <w:rPr>
                <w:sz w:val="22"/>
                <w:szCs w:val="22"/>
              </w:rPr>
            </w:pPr>
            <w:r>
              <w:rPr>
                <w:sz w:val="22"/>
                <w:szCs w:val="22"/>
              </w:rPr>
              <w:t>Agricultural</w:t>
            </w:r>
          </w:p>
        </w:tc>
        <w:tc>
          <w:tcPr>
            <w:tcW w:w="0" w:type="auto"/>
            <w:tcMar>
              <w:top w:w="30" w:type="dxa"/>
              <w:left w:w="45" w:type="dxa"/>
              <w:bottom w:w="30" w:type="dxa"/>
              <w:right w:w="45" w:type="dxa"/>
            </w:tcMar>
            <w:vAlign w:val="bottom"/>
            <w:hideMark/>
          </w:tcPr>
          <w:p w14:paraId="5AF69149" w14:textId="77777777" w:rsidR="005D2E38" w:rsidRDefault="005D2E38" w:rsidP="0017305E">
            <w:pPr>
              <w:jc w:val="center"/>
              <w:rPr>
                <w:sz w:val="22"/>
                <w:szCs w:val="22"/>
              </w:rPr>
            </w:pPr>
            <w:r>
              <w:rPr>
                <w:sz w:val="22"/>
                <w:szCs w:val="22"/>
              </w:rPr>
              <w:t>0.00%</w:t>
            </w:r>
          </w:p>
        </w:tc>
        <w:tc>
          <w:tcPr>
            <w:tcW w:w="0" w:type="auto"/>
            <w:tcMar>
              <w:top w:w="30" w:type="dxa"/>
              <w:left w:w="45" w:type="dxa"/>
              <w:bottom w:w="30" w:type="dxa"/>
              <w:right w:w="45" w:type="dxa"/>
            </w:tcMar>
            <w:vAlign w:val="bottom"/>
            <w:hideMark/>
          </w:tcPr>
          <w:p w14:paraId="40307FAD" w14:textId="77777777" w:rsidR="005D2E38" w:rsidRDefault="005D2E38" w:rsidP="0017305E">
            <w:pPr>
              <w:jc w:val="center"/>
              <w:rPr>
                <w:sz w:val="22"/>
                <w:szCs w:val="22"/>
              </w:rPr>
            </w:pPr>
            <w:r>
              <w:rPr>
                <w:sz w:val="22"/>
                <w:szCs w:val="22"/>
              </w:rPr>
              <w:t>0.35%</w:t>
            </w:r>
          </w:p>
        </w:tc>
        <w:tc>
          <w:tcPr>
            <w:tcW w:w="0" w:type="auto"/>
            <w:tcMar>
              <w:top w:w="30" w:type="dxa"/>
              <w:left w:w="45" w:type="dxa"/>
              <w:bottom w:w="30" w:type="dxa"/>
              <w:right w:w="45" w:type="dxa"/>
            </w:tcMar>
            <w:vAlign w:val="bottom"/>
            <w:hideMark/>
          </w:tcPr>
          <w:p w14:paraId="1F9EE7BE" w14:textId="77777777" w:rsidR="005D2E38" w:rsidRDefault="005D2E38" w:rsidP="0017305E">
            <w:pPr>
              <w:jc w:val="center"/>
              <w:rPr>
                <w:sz w:val="22"/>
                <w:szCs w:val="22"/>
              </w:rPr>
            </w:pPr>
            <w:r>
              <w:rPr>
                <w:sz w:val="22"/>
                <w:szCs w:val="22"/>
              </w:rPr>
              <w:t>2.02%</w:t>
            </w:r>
          </w:p>
        </w:tc>
        <w:tc>
          <w:tcPr>
            <w:tcW w:w="0" w:type="auto"/>
            <w:tcMar>
              <w:top w:w="30" w:type="dxa"/>
              <w:left w:w="45" w:type="dxa"/>
              <w:bottom w:w="30" w:type="dxa"/>
              <w:right w:w="45" w:type="dxa"/>
            </w:tcMar>
            <w:vAlign w:val="bottom"/>
            <w:hideMark/>
          </w:tcPr>
          <w:p w14:paraId="2E2D19F9" w14:textId="77777777" w:rsidR="005D2E38" w:rsidRDefault="005D2E38" w:rsidP="0017305E">
            <w:pPr>
              <w:jc w:val="center"/>
              <w:rPr>
                <w:sz w:val="22"/>
                <w:szCs w:val="22"/>
              </w:rPr>
            </w:pPr>
            <w:r>
              <w:rPr>
                <w:sz w:val="22"/>
                <w:szCs w:val="22"/>
              </w:rPr>
              <w:t>5.87%</w:t>
            </w:r>
          </w:p>
        </w:tc>
      </w:tr>
      <w:tr w:rsidR="005D2E38" w14:paraId="7AE8FC5C" w14:textId="77777777" w:rsidTr="007A7740">
        <w:trPr>
          <w:trHeight w:val="315"/>
          <w:tblCellSpacing w:w="0" w:type="dxa"/>
        </w:trPr>
        <w:tc>
          <w:tcPr>
            <w:tcW w:w="0" w:type="auto"/>
            <w:tcMar>
              <w:top w:w="30" w:type="dxa"/>
              <w:left w:w="45" w:type="dxa"/>
              <w:bottom w:w="30" w:type="dxa"/>
              <w:right w:w="45" w:type="dxa"/>
            </w:tcMar>
            <w:vAlign w:val="bottom"/>
            <w:hideMark/>
          </w:tcPr>
          <w:p w14:paraId="212926C5" w14:textId="77777777" w:rsidR="005D2E38" w:rsidRDefault="005D2E38">
            <w:pPr>
              <w:rPr>
                <w:b/>
                <w:bCs/>
                <w:sz w:val="22"/>
                <w:szCs w:val="22"/>
              </w:rPr>
            </w:pPr>
            <w:r>
              <w:rPr>
                <w:b/>
                <w:bCs/>
                <w:sz w:val="22"/>
                <w:szCs w:val="22"/>
              </w:rPr>
              <w:t>Performance</w:t>
            </w:r>
          </w:p>
        </w:tc>
        <w:tc>
          <w:tcPr>
            <w:tcW w:w="0" w:type="auto"/>
            <w:tcMar>
              <w:top w:w="30" w:type="dxa"/>
              <w:left w:w="45" w:type="dxa"/>
              <w:bottom w:w="30" w:type="dxa"/>
              <w:right w:w="45" w:type="dxa"/>
            </w:tcMar>
            <w:vAlign w:val="bottom"/>
            <w:hideMark/>
          </w:tcPr>
          <w:p w14:paraId="42C107CB" w14:textId="77777777" w:rsidR="005D2E38" w:rsidRDefault="005D2E38" w:rsidP="0017305E">
            <w:pPr>
              <w:jc w:val="center"/>
              <w:rPr>
                <w:b/>
                <w:bCs/>
                <w:sz w:val="22"/>
                <w:szCs w:val="22"/>
              </w:rPr>
            </w:pPr>
          </w:p>
        </w:tc>
        <w:tc>
          <w:tcPr>
            <w:tcW w:w="0" w:type="auto"/>
            <w:tcMar>
              <w:top w:w="30" w:type="dxa"/>
              <w:left w:w="45" w:type="dxa"/>
              <w:bottom w:w="30" w:type="dxa"/>
              <w:right w:w="45" w:type="dxa"/>
            </w:tcMar>
            <w:vAlign w:val="bottom"/>
            <w:hideMark/>
          </w:tcPr>
          <w:p w14:paraId="0254C161" w14:textId="77777777" w:rsidR="005D2E38" w:rsidRDefault="005D2E38" w:rsidP="0017305E">
            <w:pPr>
              <w:jc w:val="center"/>
              <w:rPr>
                <w:sz w:val="20"/>
                <w:szCs w:val="20"/>
              </w:rPr>
            </w:pPr>
          </w:p>
        </w:tc>
        <w:tc>
          <w:tcPr>
            <w:tcW w:w="0" w:type="auto"/>
            <w:tcMar>
              <w:top w:w="30" w:type="dxa"/>
              <w:left w:w="45" w:type="dxa"/>
              <w:bottom w:w="30" w:type="dxa"/>
              <w:right w:w="45" w:type="dxa"/>
            </w:tcMar>
            <w:vAlign w:val="bottom"/>
            <w:hideMark/>
          </w:tcPr>
          <w:p w14:paraId="088B566C" w14:textId="77777777" w:rsidR="005D2E38" w:rsidRDefault="005D2E38" w:rsidP="0017305E">
            <w:pPr>
              <w:jc w:val="center"/>
              <w:rPr>
                <w:sz w:val="20"/>
                <w:szCs w:val="20"/>
              </w:rPr>
            </w:pPr>
          </w:p>
        </w:tc>
        <w:tc>
          <w:tcPr>
            <w:tcW w:w="0" w:type="auto"/>
            <w:tcMar>
              <w:top w:w="30" w:type="dxa"/>
              <w:left w:w="45" w:type="dxa"/>
              <w:bottom w:w="30" w:type="dxa"/>
              <w:right w:w="45" w:type="dxa"/>
            </w:tcMar>
            <w:vAlign w:val="bottom"/>
            <w:hideMark/>
          </w:tcPr>
          <w:p w14:paraId="647F18D8" w14:textId="77777777" w:rsidR="005D2E38" w:rsidRDefault="005D2E38" w:rsidP="0017305E">
            <w:pPr>
              <w:jc w:val="center"/>
              <w:rPr>
                <w:sz w:val="20"/>
                <w:szCs w:val="20"/>
              </w:rPr>
            </w:pPr>
          </w:p>
        </w:tc>
      </w:tr>
      <w:tr w:rsidR="005D2E38" w14:paraId="3D8F42DF" w14:textId="77777777" w:rsidTr="007A7740">
        <w:trPr>
          <w:trHeight w:val="315"/>
          <w:tblCellSpacing w:w="0" w:type="dxa"/>
        </w:trPr>
        <w:tc>
          <w:tcPr>
            <w:tcW w:w="0" w:type="auto"/>
            <w:tcMar>
              <w:top w:w="30" w:type="dxa"/>
              <w:left w:w="45" w:type="dxa"/>
              <w:bottom w:w="30" w:type="dxa"/>
              <w:right w:w="45" w:type="dxa"/>
            </w:tcMar>
            <w:vAlign w:val="bottom"/>
            <w:hideMark/>
          </w:tcPr>
          <w:p w14:paraId="57264789" w14:textId="180E4478" w:rsidR="005D2E38" w:rsidRDefault="005D2E38">
            <w:pPr>
              <w:rPr>
                <w:sz w:val="22"/>
                <w:szCs w:val="22"/>
              </w:rPr>
            </w:pPr>
            <w:r>
              <w:rPr>
                <w:sz w:val="22"/>
                <w:szCs w:val="22"/>
              </w:rPr>
              <w:t>Return</w:t>
            </w:r>
          </w:p>
        </w:tc>
        <w:tc>
          <w:tcPr>
            <w:tcW w:w="0" w:type="auto"/>
            <w:tcMar>
              <w:top w:w="30" w:type="dxa"/>
              <w:left w:w="45" w:type="dxa"/>
              <w:bottom w:w="30" w:type="dxa"/>
              <w:right w:w="45" w:type="dxa"/>
            </w:tcMar>
            <w:vAlign w:val="bottom"/>
            <w:hideMark/>
          </w:tcPr>
          <w:p w14:paraId="7293452F" w14:textId="77777777" w:rsidR="005D2E38" w:rsidRDefault="005D2E38" w:rsidP="0017305E">
            <w:pPr>
              <w:jc w:val="center"/>
              <w:rPr>
                <w:sz w:val="22"/>
                <w:szCs w:val="22"/>
              </w:rPr>
            </w:pPr>
            <w:r>
              <w:rPr>
                <w:sz w:val="22"/>
                <w:szCs w:val="22"/>
              </w:rPr>
              <w:t>0.02%</w:t>
            </w:r>
          </w:p>
        </w:tc>
        <w:tc>
          <w:tcPr>
            <w:tcW w:w="0" w:type="auto"/>
            <w:tcMar>
              <w:top w:w="30" w:type="dxa"/>
              <w:left w:w="45" w:type="dxa"/>
              <w:bottom w:w="30" w:type="dxa"/>
              <w:right w:w="45" w:type="dxa"/>
            </w:tcMar>
            <w:vAlign w:val="bottom"/>
            <w:hideMark/>
          </w:tcPr>
          <w:p w14:paraId="16D203ED" w14:textId="77777777" w:rsidR="005D2E38" w:rsidRDefault="005D2E38" w:rsidP="0017305E">
            <w:pPr>
              <w:jc w:val="center"/>
              <w:rPr>
                <w:sz w:val="22"/>
                <w:szCs w:val="22"/>
              </w:rPr>
            </w:pPr>
            <w:r>
              <w:rPr>
                <w:sz w:val="22"/>
                <w:szCs w:val="22"/>
              </w:rPr>
              <w:t>0.02%</w:t>
            </w:r>
          </w:p>
        </w:tc>
        <w:tc>
          <w:tcPr>
            <w:tcW w:w="0" w:type="auto"/>
            <w:tcMar>
              <w:top w:w="30" w:type="dxa"/>
              <w:left w:w="45" w:type="dxa"/>
              <w:bottom w:w="30" w:type="dxa"/>
              <w:right w:w="45" w:type="dxa"/>
            </w:tcMar>
            <w:vAlign w:val="bottom"/>
            <w:hideMark/>
          </w:tcPr>
          <w:p w14:paraId="11ED6BA6" w14:textId="77777777" w:rsidR="005D2E38" w:rsidRDefault="005D2E38" w:rsidP="0017305E">
            <w:pPr>
              <w:jc w:val="center"/>
              <w:rPr>
                <w:sz w:val="22"/>
                <w:szCs w:val="22"/>
              </w:rPr>
            </w:pPr>
            <w:r>
              <w:rPr>
                <w:sz w:val="22"/>
                <w:szCs w:val="22"/>
              </w:rPr>
              <w:t>0.02%</w:t>
            </w:r>
          </w:p>
        </w:tc>
        <w:tc>
          <w:tcPr>
            <w:tcW w:w="0" w:type="auto"/>
            <w:tcMar>
              <w:top w:w="30" w:type="dxa"/>
              <w:left w:w="45" w:type="dxa"/>
              <w:bottom w:w="30" w:type="dxa"/>
              <w:right w:w="45" w:type="dxa"/>
            </w:tcMar>
            <w:vAlign w:val="bottom"/>
            <w:hideMark/>
          </w:tcPr>
          <w:p w14:paraId="5C477CE5" w14:textId="77777777" w:rsidR="005D2E38" w:rsidRDefault="005D2E38" w:rsidP="0017305E">
            <w:pPr>
              <w:jc w:val="center"/>
              <w:rPr>
                <w:sz w:val="22"/>
                <w:szCs w:val="22"/>
              </w:rPr>
            </w:pPr>
            <w:r>
              <w:rPr>
                <w:sz w:val="22"/>
                <w:szCs w:val="22"/>
              </w:rPr>
              <w:t>0.02%</w:t>
            </w:r>
          </w:p>
        </w:tc>
      </w:tr>
      <w:tr w:rsidR="005D2E38" w14:paraId="797C806E" w14:textId="77777777" w:rsidTr="007A7740">
        <w:trPr>
          <w:trHeight w:val="315"/>
          <w:tblCellSpacing w:w="0" w:type="dxa"/>
        </w:trPr>
        <w:tc>
          <w:tcPr>
            <w:tcW w:w="0" w:type="auto"/>
            <w:tcMar>
              <w:top w:w="30" w:type="dxa"/>
              <w:left w:w="45" w:type="dxa"/>
              <w:bottom w:w="30" w:type="dxa"/>
              <w:right w:w="45" w:type="dxa"/>
            </w:tcMar>
            <w:vAlign w:val="bottom"/>
            <w:hideMark/>
          </w:tcPr>
          <w:p w14:paraId="3C052B25" w14:textId="77777777" w:rsidR="005D2E38" w:rsidRDefault="005D2E38">
            <w:pPr>
              <w:rPr>
                <w:sz w:val="22"/>
                <w:szCs w:val="22"/>
              </w:rPr>
            </w:pPr>
            <w:r>
              <w:rPr>
                <w:sz w:val="22"/>
                <w:szCs w:val="22"/>
              </w:rPr>
              <w:t>Variance</w:t>
            </w:r>
          </w:p>
        </w:tc>
        <w:tc>
          <w:tcPr>
            <w:tcW w:w="0" w:type="auto"/>
            <w:tcMar>
              <w:top w:w="30" w:type="dxa"/>
              <w:left w:w="45" w:type="dxa"/>
              <w:bottom w:w="30" w:type="dxa"/>
              <w:right w:w="45" w:type="dxa"/>
            </w:tcMar>
            <w:vAlign w:val="bottom"/>
            <w:hideMark/>
          </w:tcPr>
          <w:p w14:paraId="2D5504E2" w14:textId="77777777" w:rsidR="005D2E38" w:rsidRDefault="005D2E38" w:rsidP="0017305E">
            <w:pPr>
              <w:jc w:val="center"/>
              <w:rPr>
                <w:sz w:val="22"/>
                <w:szCs w:val="22"/>
              </w:rPr>
            </w:pPr>
            <w:r>
              <w:rPr>
                <w:sz w:val="22"/>
                <w:szCs w:val="22"/>
              </w:rPr>
              <w:t>0.04%</w:t>
            </w:r>
          </w:p>
        </w:tc>
        <w:tc>
          <w:tcPr>
            <w:tcW w:w="0" w:type="auto"/>
            <w:tcMar>
              <w:top w:w="30" w:type="dxa"/>
              <w:left w:w="45" w:type="dxa"/>
              <w:bottom w:w="30" w:type="dxa"/>
              <w:right w:w="45" w:type="dxa"/>
            </w:tcMar>
            <w:vAlign w:val="bottom"/>
            <w:hideMark/>
          </w:tcPr>
          <w:p w14:paraId="31A90ECB" w14:textId="77777777" w:rsidR="005D2E38" w:rsidRDefault="005D2E38" w:rsidP="0017305E">
            <w:pPr>
              <w:jc w:val="center"/>
              <w:rPr>
                <w:sz w:val="22"/>
                <w:szCs w:val="22"/>
              </w:rPr>
            </w:pPr>
            <w:r>
              <w:rPr>
                <w:sz w:val="22"/>
                <w:szCs w:val="22"/>
              </w:rPr>
              <w:t>0.02%</w:t>
            </w:r>
          </w:p>
        </w:tc>
        <w:tc>
          <w:tcPr>
            <w:tcW w:w="0" w:type="auto"/>
            <w:tcMar>
              <w:top w:w="30" w:type="dxa"/>
              <w:left w:w="45" w:type="dxa"/>
              <w:bottom w:w="30" w:type="dxa"/>
              <w:right w:w="45" w:type="dxa"/>
            </w:tcMar>
            <w:vAlign w:val="bottom"/>
            <w:hideMark/>
          </w:tcPr>
          <w:p w14:paraId="3DA96088" w14:textId="77777777" w:rsidR="005D2E38" w:rsidRDefault="005D2E38" w:rsidP="0017305E">
            <w:pPr>
              <w:jc w:val="center"/>
              <w:rPr>
                <w:sz w:val="22"/>
                <w:szCs w:val="22"/>
              </w:rPr>
            </w:pPr>
            <w:r>
              <w:rPr>
                <w:sz w:val="22"/>
                <w:szCs w:val="22"/>
              </w:rPr>
              <w:t>0.01%</w:t>
            </w:r>
          </w:p>
        </w:tc>
        <w:tc>
          <w:tcPr>
            <w:tcW w:w="0" w:type="auto"/>
            <w:tcMar>
              <w:top w:w="30" w:type="dxa"/>
              <w:left w:w="45" w:type="dxa"/>
              <w:bottom w:w="30" w:type="dxa"/>
              <w:right w:w="45" w:type="dxa"/>
            </w:tcMar>
            <w:vAlign w:val="bottom"/>
            <w:hideMark/>
          </w:tcPr>
          <w:p w14:paraId="25E912A1" w14:textId="77777777" w:rsidR="005D2E38" w:rsidRDefault="005D2E38" w:rsidP="0017305E">
            <w:pPr>
              <w:jc w:val="center"/>
              <w:rPr>
                <w:sz w:val="22"/>
                <w:szCs w:val="22"/>
              </w:rPr>
            </w:pPr>
            <w:r>
              <w:rPr>
                <w:sz w:val="22"/>
                <w:szCs w:val="22"/>
              </w:rPr>
              <w:t>0.01%</w:t>
            </w:r>
          </w:p>
        </w:tc>
      </w:tr>
      <w:tr w:rsidR="005D2E38" w14:paraId="17D3FD92" w14:textId="77777777" w:rsidTr="007A7740">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2D9A6593" w14:textId="77777777" w:rsidR="005D2E38" w:rsidRDefault="005D2E38">
            <w:pPr>
              <w:rPr>
                <w:sz w:val="22"/>
                <w:szCs w:val="22"/>
              </w:rPr>
            </w:pPr>
            <w:r>
              <w:rPr>
                <w:sz w:val="22"/>
                <w:szCs w:val="22"/>
              </w:rPr>
              <w:t>CVaR</w:t>
            </w:r>
          </w:p>
        </w:tc>
        <w:tc>
          <w:tcPr>
            <w:tcW w:w="0" w:type="auto"/>
            <w:tcBorders>
              <w:bottom w:val="single" w:sz="6" w:space="0" w:color="000000"/>
            </w:tcBorders>
            <w:tcMar>
              <w:top w:w="30" w:type="dxa"/>
              <w:left w:w="45" w:type="dxa"/>
              <w:bottom w:w="30" w:type="dxa"/>
              <w:right w:w="45" w:type="dxa"/>
            </w:tcMar>
            <w:vAlign w:val="bottom"/>
            <w:hideMark/>
          </w:tcPr>
          <w:p w14:paraId="17377C5D" w14:textId="77777777" w:rsidR="005D2E38" w:rsidRDefault="005D2E38" w:rsidP="0017305E">
            <w:pPr>
              <w:jc w:val="center"/>
              <w:rPr>
                <w:sz w:val="22"/>
                <w:szCs w:val="22"/>
              </w:rPr>
            </w:pPr>
            <w:r>
              <w:rPr>
                <w:sz w:val="22"/>
                <w:szCs w:val="22"/>
              </w:rPr>
              <w:t>-4.76%</w:t>
            </w:r>
          </w:p>
        </w:tc>
        <w:tc>
          <w:tcPr>
            <w:tcW w:w="0" w:type="auto"/>
            <w:tcBorders>
              <w:bottom w:val="single" w:sz="6" w:space="0" w:color="000000"/>
            </w:tcBorders>
            <w:tcMar>
              <w:top w:w="30" w:type="dxa"/>
              <w:left w:w="45" w:type="dxa"/>
              <w:bottom w:w="30" w:type="dxa"/>
              <w:right w:w="45" w:type="dxa"/>
            </w:tcMar>
            <w:vAlign w:val="bottom"/>
            <w:hideMark/>
          </w:tcPr>
          <w:p w14:paraId="46AACBF5" w14:textId="77777777" w:rsidR="005D2E38" w:rsidRDefault="005D2E38" w:rsidP="0017305E">
            <w:pPr>
              <w:jc w:val="center"/>
              <w:rPr>
                <w:sz w:val="22"/>
                <w:szCs w:val="22"/>
              </w:rPr>
            </w:pPr>
            <w:r>
              <w:rPr>
                <w:sz w:val="22"/>
                <w:szCs w:val="22"/>
              </w:rPr>
              <w:t>-2.76%</w:t>
            </w:r>
          </w:p>
        </w:tc>
        <w:tc>
          <w:tcPr>
            <w:tcW w:w="0" w:type="auto"/>
            <w:tcBorders>
              <w:bottom w:val="single" w:sz="6" w:space="0" w:color="000000"/>
            </w:tcBorders>
            <w:tcMar>
              <w:top w:w="30" w:type="dxa"/>
              <w:left w:w="45" w:type="dxa"/>
              <w:bottom w:w="30" w:type="dxa"/>
              <w:right w:w="45" w:type="dxa"/>
            </w:tcMar>
            <w:vAlign w:val="bottom"/>
            <w:hideMark/>
          </w:tcPr>
          <w:p w14:paraId="215F5D7B" w14:textId="77777777" w:rsidR="005D2E38" w:rsidRDefault="005D2E38" w:rsidP="0017305E">
            <w:pPr>
              <w:jc w:val="center"/>
              <w:rPr>
                <w:sz w:val="22"/>
                <w:szCs w:val="22"/>
              </w:rPr>
            </w:pPr>
            <w:r>
              <w:rPr>
                <w:sz w:val="22"/>
                <w:szCs w:val="22"/>
              </w:rPr>
              <w:t>-2.48%</w:t>
            </w:r>
          </w:p>
        </w:tc>
        <w:tc>
          <w:tcPr>
            <w:tcW w:w="0" w:type="auto"/>
            <w:tcBorders>
              <w:bottom w:val="single" w:sz="6" w:space="0" w:color="000000"/>
            </w:tcBorders>
            <w:tcMar>
              <w:top w:w="30" w:type="dxa"/>
              <w:left w:w="45" w:type="dxa"/>
              <w:bottom w:w="30" w:type="dxa"/>
              <w:right w:w="45" w:type="dxa"/>
            </w:tcMar>
            <w:vAlign w:val="bottom"/>
            <w:hideMark/>
          </w:tcPr>
          <w:p w14:paraId="62920B9A" w14:textId="77777777" w:rsidR="005D2E38" w:rsidRDefault="005D2E38" w:rsidP="0017305E">
            <w:pPr>
              <w:jc w:val="center"/>
              <w:rPr>
                <w:sz w:val="22"/>
                <w:szCs w:val="22"/>
              </w:rPr>
            </w:pPr>
            <w:r>
              <w:rPr>
                <w:sz w:val="22"/>
                <w:szCs w:val="22"/>
              </w:rPr>
              <w:t>-2.33%</w:t>
            </w:r>
          </w:p>
        </w:tc>
      </w:tr>
      <w:tr w:rsidR="005D2E38" w14:paraId="159D8334" w14:textId="77777777" w:rsidTr="007A7740">
        <w:trPr>
          <w:trHeight w:val="315"/>
          <w:tblCellSpacing w:w="0" w:type="dxa"/>
        </w:trPr>
        <w:tc>
          <w:tcPr>
            <w:tcW w:w="0" w:type="auto"/>
            <w:gridSpan w:val="5"/>
            <w:tcMar>
              <w:top w:w="30" w:type="dxa"/>
              <w:left w:w="45" w:type="dxa"/>
              <w:bottom w:w="30" w:type="dxa"/>
              <w:right w:w="45" w:type="dxa"/>
            </w:tcMar>
            <w:vAlign w:val="bottom"/>
            <w:hideMark/>
          </w:tcPr>
          <w:p w14:paraId="3AB38FB9" w14:textId="59CFAED8" w:rsidR="005D2E38" w:rsidRDefault="005D2E38" w:rsidP="00A54C0E">
            <w:pPr>
              <w:jc w:val="both"/>
              <w:rPr>
                <w:sz w:val="22"/>
                <w:szCs w:val="22"/>
              </w:rPr>
            </w:pPr>
            <w:r>
              <w:rPr>
                <w:sz w:val="22"/>
                <w:szCs w:val="22"/>
              </w:rPr>
              <w:t xml:space="preserve">Note: The optimization process uses the conditional </w:t>
            </w:r>
            <w:r w:rsidR="00732A58">
              <w:rPr>
                <w:sz w:val="22"/>
                <w:szCs w:val="22"/>
              </w:rPr>
              <w:t>volatility</w:t>
            </w:r>
            <w:r>
              <w:rPr>
                <w:sz w:val="22"/>
                <w:szCs w:val="22"/>
              </w:rPr>
              <w:t xml:space="preserve"> and correlation of the diagonal VECH model with the student t distribution. </w:t>
            </w:r>
            <w:r w:rsidR="008413C8">
              <w:rPr>
                <w:sz w:val="22"/>
                <w:szCs w:val="22"/>
              </w:rPr>
              <w:t>When calculating CVaR, the significance level is 95% and the rolling window size is 2</w:t>
            </w:r>
            <w:r w:rsidR="00C34980">
              <w:rPr>
                <w:sz w:val="22"/>
                <w:szCs w:val="22"/>
              </w:rPr>
              <w:t>50</w:t>
            </w:r>
            <w:r w:rsidR="008413C8">
              <w:rPr>
                <w:sz w:val="22"/>
                <w:szCs w:val="22"/>
              </w:rPr>
              <w:t xml:space="preserve">. </w:t>
            </w:r>
            <w:r>
              <w:rPr>
                <w:sz w:val="22"/>
                <w:szCs w:val="22"/>
              </w:rPr>
              <w:t>γ is the risk aversion parameter.</w:t>
            </w:r>
          </w:p>
        </w:tc>
      </w:tr>
    </w:tbl>
    <w:p w14:paraId="259BA52B" w14:textId="77777777" w:rsidR="005D2E38" w:rsidRDefault="005D2E38">
      <w:pPr>
        <w:jc w:val="both"/>
      </w:pPr>
    </w:p>
    <w:p w14:paraId="27A097B9" w14:textId="77777777" w:rsidR="00D640F1" w:rsidRDefault="00000000">
      <w:pPr>
        <w:pStyle w:val="Heading2"/>
        <w:jc w:val="both"/>
      </w:pPr>
      <w:bookmarkStart w:id="25" w:name="_Toc167478295"/>
      <w:r>
        <w:t>4.3 Portfolio Performance</w:t>
      </w:r>
      <w:bookmarkEnd w:id="25"/>
    </w:p>
    <w:p w14:paraId="56E961FB" w14:textId="264081C1" w:rsidR="00D640F1" w:rsidRDefault="00000000">
      <w:pPr>
        <w:jc w:val="both"/>
      </w:pPr>
      <w:r>
        <w:t xml:space="preserve">In order to analyze how different portfolio strategies perform under different market times, the rolling window </w:t>
      </w:r>
      <w:r w:rsidR="007418A3">
        <w:t xml:space="preserve">size </w:t>
      </w:r>
      <w:r>
        <w:t xml:space="preserve">of </w:t>
      </w:r>
      <w:r w:rsidR="00061F02">
        <w:t>250</w:t>
      </w:r>
      <w:r w:rsidR="00187254">
        <w:t xml:space="preserve"> is chosen</w:t>
      </w:r>
      <w:r>
        <w:t xml:space="preserve"> to get the portfolio performance over time</w:t>
      </w:r>
      <w:r w:rsidR="00706A0E">
        <w:t>.</w:t>
      </w:r>
      <w:r w:rsidR="00EE62E2">
        <w:t xml:space="preserve"> </w:t>
      </w:r>
      <w:r>
        <w:t xml:space="preserve">Since the performance of the seven portfolios under short sell and no short sell conditions generally behaves </w:t>
      </w:r>
      <w:r w:rsidR="00A43646">
        <w:t xml:space="preserve">in </w:t>
      </w:r>
      <w:r>
        <w:t xml:space="preserve">similar patterns, the plot of the performance without short-selling opportunity </w:t>
      </w:r>
      <w:r w:rsidR="006C7C63">
        <w:t xml:space="preserve">is drawn </w:t>
      </w:r>
      <w:r>
        <w:t>as the representation to see how portfolios behave under different market conditions. As shown in</w:t>
      </w:r>
      <w:r w:rsidR="000A58C8">
        <w:t xml:space="preserve"> </w:t>
      </w:r>
      <w:r w:rsidR="00D95BB3">
        <w:fldChar w:fldCharType="begin"/>
      </w:r>
      <w:r w:rsidR="00D95BB3">
        <w:instrText xml:space="preserve"> REF _Ref167227960 \h </w:instrText>
      </w:r>
      <w:r w:rsidR="00D95BB3">
        <w:fldChar w:fldCharType="separate"/>
      </w:r>
      <w:r w:rsidR="002E6614">
        <w:t xml:space="preserve">Figure </w:t>
      </w:r>
      <w:r w:rsidR="002E6614">
        <w:rPr>
          <w:noProof/>
        </w:rPr>
        <w:t>3</w:t>
      </w:r>
      <w:r w:rsidR="00D95BB3">
        <w:fldChar w:fldCharType="end"/>
      </w:r>
      <w:r>
        <w:t xml:space="preserve">, during the 1990s and the 2000s, there </w:t>
      </w:r>
      <w:r w:rsidR="00534305">
        <w:t xml:space="preserve">are </w:t>
      </w:r>
      <w:r>
        <w:t xml:space="preserve">significant </w:t>
      </w:r>
      <w:r w:rsidR="00C97AAA">
        <w:t>fluctuations</w:t>
      </w:r>
      <w:r>
        <w:t xml:space="preserve"> in the returns, which might be due to the early 1990s recessions and the Dot-com bubble at that time. Around 2008, there </w:t>
      </w:r>
      <w:r w:rsidR="006B77EF">
        <w:t>is</w:t>
      </w:r>
      <w:r>
        <w:t xml:space="preserve"> </w:t>
      </w:r>
      <w:r w:rsidR="00A43646">
        <w:t xml:space="preserve">a </w:t>
      </w:r>
      <w:r>
        <w:t xml:space="preserve">significant decline across all the portfolio strategies, which </w:t>
      </w:r>
      <w:r w:rsidR="00FD5822">
        <w:t>is</w:t>
      </w:r>
      <w:r>
        <w:t xml:space="preserve"> caused by the Global Financial Crisis. Additionally, </w:t>
      </w:r>
      <w:r w:rsidR="00FB4D81">
        <w:t>it can be</w:t>
      </w:r>
      <w:r>
        <w:t xml:space="preserve"> see</w:t>
      </w:r>
      <w:r w:rsidR="00FB4D81">
        <w:t>n</w:t>
      </w:r>
      <w:r>
        <w:t xml:space="preserve"> that there are spikes in the return, variance, and </w:t>
      </w:r>
      <w:r w:rsidR="00873EC9">
        <w:t>CVaR</w:t>
      </w:r>
      <w:r>
        <w:t xml:space="preserve"> around the 2020s. This is because</w:t>
      </w:r>
      <w:r w:rsidR="00C97AAA">
        <w:t>,</w:t>
      </w:r>
      <w:r>
        <w:t xml:space="preserve"> during the </w:t>
      </w:r>
      <w:r w:rsidR="00D82DB5">
        <w:t>COVID</w:t>
      </w:r>
      <w:r w:rsidR="004E519D">
        <w:t>-</w:t>
      </w:r>
      <w:r w:rsidR="00D82DB5">
        <w:t>19</w:t>
      </w:r>
      <w:r>
        <w:t xml:space="preserve"> volatile times, investors have increased interest in the commodity market to hedge against inflation and economic instability. As a result, the higher returns in the commodity market are also associated with higher variance and extreme risk. Regarding the portfolio strategies, the </w:t>
      </w:r>
      <w:r w:rsidR="005F52DD">
        <w:t xml:space="preserve">equal weight, </w:t>
      </w:r>
      <w:r>
        <w:t>mean-variance</w:t>
      </w:r>
      <w:r w:rsidR="005F52DD">
        <w:t>, minimum variance,</w:t>
      </w:r>
      <w:r>
        <w:t xml:space="preserve"> min</w:t>
      </w:r>
      <w:r w:rsidR="005F52DD">
        <w:t>imum correlation</w:t>
      </w:r>
      <w:r w:rsidR="00A9609B">
        <w:t>, and maximum Sharpe ratio</w:t>
      </w:r>
      <w:r>
        <w:t xml:space="preserve"> portfolios generally show a stable behavior compared to other portfolio strategies. In contrast, the, maximum </w:t>
      </w:r>
      <w:r w:rsidR="00342E06">
        <w:t>S</w:t>
      </w:r>
      <w:r>
        <w:t xml:space="preserve">ortino ratio, and </w:t>
      </w:r>
      <w:r w:rsidR="0081725A">
        <w:rPr>
          <w:highlight w:val="white"/>
        </w:rPr>
        <w:t xml:space="preserve">minimum </w:t>
      </w:r>
      <w:r>
        <w:t>CVaR portfolios exhibit higher sensitivity to extreme market conditions.</w:t>
      </w:r>
      <w:r w:rsidR="009B539D">
        <w:t xml:space="preserve"> </w:t>
      </w:r>
    </w:p>
    <w:p w14:paraId="3E25AB46" w14:textId="6FA1DCA4" w:rsidR="001601FF" w:rsidRDefault="004F25FF" w:rsidP="00DA09C7">
      <w:pPr>
        <w:keepNext/>
        <w:jc w:val="center"/>
      </w:pPr>
      <w:r>
        <w:rPr>
          <w:noProof/>
        </w:rPr>
        <w:drawing>
          <wp:inline distT="0" distB="0" distL="0" distR="0" wp14:anchorId="2F9A6C9A" wp14:editId="594E086B">
            <wp:extent cx="5895833" cy="3071127"/>
            <wp:effectExtent l="0" t="0" r="0" b="0"/>
            <wp:docPr id="1113946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4636" name="Picture 2"/>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5949453" cy="3099057"/>
                    </a:xfrm>
                    <a:prstGeom prst="rect">
                      <a:avLst/>
                    </a:prstGeom>
                  </pic:spPr>
                </pic:pic>
              </a:graphicData>
            </a:graphic>
          </wp:inline>
        </w:drawing>
      </w:r>
    </w:p>
    <w:p w14:paraId="504A1E24" w14:textId="6B45AA77" w:rsidR="004F25FF" w:rsidRDefault="004F25FF" w:rsidP="001601FF">
      <w:pPr>
        <w:keepNext/>
        <w:jc w:val="center"/>
      </w:pPr>
    </w:p>
    <w:p w14:paraId="15F9D06B" w14:textId="77532899" w:rsidR="005B23AA" w:rsidRPr="005B23AA" w:rsidRDefault="001601FF" w:rsidP="00152A9C">
      <w:pPr>
        <w:pStyle w:val="Caption"/>
      </w:pPr>
      <w:bookmarkStart w:id="26" w:name="_Ref167227960"/>
      <w:bookmarkStart w:id="27" w:name="_Ref167227944"/>
      <w:r>
        <w:t xml:space="preserve">Figure </w:t>
      </w:r>
      <w:r>
        <w:fldChar w:fldCharType="begin"/>
      </w:r>
      <w:r>
        <w:instrText xml:space="preserve"> SEQ Figure \* ARABIC </w:instrText>
      </w:r>
      <w:r>
        <w:fldChar w:fldCharType="separate"/>
      </w:r>
      <w:r w:rsidR="002E6614">
        <w:rPr>
          <w:noProof/>
        </w:rPr>
        <w:t>3</w:t>
      </w:r>
      <w:r>
        <w:fldChar w:fldCharType="end"/>
      </w:r>
      <w:bookmarkEnd w:id="26"/>
      <w:r>
        <w:t xml:space="preserve">: </w:t>
      </w:r>
      <w:r w:rsidRPr="0003598D">
        <w:t>Portfolio Performance without Short-selling</w:t>
      </w:r>
      <w:bookmarkEnd w:id="27"/>
    </w:p>
    <w:p w14:paraId="179B5131" w14:textId="04CF4A99" w:rsidR="00D640F1" w:rsidRDefault="00000000">
      <w:pPr>
        <w:pStyle w:val="Heading2"/>
        <w:jc w:val="both"/>
      </w:pPr>
      <w:bookmarkStart w:id="28" w:name="_Toc167478296"/>
      <w:r>
        <w:t>4.</w:t>
      </w:r>
      <w:r w:rsidR="00FC47DF">
        <w:t>4</w:t>
      </w:r>
      <w:r>
        <w:t xml:space="preserve"> Hedge against Risk</w:t>
      </w:r>
      <w:bookmarkEnd w:id="28"/>
    </w:p>
    <w:p w14:paraId="3C868816" w14:textId="2CD831BC" w:rsidR="00D640F1" w:rsidRDefault="00A238C4">
      <w:pPr>
        <w:jc w:val="both"/>
      </w:pPr>
      <w:r>
        <w:t xml:space="preserve">This </w:t>
      </w:r>
      <w:r w:rsidR="00EB2659">
        <w:t>study</w:t>
      </w:r>
      <w:r>
        <w:t xml:space="preserve"> use</w:t>
      </w:r>
      <w:r w:rsidR="0067003B">
        <w:t>s</w:t>
      </w:r>
      <w:r>
        <w:t xml:space="preserve"> conditional volatility from the multivariate GARCH model</w:t>
      </w:r>
      <w:r w:rsidR="00265D59">
        <w:t>s</w:t>
      </w:r>
      <w:r>
        <w:t xml:space="preserve"> of the three commodity groups to calculate hedge ratios. The hedge ratios are a measure of how much hedging asset is required to offset the risk of the primary asset, where the hedging asset holds a short position and the primary asset holds a long position. </w:t>
      </w:r>
      <w:r w:rsidR="001800ED">
        <w:fldChar w:fldCharType="begin"/>
      </w:r>
      <w:r w:rsidR="001800ED">
        <w:instrText xml:space="preserve"> REF _Ref167228027 \h </w:instrText>
      </w:r>
      <w:r w:rsidR="001800ED">
        <w:fldChar w:fldCharType="separate"/>
      </w:r>
      <w:r w:rsidR="002E6614">
        <w:t xml:space="preserve">Figure </w:t>
      </w:r>
      <w:r w:rsidR="002E6614">
        <w:rPr>
          <w:noProof/>
        </w:rPr>
        <w:t>4</w:t>
      </w:r>
      <w:r w:rsidR="001800ED">
        <w:fldChar w:fldCharType="end"/>
      </w:r>
      <w:r w:rsidR="001800ED">
        <w:t xml:space="preserve"> </w:t>
      </w:r>
      <w:r>
        <w:t>shows the hedge ratios for different commodity pairs from 1991 to 2023, with metal, energy, and agricultural commodities as the primary assets in each subplot. With metal commodities as the primary commodities, the hedge ratios show occasional fluctuations, which might be due to big events such as the early 1990s recession, the global financial crisis, and COVID-19. Also, the high hedge ratios imply a high correlation and similar volatility between the two commodities. Hedging ratios for energy commodities display the most significant fluctuations compared with the other two commodity groups. This implies that the energy market has higher risk and uncertainty. For hedging agricultural commodities, the hedge ratios remain relatively stable during the entire sample period. This indicates that the relationships between agricultural commodities with metal and energy are less volatile, indicating a lower correlation. Overall, the plot shows that the hedge ratios for metal and agricultural commodities are more stable compared to energy commodities. Stable hedge ratios indicate more predictable interconnectedness, which makes it easier to hedge risk. In contrast, volatile hedge ratios of energy commodities suggest that strategies for hedging should be more flexible and should be changing according to specific market situations.</w:t>
      </w:r>
      <w:r w:rsidR="00C07D55">
        <w:t xml:space="preserve"> </w:t>
      </w:r>
    </w:p>
    <w:p w14:paraId="20D52004" w14:textId="77777777" w:rsidR="00835549" w:rsidRDefault="00000000" w:rsidP="00835549">
      <w:pPr>
        <w:keepNext/>
        <w:spacing w:after="120"/>
        <w:jc w:val="center"/>
      </w:pPr>
      <w:r>
        <w:rPr>
          <w:noProof/>
        </w:rPr>
        <w:drawing>
          <wp:inline distT="114300" distB="114300" distL="114300" distR="114300" wp14:anchorId="6CD02A26" wp14:editId="08EDE420">
            <wp:extent cx="5943600" cy="2844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2844800"/>
                    </a:xfrm>
                    <a:prstGeom prst="rect">
                      <a:avLst/>
                    </a:prstGeom>
                    <a:ln/>
                  </pic:spPr>
                </pic:pic>
              </a:graphicData>
            </a:graphic>
          </wp:inline>
        </w:drawing>
      </w:r>
    </w:p>
    <w:p w14:paraId="101F922E" w14:textId="2F3FB6EC" w:rsidR="00D640F1" w:rsidRDefault="00835549" w:rsidP="00955401">
      <w:pPr>
        <w:pStyle w:val="Caption"/>
      </w:pPr>
      <w:bookmarkStart w:id="29" w:name="_Ref167228027"/>
      <w:r>
        <w:t xml:space="preserve">Figure </w:t>
      </w:r>
      <w:r>
        <w:fldChar w:fldCharType="begin"/>
      </w:r>
      <w:r>
        <w:instrText xml:space="preserve"> SEQ Figure \* ARABIC </w:instrText>
      </w:r>
      <w:r>
        <w:fldChar w:fldCharType="separate"/>
      </w:r>
      <w:r w:rsidR="002E6614">
        <w:rPr>
          <w:noProof/>
        </w:rPr>
        <w:t>4</w:t>
      </w:r>
      <w:r>
        <w:fldChar w:fldCharType="end"/>
      </w:r>
      <w:bookmarkEnd w:id="29"/>
      <w:r>
        <w:t xml:space="preserve">: </w:t>
      </w:r>
      <w:r w:rsidRPr="00AC7A63">
        <w:t>Hedge Ratios</w:t>
      </w:r>
    </w:p>
    <w:p w14:paraId="04AECA23" w14:textId="3EDE60BB" w:rsidR="004C23A9" w:rsidRPr="004C23A9" w:rsidRDefault="004C23A9" w:rsidP="00D12D24">
      <w:pPr>
        <w:spacing w:after="240"/>
        <w:jc w:val="both"/>
      </w:pPr>
      <w:r w:rsidRPr="004C23A9">
        <w:rPr>
          <w:color w:val="000000"/>
        </w:rPr>
        <w:t xml:space="preserve">Primary assets hold the long position while hedging assets hold the short position. As the energy commodity group bears the highest volatility and extreme risk, </w:t>
      </w:r>
      <w:r w:rsidR="00C116A3">
        <w:rPr>
          <w:color w:val="000000"/>
        </w:rPr>
        <w:t>the subsequent analysis</w:t>
      </w:r>
      <w:r w:rsidRPr="004C23A9">
        <w:rPr>
          <w:color w:val="000000"/>
        </w:rPr>
        <w:t xml:space="preserve"> </w:t>
      </w:r>
      <w:r w:rsidR="00D30D21">
        <w:rPr>
          <w:color w:val="000000"/>
        </w:rPr>
        <w:t>focuses</w:t>
      </w:r>
      <w:r w:rsidRPr="004C23A9">
        <w:rPr>
          <w:color w:val="000000"/>
        </w:rPr>
        <w:t xml:space="preserve"> on reducing its risk. As shown in </w:t>
      </w:r>
      <w:r w:rsidR="00154A39">
        <w:rPr>
          <w:color w:val="000000"/>
        </w:rPr>
        <w:fldChar w:fldCharType="begin"/>
      </w:r>
      <w:r w:rsidR="00154A39">
        <w:rPr>
          <w:color w:val="000000"/>
        </w:rPr>
        <w:instrText xml:space="preserve"> REF _Ref167228072 \h </w:instrText>
      </w:r>
      <w:r w:rsidR="00D12D24">
        <w:rPr>
          <w:color w:val="000000"/>
        </w:rPr>
        <w:instrText xml:space="preserve"> \* MERGEFORMAT </w:instrText>
      </w:r>
      <w:r w:rsidR="00154A39">
        <w:rPr>
          <w:color w:val="000000"/>
        </w:rPr>
      </w:r>
      <w:r w:rsidR="00154A39">
        <w:rPr>
          <w:color w:val="000000"/>
        </w:rPr>
        <w:fldChar w:fldCharType="separate"/>
      </w:r>
      <w:r w:rsidR="002E6614">
        <w:t xml:space="preserve">Table </w:t>
      </w:r>
      <w:r w:rsidR="002E6614">
        <w:rPr>
          <w:noProof/>
        </w:rPr>
        <w:t>8</w:t>
      </w:r>
      <w:r w:rsidR="00154A39">
        <w:rPr>
          <w:color w:val="000000"/>
        </w:rPr>
        <w:fldChar w:fldCharType="end"/>
      </w:r>
      <w:r w:rsidRPr="004C23A9">
        <w:rPr>
          <w:color w:val="000000"/>
        </w:rPr>
        <w:t>, a $1 long position of energy commodities can be hedged by a $0.30 and a $0.29 short position of metal and agricultural commodities, respectively. Additionally, the cheapest hedging way is using energy commodities to hedge the agricultural commodities, with a</w:t>
      </w:r>
      <w:r w:rsidR="00E07D3B">
        <w:rPr>
          <w:color w:val="000000"/>
        </w:rPr>
        <w:t>n average</w:t>
      </w:r>
      <w:r w:rsidRPr="004C23A9">
        <w:rPr>
          <w:color w:val="000000"/>
        </w:rPr>
        <w:t xml:space="preserve"> hedge ratio of 0.07.</w:t>
      </w:r>
      <w:r w:rsidR="005D407F">
        <w:rPr>
          <w:color w:val="000000"/>
        </w:rPr>
        <w:t xml:space="preserve"> </w:t>
      </w:r>
    </w:p>
    <w:p w14:paraId="2E4A740C" w14:textId="7387650D" w:rsidR="00E10EE9" w:rsidRDefault="00E10EE9" w:rsidP="00955401">
      <w:pPr>
        <w:pStyle w:val="Caption"/>
      </w:pPr>
      <w:bookmarkStart w:id="30" w:name="_Ref167228072"/>
      <w:r>
        <w:t xml:space="preserve">Table </w:t>
      </w:r>
      <w:r>
        <w:fldChar w:fldCharType="begin"/>
      </w:r>
      <w:r>
        <w:instrText xml:space="preserve"> SEQ Table \* ARABIC </w:instrText>
      </w:r>
      <w:r>
        <w:fldChar w:fldCharType="separate"/>
      </w:r>
      <w:r w:rsidR="002E6614">
        <w:rPr>
          <w:noProof/>
        </w:rPr>
        <w:t>8</w:t>
      </w:r>
      <w:r>
        <w:fldChar w:fldCharType="end"/>
      </w:r>
      <w:bookmarkEnd w:id="30"/>
      <w:r>
        <w:t xml:space="preserve">: </w:t>
      </w:r>
      <w:r w:rsidRPr="00557B65">
        <w:t>Hedge Ratio Descriptive Statistics</w:t>
      </w:r>
    </w:p>
    <w:tbl>
      <w:tblPr>
        <w:tblW w:w="9360" w:type="dxa"/>
        <w:tblCellSpacing w:w="0" w:type="dxa"/>
        <w:tblCellMar>
          <w:left w:w="0" w:type="dxa"/>
          <w:right w:w="0" w:type="dxa"/>
        </w:tblCellMar>
        <w:tblLook w:val="04A0" w:firstRow="1" w:lastRow="0" w:firstColumn="1" w:lastColumn="0" w:noHBand="0" w:noVBand="1"/>
      </w:tblPr>
      <w:tblGrid>
        <w:gridCol w:w="2421"/>
        <w:gridCol w:w="2421"/>
        <w:gridCol w:w="1135"/>
        <w:gridCol w:w="1500"/>
        <w:gridCol w:w="947"/>
        <w:gridCol w:w="936"/>
      </w:tblGrid>
      <w:tr w:rsidR="00FD5948" w14:paraId="3A91C923" w14:textId="77777777" w:rsidTr="00B816B8">
        <w:trPr>
          <w:trHeight w:val="315"/>
          <w:tblCellSpacing w:w="0" w:type="dxa"/>
        </w:trPr>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77135301" w14:textId="0603F58C" w:rsidR="00A1630B" w:rsidRPr="00206C65" w:rsidRDefault="00206C65">
            <w:pPr>
              <w:rPr>
                <w:b/>
                <w:bCs/>
                <w:sz w:val="22"/>
                <w:szCs w:val="22"/>
              </w:rPr>
            </w:pPr>
            <w:r w:rsidRPr="00206C65">
              <w:rPr>
                <w:b/>
                <w:bCs/>
                <w:sz w:val="22"/>
                <w:szCs w:val="22"/>
              </w:rPr>
              <w:t>Primary Asset</w:t>
            </w:r>
          </w:p>
        </w:tc>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3B6448D9" w14:textId="261E797C" w:rsidR="00A1630B" w:rsidRPr="00206C65" w:rsidRDefault="00206C65">
            <w:pPr>
              <w:rPr>
                <w:b/>
                <w:bCs/>
                <w:sz w:val="22"/>
                <w:szCs w:val="22"/>
              </w:rPr>
            </w:pPr>
            <w:r w:rsidRPr="00206C65">
              <w:rPr>
                <w:b/>
                <w:bCs/>
                <w:sz w:val="22"/>
                <w:szCs w:val="22"/>
              </w:rPr>
              <w:t>Hed</w:t>
            </w:r>
            <w:r w:rsidR="009338A4">
              <w:rPr>
                <w:b/>
                <w:bCs/>
                <w:sz w:val="22"/>
                <w:szCs w:val="22"/>
              </w:rPr>
              <w:t>g</w:t>
            </w:r>
            <w:r w:rsidRPr="00206C65">
              <w:rPr>
                <w:b/>
                <w:bCs/>
                <w:sz w:val="22"/>
                <w:szCs w:val="22"/>
              </w:rPr>
              <w:t xml:space="preserve">ing </w:t>
            </w:r>
            <w:r>
              <w:rPr>
                <w:b/>
                <w:bCs/>
                <w:sz w:val="22"/>
                <w:szCs w:val="22"/>
              </w:rPr>
              <w:t>Asset</w:t>
            </w:r>
          </w:p>
        </w:tc>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114B6D80" w14:textId="77777777" w:rsidR="00A1630B" w:rsidRPr="00206C65" w:rsidRDefault="00A1630B" w:rsidP="007D35CB">
            <w:pPr>
              <w:jc w:val="center"/>
              <w:rPr>
                <w:b/>
                <w:bCs/>
                <w:sz w:val="22"/>
                <w:szCs w:val="22"/>
              </w:rPr>
            </w:pPr>
            <w:r w:rsidRPr="00206C65">
              <w:rPr>
                <w:b/>
                <w:bCs/>
                <w:sz w:val="22"/>
                <w:szCs w:val="22"/>
              </w:rPr>
              <w:t>Mean</w:t>
            </w:r>
          </w:p>
        </w:tc>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15B4719D" w14:textId="0B19BF28" w:rsidR="00A1630B" w:rsidRPr="00206C65" w:rsidRDefault="00A1630B" w:rsidP="007D35CB">
            <w:pPr>
              <w:jc w:val="center"/>
              <w:rPr>
                <w:b/>
                <w:bCs/>
                <w:sz w:val="22"/>
                <w:szCs w:val="22"/>
              </w:rPr>
            </w:pPr>
            <w:r w:rsidRPr="00206C65">
              <w:rPr>
                <w:b/>
                <w:bCs/>
                <w:sz w:val="22"/>
                <w:szCs w:val="22"/>
              </w:rPr>
              <w:t>Std</w:t>
            </w:r>
            <w:r w:rsidR="00D41781">
              <w:rPr>
                <w:b/>
                <w:bCs/>
                <w:sz w:val="22"/>
                <w:szCs w:val="22"/>
              </w:rPr>
              <w:t>.Dev</w:t>
            </w:r>
          </w:p>
        </w:tc>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46774AA8" w14:textId="77777777" w:rsidR="00A1630B" w:rsidRPr="00206C65" w:rsidRDefault="00A1630B" w:rsidP="007D35CB">
            <w:pPr>
              <w:jc w:val="center"/>
              <w:rPr>
                <w:b/>
                <w:bCs/>
                <w:sz w:val="22"/>
                <w:szCs w:val="22"/>
              </w:rPr>
            </w:pPr>
            <w:r w:rsidRPr="00206C65">
              <w:rPr>
                <w:b/>
                <w:bCs/>
                <w:sz w:val="22"/>
                <w:szCs w:val="22"/>
              </w:rPr>
              <w:t>Min</w:t>
            </w:r>
          </w:p>
        </w:tc>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6977F8D4" w14:textId="77777777" w:rsidR="00A1630B" w:rsidRPr="00206C65" w:rsidRDefault="00A1630B" w:rsidP="007D35CB">
            <w:pPr>
              <w:jc w:val="center"/>
              <w:rPr>
                <w:b/>
                <w:bCs/>
                <w:sz w:val="22"/>
                <w:szCs w:val="22"/>
              </w:rPr>
            </w:pPr>
            <w:r w:rsidRPr="00206C65">
              <w:rPr>
                <w:b/>
                <w:bCs/>
                <w:sz w:val="22"/>
                <w:szCs w:val="22"/>
              </w:rPr>
              <w:t>Max</w:t>
            </w:r>
          </w:p>
        </w:tc>
      </w:tr>
      <w:tr w:rsidR="00FD5948" w14:paraId="1908FDA7" w14:textId="77777777" w:rsidTr="00D5613F">
        <w:trPr>
          <w:trHeight w:val="315"/>
          <w:tblCellSpacing w:w="0" w:type="dxa"/>
        </w:trPr>
        <w:tc>
          <w:tcPr>
            <w:tcW w:w="0" w:type="auto"/>
            <w:vMerge w:val="restart"/>
            <w:tcMar>
              <w:top w:w="30" w:type="dxa"/>
              <w:left w:w="45" w:type="dxa"/>
              <w:bottom w:w="30" w:type="dxa"/>
              <w:right w:w="45" w:type="dxa"/>
            </w:tcMar>
            <w:vAlign w:val="center"/>
            <w:hideMark/>
          </w:tcPr>
          <w:p w14:paraId="05DE21AE" w14:textId="4D6E4752" w:rsidR="00A1630B" w:rsidRDefault="00A1630B" w:rsidP="00C75078">
            <w:pPr>
              <w:rPr>
                <w:sz w:val="22"/>
                <w:szCs w:val="22"/>
              </w:rPr>
            </w:pPr>
            <w:r>
              <w:rPr>
                <w:sz w:val="22"/>
                <w:szCs w:val="22"/>
              </w:rPr>
              <w:t>Metal</w:t>
            </w:r>
          </w:p>
        </w:tc>
        <w:tc>
          <w:tcPr>
            <w:tcW w:w="0" w:type="auto"/>
            <w:shd w:val="clear" w:color="auto" w:fill="FFFFFF"/>
            <w:tcMar>
              <w:top w:w="30" w:type="dxa"/>
              <w:left w:w="45" w:type="dxa"/>
              <w:bottom w:w="30" w:type="dxa"/>
              <w:right w:w="45" w:type="dxa"/>
            </w:tcMar>
            <w:vAlign w:val="bottom"/>
            <w:hideMark/>
          </w:tcPr>
          <w:p w14:paraId="35BEBB25" w14:textId="221C4CC3" w:rsidR="00A1630B" w:rsidRDefault="00A1630B">
            <w:pPr>
              <w:rPr>
                <w:sz w:val="22"/>
                <w:szCs w:val="22"/>
              </w:rPr>
            </w:pPr>
            <w:r>
              <w:rPr>
                <w:sz w:val="22"/>
                <w:szCs w:val="22"/>
              </w:rPr>
              <w:t>Energy</w:t>
            </w:r>
          </w:p>
        </w:tc>
        <w:tc>
          <w:tcPr>
            <w:tcW w:w="0" w:type="auto"/>
            <w:tcMar>
              <w:top w:w="30" w:type="dxa"/>
              <w:left w:w="45" w:type="dxa"/>
              <w:bottom w:w="30" w:type="dxa"/>
              <w:right w:w="45" w:type="dxa"/>
            </w:tcMar>
            <w:vAlign w:val="bottom"/>
            <w:hideMark/>
          </w:tcPr>
          <w:p w14:paraId="711E575A" w14:textId="77777777" w:rsidR="00A1630B" w:rsidRDefault="00A1630B" w:rsidP="007D35CB">
            <w:pPr>
              <w:jc w:val="center"/>
              <w:rPr>
                <w:sz w:val="22"/>
                <w:szCs w:val="22"/>
              </w:rPr>
            </w:pPr>
            <w:r>
              <w:rPr>
                <w:sz w:val="22"/>
                <w:szCs w:val="22"/>
              </w:rPr>
              <w:t>0.10</w:t>
            </w:r>
          </w:p>
        </w:tc>
        <w:tc>
          <w:tcPr>
            <w:tcW w:w="0" w:type="auto"/>
            <w:tcMar>
              <w:top w:w="30" w:type="dxa"/>
              <w:left w:w="45" w:type="dxa"/>
              <w:bottom w:w="30" w:type="dxa"/>
              <w:right w:w="45" w:type="dxa"/>
            </w:tcMar>
            <w:vAlign w:val="bottom"/>
            <w:hideMark/>
          </w:tcPr>
          <w:p w14:paraId="3409FA87" w14:textId="77777777" w:rsidR="00A1630B" w:rsidRDefault="00A1630B" w:rsidP="007D35CB">
            <w:pPr>
              <w:jc w:val="center"/>
              <w:rPr>
                <w:sz w:val="22"/>
                <w:szCs w:val="22"/>
              </w:rPr>
            </w:pPr>
            <w:r>
              <w:rPr>
                <w:sz w:val="22"/>
                <w:szCs w:val="22"/>
              </w:rPr>
              <w:t>0.09</w:t>
            </w:r>
          </w:p>
        </w:tc>
        <w:tc>
          <w:tcPr>
            <w:tcW w:w="0" w:type="auto"/>
            <w:tcMar>
              <w:top w:w="30" w:type="dxa"/>
              <w:left w:w="45" w:type="dxa"/>
              <w:bottom w:w="30" w:type="dxa"/>
              <w:right w:w="45" w:type="dxa"/>
            </w:tcMar>
            <w:vAlign w:val="bottom"/>
            <w:hideMark/>
          </w:tcPr>
          <w:p w14:paraId="7DDCD6FE" w14:textId="77777777" w:rsidR="00A1630B" w:rsidRDefault="00A1630B" w:rsidP="007D35CB">
            <w:pPr>
              <w:jc w:val="center"/>
              <w:rPr>
                <w:sz w:val="22"/>
                <w:szCs w:val="22"/>
              </w:rPr>
            </w:pPr>
            <w:r>
              <w:rPr>
                <w:sz w:val="22"/>
                <w:szCs w:val="22"/>
              </w:rPr>
              <w:t>-0.44</w:t>
            </w:r>
          </w:p>
        </w:tc>
        <w:tc>
          <w:tcPr>
            <w:tcW w:w="0" w:type="auto"/>
            <w:tcMar>
              <w:top w:w="30" w:type="dxa"/>
              <w:left w:w="45" w:type="dxa"/>
              <w:bottom w:w="30" w:type="dxa"/>
              <w:right w:w="45" w:type="dxa"/>
            </w:tcMar>
            <w:vAlign w:val="bottom"/>
            <w:hideMark/>
          </w:tcPr>
          <w:p w14:paraId="1C30D931" w14:textId="77777777" w:rsidR="00A1630B" w:rsidRDefault="00A1630B" w:rsidP="007D35CB">
            <w:pPr>
              <w:jc w:val="center"/>
              <w:rPr>
                <w:sz w:val="22"/>
                <w:szCs w:val="22"/>
              </w:rPr>
            </w:pPr>
            <w:r>
              <w:rPr>
                <w:sz w:val="22"/>
                <w:szCs w:val="22"/>
              </w:rPr>
              <w:t>0.47</w:t>
            </w:r>
          </w:p>
        </w:tc>
      </w:tr>
      <w:tr w:rsidR="00FD5948" w14:paraId="05A7AFFB" w14:textId="77777777" w:rsidTr="00D5613F">
        <w:trPr>
          <w:trHeight w:val="315"/>
          <w:tblCellSpacing w:w="0" w:type="dxa"/>
        </w:trPr>
        <w:tc>
          <w:tcPr>
            <w:tcW w:w="0" w:type="auto"/>
            <w:vMerge/>
            <w:vAlign w:val="center"/>
            <w:hideMark/>
          </w:tcPr>
          <w:p w14:paraId="08F7A2C6" w14:textId="77777777" w:rsidR="00A1630B" w:rsidRDefault="00A1630B" w:rsidP="00C75078">
            <w:pPr>
              <w:rPr>
                <w:sz w:val="22"/>
                <w:szCs w:val="22"/>
              </w:rPr>
            </w:pPr>
          </w:p>
        </w:tc>
        <w:tc>
          <w:tcPr>
            <w:tcW w:w="0" w:type="auto"/>
            <w:shd w:val="clear" w:color="auto" w:fill="FFFFFF"/>
            <w:tcMar>
              <w:top w:w="30" w:type="dxa"/>
              <w:left w:w="45" w:type="dxa"/>
              <w:bottom w:w="30" w:type="dxa"/>
              <w:right w:w="45" w:type="dxa"/>
            </w:tcMar>
            <w:vAlign w:val="bottom"/>
            <w:hideMark/>
          </w:tcPr>
          <w:p w14:paraId="1F2C34C3" w14:textId="32B9A6AA" w:rsidR="00A1630B" w:rsidRDefault="00A1630B">
            <w:pPr>
              <w:rPr>
                <w:sz w:val="22"/>
                <w:szCs w:val="22"/>
              </w:rPr>
            </w:pPr>
            <w:r>
              <w:rPr>
                <w:sz w:val="22"/>
                <w:szCs w:val="22"/>
              </w:rPr>
              <w:t>Agricultural</w:t>
            </w:r>
          </w:p>
        </w:tc>
        <w:tc>
          <w:tcPr>
            <w:tcW w:w="0" w:type="auto"/>
            <w:tcMar>
              <w:top w:w="30" w:type="dxa"/>
              <w:left w:w="45" w:type="dxa"/>
              <w:bottom w:w="30" w:type="dxa"/>
              <w:right w:w="45" w:type="dxa"/>
            </w:tcMar>
            <w:vAlign w:val="bottom"/>
            <w:hideMark/>
          </w:tcPr>
          <w:p w14:paraId="7DF0E478" w14:textId="77777777" w:rsidR="00A1630B" w:rsidRDefault="00A1630B" w:rsidP="007D35CB">
            <w:pPr>
              <w:jc w:val="center"/>
              <w:rPr>
                <w:sz w:val="22"/>
                <w:szCs w:val="22"/>
              </w:rPr>
            </w:pPr>
            <w:r>
              <w:rPr>
                <w:sz w:val="22"/>
                <w:szCs w:val="22"/>
              </w:rPr>
              <w:t>0.24</w:t>
            </w:r>
          </w:p>
        </w:tc>
        <w:tc>
          <w:tcPr>
            <w:tcW w:w="0" w:type="auto"/>
            <w:tcMar>
              <w:top w:w="30" w:type="dxa"/>
              <w:left w:w="45" w:type="dxa"/>
              <w:bottom w:w="30" w:type="dxa"/>
              <w:right w:w="45" w:type="dxa"/>
            </w:tcMar>
            <w:vAlign w:val="bottom"/>
            <w:hideMark/>
          </w:tcPr>
          <w:p w14:paraId="1D79C250" w14:textId="77777777" w:rsidR="00A1630B" w:rsidRDefault="00A1630B" w:rsidP="007D35CB">
            <w:pPr>
              <w:jc w:val="center"/>
              <w:rPr>
                <w:sz w:val="22"/>
                <w:szCs w:val="22"/>
              </w:rPr>
            </w:pPr>
            <w:r>
              <w:rPr>
                <w:sz w:val="22"/>
                <w:szCs w:val="22"/>
              </w:rPr>
              <w:t>0.14</w:t>
            </w:r>
          </w:p>
        </w:tc>
        <w:tc>
          <w:tcPr>
            <w:tcW w:w="0" w:type="auto"/>
            <w:tcMar>
              <w:top w:w="30" w:type="dxa"/>
              <w:left w:w="45" w:type="dxa"/>
              <w:bottom w:w="30" w:type="dxa"/>
              <w:right w:w="45" w:type="dxa"/>
            </w:tcMar>
            <w:vAlign w:val="bottom"/>
            <w:hideMark/>
          </w:tcPr>
          <w:p w14:paraId="63202E22" w14:textId="77777777" w:rsidR="00A1630B" w:rsidRDefault="00A1630B" w:rsidP="007D35CB">
            <w:pPr>
              <w:jc w:val="center"/>
              <w:rPr>
                <w:sz w:val="22"/>
                <w:szCs w:val="22"/>
              </w:rPr>
            </w:pPr>
            <w:r>
              <w:rPr>
                <w:sz w:val="22"/>
                <w:szCs w:val="22"/>
              </w:rPr>
              <w:t>-0.09</w:t>
            </w:r>
          </w:p>
        </w:tc>
        <w:tc>
          <w:tcPr>
            <w:tcW w:w="0" w:type="auto"/>
            <w:tcMar>
              <w:top w:w="30" w:type="dxa"/>
              <w:left w:w="45" w:type="dxa"/>
              <w:bottom w:w="30" w:type="dxa"/>
              <w:right w:w="45" w:type="dxa"/>
            </w:tcMar>
            <w:vAlign w:val="bottom"/>
            <w:hideMark/>
          </w:tcPr>
          <w:p w14:paraId="6496BB98" w14:textId="77777777" w:rsidR="00A1630B" w:rsidRDefault="00A1630B" w:rsidP="007D35CB">
            <w:pPr>
              <w:jc w:val="center"/>
              <w:rPr>
                <w:sz w:val="22"/>
                <w:szCs w:val="22"/>
              </w:rPr>
            </w:pPr>
            <w:r>
              <w:rPr>
                <w:sz w:val="22"/>
                <w:szCs w:val="22"/>
              </w:rPr>
              <w:t>1.16</w:t>
            </w:r>
          </w:p>
        </w:tc>
      </w:tr>
      <w:tr w:rsidR="00FD5948" w14:paraId="5CB960E0" w14:textId="77777777" w:rsidTr="00D5613F">
        <w:trPr>
          <w:trHeight w:val="315"/>
          <w:tblCellSpacing w:w="0" w:type="dxa"/>
        </w:trPr>
        <w:tc>
          <w:tcPr>
            <w:tcW w:w="0" w:type="auto"/>
            <w:vMerge w:val="restart"/>
            <w:tcMar>
              <w:top w:w="30" w:type="dxa"/>
              <w:left w:w="45" w:type="dxa"/>
              <w:bottom w:w="30" w:type="dxa"/>
              <w:right w:w="45" w:type="dxa"/>
            </w:tcMar>
            <w:vAlign w:val="center"/>
            <w:hideMark/>
          </w:tcPr>
          <w:p w14:paraId="0D16EA08" w14:textId="1AB2F97F" w:rsidR="00A1630B" w:rsidRDefault="00FD5948" w:rsidP="00C75078">
            <w:pPr>
              <w:rPr>
                <w:sz w:val="22"/>
                <w:szCs w:val="22"/>
              </w:rPr>
            </w:pPr>
            <w:r>
              <w:rPr>
                <w:sz w:val="22"/>
                <w:szCs w:val="22"/>
              </w:rPr>
              <w:t>E</w:t>
            </w:r>
            <w:r w:rsidR="00A1630B">
              <w:rPr>
                <w:sz w:val="22"/>
                <w:szCs w:val="22"/>
              </w:rPr>
              <w:t>nergy</w:t>
            </w:r>
          </w:p>
        </w:tc>
        <w:tc>
          <w:tcPr>
            <w:tcW w:w="0" w:type="auto"/>
            <w:shd w:val="clear" w:color="auto" w:fill="FFFFFF"/>
            <w:tcMar>
              <w:top w:w="30" w:type="dxa"/>
              <w:left w:w="45" w:type="dxa"/>
              <w:bottom w:w="30" w:type="dxa"/>
              <w:right w:w="45" w:type="dxa"/>
            </w:tcMar>
            <w:vAlign w:val="bottom"/>
            <w:hideMark/>
          </w:tcPr>
          <w:p w14:paraId="431CF113" w14:textId="173B88B9" w:rsidR="00A1630B" w:rsidRDefault="00A1630B">
            <w:pPr>
              <w:rPr>
                <w:sz w:val="22"/>
                <w:szCs w:val="22"/>
              </w:rPr>
            </w:pPr>
            <w:r>
              <w:rPr>
                <w:sz w:val="22"/>
                <w:szCs w:val="22"/>
              </w:rPr>
              <w:t>Metal</w:t>
            </w:r>
          </w:p>
        </w:tc>
        <w:tc>
          <w:tcPr>
            <w:tcW w:w="0" w:type="auto"/>
            <w:tcMar>
              <w:top w:w="30" w:type="dxa"/>
              <w:left w:w="45" w:type="dxa"/>
              <w:bottom w:w="30" w:type="dxa"/>
              <w:right w:w="45" w:type="dxa"/>
            </w:tcMar>
            <w:vAlign w:val="bottom"/>
            <w:hideMark/>
          </w:tcPr>
          <w:p w14:paraId="48593A45" w14:textId="77777777" w:rsidR="00A1630B" w:rsidRDefault="00A1630B" w:rsidP="007D35CB">
            <w:pPr>
              <w:jc w:val="center"/>
              <w:rPr>
                <w:sz w:val="22"/>
                <w:szCs w:val="22"/>
              </w:rPr>
            </w:pPr>
            <w:r>
              <w:rPr>
                <w:sz w:val="22"/>
                <w:szCs w:val="22"/>
              </w:rPr>
              <w:t>0.30</w:t>
            </w:r>
          </w:p>
        </w:tc>
        <w:tc>
          <w:tcPr>
            <w:tcW w:w="0" w:type="auto"/>
            <w:tcMar>
              <w:top w:w="30" w:type="dxa"/>
              <w:left w:w="45" w:type="dxa"/>
              <w:bottom w:w="30" w:type="dxa"/>
              <w:right w:w="45" w:type="dxa"/>
            </w:tcMar>
            <w:vAlign w:val="bottom"/>
            <w:hideMark/>
          </w:tcPr>
          <w:p w14:paraId="221D5723" w14:textId="77777777" w:rsidR="00A1630B" w:rsidRDefault="00A1630B" w:rsidP="007D35CB">
            <w:pPr>
              <w:jc w:val="center"/>
              <w:rPr>
                <w:sz w:val="22"/>
                <w:szCs w:val="22"/>
              </w:rPr>
            </w:pPr>
            <w:r>
              <w:rPr>
                <w:sz w:val="22"/>
                <w:szCs w:val="22"/>
              </w:rPr>
              <w:t>0.27</w:t>
            </w:r>
          </w:p>
        </w:tc>
        <w:tc>
          <w:tcPr>
            <w:tcW w:w="0" w:type="auto"/>
            <w:tcMar>
              <w:top w:w="30" w:type="dxa"/>
              <w:left w:w="45" w:type="dxa"/>
              <w:bottom w:w="30" w:type="dxa"/>
              <w:right w:w="45" w:type="dxa"/>
            </w:tcMar>
            <w:vAlign w:val="bottom"/>
            <w:hideMark/>
          </w:tcPr>
          <w:p w14:paraId="5AA4AD09" w14:textId="77777777" w:rsidR="00A1630B" w:rsidRDefault="00A1630B" w:rsidP="007D35CB">
            <w:pPr>
              <w:jc w:val="center"/>
              <w:rPr>
                <w:sz w:val="22"/>
                <w:szCs w:val="22"/>
              </w:rPr>
            </w:pPr>
            <w:r>
              <w:rPr>
                <w:sz w:val="22"/>
                <w:szCs w:val="22"/>
              </w:rPr>
              <w:t>-0.37</w:t>
            </w:r>
          </w:p>
        </w:tc>
        <w:tc>
          <w:tcPr>
            <w:tcW w:w="0" w:type="auto"/>
            <w:tcMar>
              <w:top w:w="30" w:type="dxa"/>
              <w:left w:w="45" w:type="dxa"/>
              <w:bottom w:w="30" w:type="dxa"/>
              <w:right w:w="45" w:type="dxa"/>
            </w:tcMar>
            <w:vAlign w:val="bottom"/>
            <w:hideMark/>
          </w:tcPr>
          <w:p w14:paraId="7A8F0B82" w14:textId="77777777" w:rsidR="00A1630B" w:rsidRDefault="00A1630B" w:rsidP="007D35CB">
            <w:pPr>
              <w:jc w:val="center"/>
              <w:rPr>
                <w:sz w:val="22"/>
                <w:szCs w:val="22"/>
              </w:rPr>
            </w:pPr>
            <w:r>
              <w:rPr>
                <w:sz w:val="22"/>
                <w:szCs w:val="22"/>
              </w:rPr>
              <w:t>3.86</w:t>
            </w:r>
          </w:p>
        </w:tc>
      </w:tr>
      <w:tr w:rsidR="00FD5948" w14:paraId="013A33D6" w14:textId="77777777" w:rsidTr="00D5613F">
        <w:trPr>
          <w:trHeight w:val="315"/>
          <w:tblCellSpacing w:w="0" w:type="dxa"/>
        </w:trPr>
        <w:tc>
          <w:tcPr>
            <w:tcW w:w="0" w:type="auto"/>
            <w:vMerge/>
            <w:vAlign w:val="center"/>
            <w:hideMark/>
          </w:tcPr>
          <w:p w14:paraId="4EC66BE2" w14:textId="77777777" w:rsidR="00A1630B" w:rsidRDefault="00A1630B" w:rsidP="00C75078">
            <w:pPr>
              <w:rPr>
                <w:sz w:val="22"/>
                <w:szCs w:val="22"/>
              </w:rPr>
            </w:pPr>
          </w:p>
        </w:tc>
        <w:tc>
          <w:tcPr>
            <w:tcW w:w="0" w:type="auto"/>
            <w:shd w:val="clear" w:color="auto" w:fill="FFFFFF"/>
            <w:tcMar>
              <w:top w:w="30" w:type="dxa"/>
              <w:left w:w="45" w:type="dxa"/>
              <w:bottom w:w="30" w:type="dxa"/>
              <w:right w:w="45" w:type="dxa"/>
            </w:tcMar>
            <w:vAlign w:val="bottom"/>
            <w:hideMark/>
          </w:tcPr>
          <w:p w14:paraId="2D259645" w14:textId="61F8E730" w:rsidR="00A1630B" w:rsidRDefault="00A1630B">
            <w:pPr>
              <w:rPr>
                <w:sz w:val="22"/>
                <w:szCs w:val="22"/>
              </w:rPr>
            </w:pPr>
            <w:r>
              <w:rPr>
                <w:sz w:val="22"/>
                <w:szCs w:val="22"/>
              </w:rPr>
              <w:t>Agricultural</w:t>
            </w:r>
          </w:p>
        </w:tc>
        <w:tc>
          <w:tcPr>
            <w:tcW w:w="0" w:type="auto"/>
            <w:tcMar>
              <w:top w:w="30" w:type="dxa"/>
              <w:left w:w="45" w:type="dxa"/>
              <w:bottom w:w="30" w:type="dxa"/>
              <w:right w:w="45" w:type="dxa"/>
            </w:tcMar>
            <w:vAlign w:val="bottom"/>
            <w:hideMark/>
          </w:tcPr>
          <w:p w14:paraId="16028E64" w14:textId="77777777" w:rsidR="00A1630B" w:rsidRDefault="00A1630B" w:rsidP="007D35CB">
            <w:pPr>
              <w:jc w:val="center"/>
              <w:rPr>
                <w:sz w:val="22"/>
                <w:szCs w:val="22"/>
              </w:rPr>
            </w:pPr>
            <w:r>
              <w:rPr>
                <w:sz w:val="22"/>
                <w:szCs w:val="22"/>
              </w:rPr>
              <w:t>0.29</w:t>
            </w:r>
          </w:p>
        </w:tc>
        <w:tc>
          <w:tcPr>
            <w:tcW w:w="0" w:type="auto"/>
            <w:tcMar>
              <w:top w:w="30" w:type="dxa"/>
              <w:left w:w="45" w:type="dxa"/>
              <w:bottom w:w="30" w:type="dxa"/>
              <w:right w:w="45" w:type="dxa"/>
            </w:tcMar>
            <w:vAlign w:val="bottom"/>
            <w:hideMark/>
          </w:tcPr>
          <w:p w14:paraId="7B1D4414" w14:textId="77777777" w:rsidR="00A1630B" w:rsidRDefault="00A1630B" w:rsidP="007D35CB">
            <w:pPr>
              <w:jc w:val="center"/>
              <w:rPr>
                <w:sz w:val="22"/>
                <w:szCs w:val="22"/>
              </w:rPr>
            </w:pPr>
            <w:r>
              <w:rPr>
                <w:sz w:val="22"/>
                <w:szCs w:val="22"/>
              </w:rPr>
              <w:t>0.26</w:t>
            </w:r>
          </w:p>
        </w:tc>
        <w:tc>
          <w:tcPr>
            <w:tcW w:w="0" w:type="auto"/>
            <w:tcMar>
              <w:top w:w="30" w:type="dxa"/>
              <w:left w:w="45" w:type="dxa"/>
              <w:bottom w:w="30" w:type="dxa"/>
              <w:right w:w="45" w:type="dxa"/>
            </w:tcMar>
            <w:vAlign w:val="bottom"/>
            <w:hideMark/>
          </w:tcPr>
          <w:p w14:paraId="2CC9A47C" w14:textId="77777777" w:rsidR="00A1630B" w:rsidRDefault="00A1630B" w:rsidP="007D35CB">
            <w:pPr>
              <w:jc w:val="center"/>
              <w:rPr>
                <w:sz w:val="22"/>
                <w:szCs w:val="22"/>
              </w:rPr>
            </w:pPr>
            <w:r>
              <w:rPr>
                <w:sz w:val="22"/>
                <w:szCs w:val="22"/>
              </w:rPr>
              <w:t>-0.44</w:t>
            </w:r>
          </w:p>
        </w:tc>
        <w:tc>
          <w:tcPr>
            <w:tcW w:w="0" w:type="auto"/>
            <w:tcMar>
              <w:top w:w="30" w:type="dxa"/>
              <w:left w:w="45" w:type="dxa"/>
              <w:bottom w:w="30" w:type="dxa"/>
              <w:right w:w="45" w:type="dxa"/>
            </w:tcMar>
            <w:vAlign w:val="bottom"/>
            <w:hideMark/>
          </w:tcPr>
          <w:p w14:paraId="4EB7EE35" w14:textId="77777777" w:rsidR="00A1630B" w:rsidRDefault="00A1630B" w:rsidP="007D35CB">
            <w:pPr>
              <w:jc w:val="center"/>
              <w:rPr>
                <w:sz w:val="22"/>
                <w:szCs w:val="22"/>
              </w:rPr>
            </w:pPr>
            <w:r>
              <w:rPr>
                <w:sz w:val="22"/>
                <w:szCs w:val="22"/>
              </w:rPr>
              <w:t>1.64</w:t>
            </w:r>
          </w:p>
        </w:tc>
      </w:tr>
      <w:tr w:rsidR="00FD5948" w14:paraId="2E4B0AEC" w14:textId="77777777" w:rsidTr="00D5613F">
        <w:trPr>
          <w:trHeight w:val="315"/>
          <w:tblCellSpacing w:w="0" w:type="dxa"/>
        </w:trPr>
        <w:tc>
          <w:tcPr>
            <w:tcW w:w="0" w:type="auto"/>
            <w:vMerge w:val="restart"/>
            <w:tcBorders>
              <w:bottom w:val="single" w:sz="6" w:space="0" w:color="000000"/>
            </w:tcBorders>
            <w:tcMar>
              <w:top w:w="30" w:type="dxa"/>
              <w:left w:w="45" w:type="dxa"/>
              <w:bottom w:w="30" w:type="dxa"/>
              <w:right w:w="45" w:type="dxa"/>
            </w:tcMar>
            <w:vAlign w:val="center"/>
            <w:hideMark/>
          </w:tcPr>
          <w:p w14:paraId="30E33E48" w14:textId="5F1A3568" w:rsidR="00A1630B" w:rsidRDefault="00A1630B" w:rsidP="00C75078">
            <w:pPr>
              <w:rPr>
                <w:sz w:val="22"/>
                <w:szCs w:val="22"/>
              </w:rPr>
            </w:pPr>
            <w:r>
              <w:rPr>
                <w:sz w:val="22"/>
                <w:szCs w:val="22"/>
              </w:rPr>
              <w:t>Agricultural</w:t>
            </w:r>
          </w:p>
        </w:tc>
        <w:tc>
          <w:tcPr>
            <w:tcW w:w="0" w:type="auto"/>
            <w:shd w:val="clear" w:color="auto" w:fill="FFFFFF"/>
            <w:tcMar>
              <w:top w:w="30" w:type="dxa"/>
              <w:left w:w="45" w:type="dxa"/>
              <w:bottom w:w="30" w:type="dxa"/>
              <w:right w:w="45" w:type="dxa"/>
            </w:tcMar>
            <w:vAlign w:val="bottom"/>
            <w:hideMark/>
          </w:tcPr>
          <w:p w14:paraId="18D92A13" w14:textId="24CA0F4E" w:rsidR="00A1630B" w:rsidRDefault="00A1630B">
            <w:pPr>
              <w:rPr>
                <w:sz w:val="22"/>
                <w:szCs w:val="22"/>
              </w:rPr>
            </w:pPr>
            <w:r>
              <w:rPr>
                <w:sz w:val="22"/>
                <w:szCs w:val="22"/>
              </w:rPr>
              <w:t>Metal</w:t>
            </w:r>
          </w:p>
        </w:tc>
        <w:tc>
          <w:tcPr>
            <w:tcW w:w="0" w:type="auto"/>
            <w:tcMar>
              <w:top w:w="30" w:type="dxa"/>
              <w:left w:w="45" w:type="dxa"/>
              <w:bottom w:w="30" w:type="dxa"/>
              <w:right w:w="45" w:type="dxa"/>
            </w:tcMar>
            <w:vAlign w:val="bottom"/>
            <w:hideMark/>
          </w:tcPr>
          <w:p w14:paraId="5E2FD8AE" w14:textId="77777777" w:rsidR="00A1630B" w:rsidRDefault="00A1630B" w:rsidP="007D35CB">
            <w:pPr>
              <w:jc w:val="center"/>
              <w:rPr>
                <w:sz w:val="22"/>
                <w:szCs w:val="22"/>
              </w:rPr>
            </w:pPr>
            <w:r>
              <w:rPr>
                <w:sz w:val="22"/>
                <w:szCs w:val="22"/>
              </w:rPr>
              <w:t>0.17</w:t>
            </w:r>
          </w:p>
        </w:tc>
        <w:tc>
          <w:tcPr>
            <w:tcW w:w="0" w:type="auto"/>
            <w:tcMar>
              <w:top w:w="30" w:type="dxa"/>
              <w:left w:w="45" w:type="dxa"/>
              <w:bottom w:w="30" w:type="dxa"/>
              <w:right w:w="45" w:type="dxa"/>
            </w:tcMar>
            <w:vAlign w:val="bottom"/>
            <w:hideMark/>
          </w:tcPr>
          <w:p w14:paraId="6C986F20" w14:textId="77777777" w:rsidR="00A1630B" w:rsidRDefault="00A1630B" w:rsidP="007D35CB">
            <w:pPr>
              <w:jc w:val="center"/>
              <w:rPr>
                <w:sz w:val="22"/>
                <w:szCs w:val="22"/>
              </w:rPr>
            </w:pPr>
            <w:r>
              <w:rPr>
                <w:sz w:val="22"/>
                <w:szCs w:val="22"/>
              </w:rPr>
              <w:t>0.08</w:t>
            </w:r>
          </w:p>
        </w:tc>
        <w:tc>
          <w:tcPr>
            <w:tcW w:w="0" w:type="auto"/>
            <w:tcMar>
              <w:top w:w="30" w:type="dxa"/>
              <w:left w:w="45" w:type="dxa"/>
              <w:bottom w:w="30" w:type="dxa"/>
              <w:right w:w="45" w:type="dxa"/>
            </w:tcMar>
            <w:vAlign w:val="bottom"/>
            <w:hideMark/>
          </w:tcPr>
          <w:p w14:paraId="2EEC13F7" w14:textId="77777777" w:rsidR="00A1630B" w:rsidRDefault="00A1630B" w:rsidP="007D35CB">
            <w:pPr>
              <w:jc w:val="center"/>
              <w:rPr>
                <w:sz w:val="22"/>
                <w:szCs w:val="22"/>
              </w:rPr>
            </w:pPr>
            <w:r>
              <w:rPr>
                <w:sz w:val="22"/>
                <w:szCs w:val="22"/>
              </w:rPr>
              <w:t>-0.07</w:t>
            </w:r>
          </w:p>
        </w:tc>
        <w:tc>
          <w:tcPr>
            <w:tcW w:w="0" w:type="auto"/>
            <w:tcMar>
              <w:top w:w="30" w:type="dxa"/>
              <w:left w:w="45" w:type="dxa"/>
              <w:bottom w:w="30" w:type="dxa"/>
              <w:right w:w="45" w:type="dxa"/>
            </w:tcMar>
            <w:vAlign w:val="bottom"/>
            <w:hideMark/>
          </w:tcPr>
          <w:p w14:paraId="31C6AF97" w14:textId="77777777" w:rsidR="00A1630B" w:rsidRDefault="00A1630B" w:rsidP="007D35CB">
            <w:pPr>
              <w:jc w:val="center"/>
              <w:rPr>
                <w:sz w:val="22"/>
                <w:szCs w:val="22"/>
              </w:rPr>
            </w:pPr>
            <w:r>
              <w:rPr>
                <w:sz w:val="22"/>
                <w:szCs w:val="22"/>
              </w:rPr>
              <w:t>0.44</w:t>
            </w:r>
          </w:p>
        </w:tc>
      </w:tr>
      <w:tr w:rsidR="00FD5948" w14:paraId="510E3CDA" w14:textId="77777777" w:rsidTr="00B816B8">
        <w:trPr>
          <w:trHeight w:val="315"/>
          <w:tblCellSpacing w:w="0" w:type="dxa"/>
        </w:trPr>
        <w:tc>
          <w:tcPr>
            <w:tcW w:w="0" w:type="auto"/>
            <w:vMerge/>
            <w:tcBorders>
              <w:bottom w:val="single" w:sz="6" w:space="0" w:color="000000"/>
            </w:tcBorders>
            <w:vAlign w:val="center"/>
            <w:hideMark/>
          </w:tcPr>
          <w:p w14:paraId="0FEEDC20" w14:textId="77777777" w:rsidR="00A1630B" w:rsidRDefault="00A1630B">
            <w:pPr>
              <w:rPr>
                <w:sz w:val="22"/>
                <w:szCs w:val="22"/>
              </w:rPr>
            </w:pPr>
          </w:p>
        </w:tc>
        <w:tc>
          <w:tcPr>
            <w:tcW w:w="0" w:type="auto"/>
            <w:tcBorders>
              <w:bottom w:val="single" w:sz="6" w:space="0" w:color="000000"/>
            </w:tcBorders>
            <w:shd w:val="clear" w:color="auto" w:fill="FFFFFF"/>
            <w:tcMar>
              <w:top w:w="30" w:type="dxa"/>
              <w:left w:w="45" w:type="dxa"/>
              <w:bottom w:w="30" w:type="dxa"/>
              <w:right w:w="45" w:type="dxa"/>
            </w:tcMar>
            <w:vAlign w:val="bottom"/>
            <w:hideMark/>
          </w:tcPr>
          <w:p w14:paraId="597F69AD" w14:textId="76B9E844" w:rsidR="00A1630B" w:rsidRDefault="00A1630B">
            <w:pPr>
              <w:rPr>
                <w:sz w:val="22"/>
                <w:szCs w:val="22"/>
              </w:rPr>
            </w:pPr>
            <w:r>
              <w:rPr>
                <w:sz w:val="22"/>
                <w:szCs w:val="22"/>
              </w:rPr>
              <w:t>Energy</w:t>
            </w:r>
          </w:p>
        </w:tc>
        <w:tc>
          <w:tcPr>
            <w:tcW w:w="0" w:type="auto"/>
            <w:tcBorders>
              <w:bottom w:val="single" w:sz="6" w:space="0" w:color="000000"/>
            </w:tcBorders>
            <w:tcMar>
              <w:top w:w="30" w:type="dxa"/>
              <w:left w:w="45" w:type="dxa"/>
              <w:bottom w:w="30" w:type="dxa"/>
              <w:right w:w="45" w:type="dxa"/>
            </w:tcMar>
            <w:vAlign w:val="bottom"/>
            <w:hideMark/>
          </w:tcPr>
          <w:p w14:paraId="0805F894" w14:textId="77777777" w:rsidR="00A1630B" w:rsidRDefault="00A1630B" w:rsidP="007D35CB">
            <w:pPr>
              <w:jc w:val="center"/>
              <w:rPr>
                <w:sz w:val="22"/>
                <w:szCs w:val="22"/>
              </w:rPr>
            </w:pPr>
            <w:r>
              <w:rPr>
                <w:sz w:val="22"/>
                <w:szCs w:val="22"/>
              </w:rPr>
              <w:t>0.07</w:t>
            </w:r>
          </w:p>
        </w:tc>
        <w:tc>
          <w:tcPr>
            <w:tcW w:w="0" w:type="auto"/>
            <w:tcBorders>
              <w:bottom w:val="single" w:sz="6" w:space="0" w:color="000000"/>
            </w:tcBorders>
            <w:tcMar>
              <w:top w:w="30" w:type="dxa"/>
              <w:left w:w="45" w:type="dxa"/>
              <w:bottom w:w="30" w:type="dxa"/>
              <w:right w:w="45" w:type="dxa"/>
            </w:tcMar>
            <w:vAlign w:val="bottom"/>
            <w:hideMark/>
          </w:tcPr>
          <w:p w14:paraId="681DFA5D" w14:textId="77777777" w:rsidR="00A1630B" w:rsidRDefault="00A1630B" w:rsidP="007D35CB">
            <w:pPr>
              <w:jc w:val="center"/>
              <w:rPr>
                <w:sz w:val="22"/>
                <w:szCs w:val="22"/>
              </w:rPr>
            </w:pPr>
            <w:r>
              <w:rPr>
                <w:sz w:val="22"/>
                <w:szCs w:val="22"/>
              </w:rPr>
              <w:t>0.06</w:t>
            </w:r>
          </w:p>
        </w:tc>
        <w:tc>
          <w:tcPr>
            <w:tcW w:w="0" w:type="auto"/>
            <w:tcBorders>
              <w:bottom w:val="single" w:sz="6" w:space="0" w:color="000000"/>
            </w:tcBorders>
            <w:tcMar>
              <w:top w:w="30" w:type="dxa"/>
              <w:left w:w="45" w:type="dxa"/>
              <w:bottom w:w="30" w:type="dxa"/>
              <w:right w:w="45" w:type="dxa"/>
            </w:tcMar>
            <w:vAlign w:val="bottom"/>
            <w:hideMark/>
          </w:tcPr>
          <w:p w14:paraId="611AAF41" w14:textId="77777777" w:rsidR="00A1630B" w:rsidRDefault="00A1630B" w:rsidP="007D35CB">
            <w:pPr>
              <w:jc w:val="center"/>
              <w:rPr>
                <w:sz w:val="22"/>
                <w:szCs w:val="22"/>
              </w:rPr>
            </w:pPr>
            <w:r>
              <w:rPr>
                <w:sz w:val="22"/>
                <w:szCs w:val="22"/>
              </w:rPr>
              <w:t>-0.09</w:t>
            </w:r>
          </w:p>
        </w:tc>
        <w:tc>
          <w:tcPr>
            <w:tcW w:w="0" w:type="auto"/>
            <w:tcBorders>
              <w:bottom w:val="single" w:sz="6" w:space="0" w:color="000000"/>
            </w:tcBorders>
            <w:tcMar>
              <w:top w:w="30" w:type="dxa"/>
              <w:left w:w="45" w:type="dxa"/>
              <w:bottom w:w="30" w:type="dxa"/>
              <w:right w:w="45" w:type="dxa"/>
            </w:tcMar>
            <w:vAlign w:val="bottom"/>
            <w:hideMark/>
          </w:tcPr>
          <w:p w14:paraId="57C238EA" w14:textId="77777777" w:rsidR="00A1630B" w:rsidRDefault="00A1630B" w:rsidP="007D35CB">
            <w:pPr>
              <w:jc w:val="center"/>
              <w:rPr>
                <w:sz w:val="22"/>
                <w:szCs w:val="22"/>
              </w:rPr>
            </w:pPr>
            <w:r>
              <w:rPr>
                <w:sz w:val="22"/>
                <w:szCs w:val="22"/>
              </w:rPr>
              <w:t>0.30</w:t>
            </w:r>
          </w:p>
        </w:tc>
      </w:tr>
      <w:tr w:rsidR="00A1630B" w14:paraId="28472700" w14:textId="77777777" w:rsidTr="00B816B8">
        <w:trPr>
          <w:trHeight w:val="315"/>
          <w:tblCellSpacing w:w="0" w:type="dxa"/>
        </w:trPr>
        <w:tc>
          <w:tcPr>
            <w:tcW w:w="0" w:type="auto"/>
            <w:gridSpan w:val="6"/>
            <w:tcMar>
              <w:top w:w="30" w:type="dxa"/>
              <w:left w:w="45" w:type="dxa"/>
              <w:bottom w:w="30" w:type="dxa"/>
              <w:right w:w="45" w:type="dxa"/>
            </w:tcMar>
            <w:vAlign w:val="bottom"/>
            <w:hideMark/>
          </w:tcPr>
          <w:p w14:paraId="2A415ADA" w14:textId="746DC320" w:rsidR="00A1630B" w:rsidRDefault="00A1630B" w:rsidP="0025553A">
            <w:pPr>
              <w:jc w:val="both"/>
              <w:rPr>
                <w:sz w:val="22"/>
                <w:szCs w:val="22"/>
              </w:rPr>
            </w:pPr>
            <w:r>
              <w:rPr>
                <w:sz w:val="22"/>
                <w:szCs w:val="22"/>
              </w:rPr>
              <w:t xml:space="preserve">Note: This table shows the hedge ratios between commodity pairs. The input data of conditional volatility to </w:t>
            </w:r>
            <w:r w:rsidR="001E3E18">
              <w:rPr>
                <w:sz w:val="22"/>
                <w:szCs w:val="22"/>
              </w:rPr>
              <w:t>calculate</w:t>
            </w:r>
            <w:r>
              <w:rPr>
                <w:sz w:val="22"/>
                <w:szCs w:val="22"/>
              </w:rPr>
              <w:t xml:space="preserve"> the hedge ratios is </w:t>
            </w:r>
            <w:r w:rsidR="001E3E18">
              <w:rPr>
                <w:sz w:val="22"/>
                <w:szCs w:val="22"/>
              </w:rPr>
              <w:t>obtained</w:t>
            </w:r>
            <w:r>
              <w:rPr>
                <w:sz w:val="22"/>
                <w:szCs w:val="22"/>
              </w:rPr>
              <w:t xml:space="preserve"> from the diagonal VECH model with </w:t>
            </w:r>
            <w:r w:rsidR="00563C81">
              <w:rPr>
                <w:sz w:val="22"/>
                <w:szCs w:val="22"/>
              </w:rPr>
              <w:t xml:space="preserve">the </w:t>
            </w:r>
            <w:r>
              <w:rPr>
                <w:sz w:val="22"/>
                <w:szCs w:val="22"/>
              </w:rPr>
              <w:t xml:space="preserve">student t </w:t>
            </w:r>
            <w:r w:rsidR="001E3E18">
              <w:rPr>
                <w:sz w:val="22"/>
                <w:szCs w:val="22"/>
              </w:rPr>
              <w:t>distribution</w:t>
            </w:r>
            <w:r>
              <w:rPr>
                <w:sz w:val="22"/>
                <w:szCs w:val="22"/>
              </w:rPr>
              <w:t>.</w:t>
            </w:r>
          </w:p>
        </w:tc>
      </w:tr>
    </w:tbl>
    <w:p w14:paraId="197006FE" w14:textId="77777777" w:rsidR="00C90612" w:rsidRDefault="00C90612" w:rsidP="00C90612">
      <w:pPr>
        <w:jc w:val="both"/>
      </w:pPr>
    </w:p>
    <w:p w14:paraId="620FEA14" w14:textId="6922E40E" w:rsidR="00B816B8" w:rsidRDefault="00B816B8" w:rsidP="00B816B8">
      <w:pPr>
        <w:pStyle w:val="Heading2"/>
        <w:jc w:val="both"/>
      </w:pPr>
      <w:bookmarkStart w:id="31" w:name="_Toc167478297"/>
      <w:r>
        <w:t>4.</w:t>
      </w:r>
      <w:r w:rsidR="00C70BC5">
        <w:t>5</w:t>
      </w:r>
      <w:r>
        <w:t xml:space="preserve"> </w:t>
      </w:r>
      <w:r w:rsidR="00995AD4">
        <w:t>Empirical</w:t>
      </w:r>
      <w:r w:rsidR="002159EE">
        <w:t xml:space="preserve"> Result</w:t>
      </w:r>
      <w:r w:rsidR="006F041C">
        <w:t>s</w:t>
      </w:r>
      <w:r w:rsidR="002159EE">
        <w:t xml:space="preserve"> </w:t>
      </w:r>
      <w:r w:rsidR="00815487">
        <w:t>Summary</w:t>
      </w:r>
      <w:bookmarkEnd w:id="31"/>
    </w:p>
    <w:p w14:paraId="0F0A3978" w14:textId="2C49A32C" w:rsidR="00F95A52" w:rsidRDefault="00F95A52" w:rsidP="00982DA6">
      <w:pPr>
        <w:spacing w:after="240"/>
        <w:jc w:val="both"/>
      </w:pPr>
      <w:r>
        <w:t xml:space="preserve">Focusing on the commodity market, this </w:t>
      </w:r>
      <w:r w:rsidR="00E21D1E">
        <w:t>study</w:t>
      </w:r>
      <w:r>
        <w:t xml:space="preserve"> analyzes the dynamics of metal, energy, and agricultural commodity groups. This </w:t>
      </w:r>
      <w:r w:rsidR="00995AD4">
        <w:t>empirical</w:t>
      </w:r>
      <w:r w:rsidR="00926532">
        <w:t xml:space="preserve"> analysis</w:t>
      </w:r>
      <w:r>
        <w:t xml:space="preserve"> begins by exploring the statistical characteristics of the three commodity groups. All three commodity groups exhibit slightly negative skewness, indicating asymmetry. Moreover, metals and energy display high kurtosis, suggesting heavy</w:t>
      </w:r>
      <w:r w:rsidR="00096BDB">
        <w:t xml:space="preserve"> </w:t>
      </w:r>
      <w:r>
        <w:t xml:space="preserve">tail distribution, while agricultural commodities demonstrate lighter tails and approximate normal distribution. Additionally, the statistical tests reveal that the commodity return data is stationary with autocorrelation and heteroscedasticity. Secondly, the multivariate GARCH models of diagonal VECH, diagonal BEKK, and CCC are applied to model the volatility of the three commodity groups. The empirical results reveal that the student t-distribution assumption of multivariate GARCH models outperforms the normal distribution assumption. Also, the diagonal VECH model with </w:t>
      </w:r>
      <w:r w:rsidR="00B149AF">
        <w:t xml:space="preserve">student </w:t>
      </w:r>
      <w:r>
        <w:t>t</w:t>
      </w:r>
      <w:r w:rsidR="00B149AF">
        <w:t xml:space="preserve"> </w:t>
      </w:r>
      <w:r>
        <w:t xml:space="preserve">distribution has the highest goodness of fit. </w:t>
      </w:r>
    </w:p>
    <w:p w14:paraId="2CEAAA13" w14:textId="3D4EF742" w:rsidR="0063409A" w:rsidRDefault="00F95A52" w:rsidP="00982DA6">
      <w:pPr>
        <w:spacing w:after="240"/>
        <w:jc w:val="both"/>
      </w:pPr>
      <w:r>
        <w:t xml:space="preserve">By using the conditional </w:t>
      </w:r>
      <w:r w:rsidR="00EF3000">
        <w:t>volatility</w:t>
      </w:r>
      <w:r>
        <w:t xml:space="preserve"> and conditional correlation from the multivariate GARCH model</w:t>
      </w:r>
      <w:r w:rsidR="003B5817">
        <w:t>s</w:t>
      </w:r>
      <w:r>
        <w:t xml:space="preserve">, this </w:t>
      </w:r>
      <w:r w:rsidR="003272C3">
        <w:t>study</w:t>
      </w:r>
      <w:r>
        <w:t xml:space="preserve"> conducts portfolio optimization of seven portfolios, which are the mean-variance, minimum variance, minimum correlation, maximum Sharpe ratio, maximum Sortinoz ratio, and </w:t>
      </w:r>
      <w:r w:rsidR="00B66A12">
        <w:t xml:space="preserve">minimum </w:t>
      </w:r>
      <w:r>
        <w:t xml:space="preserve">CVaR portfolio strategies. This </w:t>
      </w:r>
      <w:r w:rsidR="001B1514">
        <w:t>study</w:t>
      </w:r>
      <w:r>
        <w:t xml:space="preserve"> considers two conditions, which are the short selling condition and no short selling condition. If not considering short-selling opportunities, the mean-variance portfolio has the highest average return during the sample period and the lowest volatility, indicating its efficiency as an investment strategy compared to other portfolio strategies under the sample period. This portfolio approach allocates the majority of the proportion to metals</w:t>
      </w:r>
      <w:r w:rsidR="008E2288">
        <w:t>,</w:t>
      </w:r>
      <w:r>
        <w:t xml:space="preserve"> </w:t>
      </w:r>
      <w:r w:rsidR="00C40D88">
        <w:t xml:space="preserve">a </w:t>
      </w:r>
      <w:r>
        <w:t>relatively smaller amount of proportion to energy commodities</w:t>
      </w:r>
      <w:r w:rsidR="008E2288">
        <w:t>, and the least minimal amount to agricultural commodities</w:t>
      </w:r>
      <w:r>
        <w:t xml:space="preserve">. In contrast, the </w:t>
      </w:r>
      <w:r>
        <w:rPr>
          <w:highlight w:val="white"/>
        </w:rPr>
        <w:t xml:space="preserve">minimum </w:t>
      </w:r>
      <w:r>
        <w:t>CVaR portfolio has the lowest average return and C</w:t>
      </w:r>
      <w:r w:rsidR="008C746C">
        <w:t>V</w:t>
      </w:r>
      <w:r>
        <w:t>aR</w:t>
      </w:r>
      <w:r w:rsidR="007F710E">
        <w:t>, along with the highest variance</w:t>
      </w:r>
      <w:r>
        <w:t xml:space="preserve">, indicating </w:t>
      </w:r>
      <w:r w:rsidR="005F137B">
        <w:t xml:space="preserve">its </w:t>
      </w:r>
      <w:r>
        <w:t xml:space="preserve">inefficiencies during the sample period. When considering short-selling opportunities, the portfolio strategies of mean-variance, maximum Sharpe ratio, maximum Sortino ratio, and </w:t>
      </w:r>
      <w:r>
        <w:rPr>
          <w:highlight w:val="white"/>
        </w:rPr>
        <w:t xml:space="preserve">minimum </w:t>
      </w:r>
      <w:r>
        <w:t xml:space="preserve">CVaR all include short positions, particularly in agricultural commodities. Also, the average return performance of </w:t>
      </w:r>
      <w:r w:rsidR="007C462F">
        <w:t>the</w:t>
      </w:r>
      <w:r>
        <w:t xml:space="preserve"> strategies</w:t>
      </w:r>
      <w:r w:rsidR="008C6C5E">
        <w:t xml:space="preserve"> with short-selling</w:t>
      </w:r>
      <w:r w:rsidR="005E51D2">
        <w:t xml:space="preserve"> opportunity</w:t>
      </w:r>
      <w:r>
        <w:t>, notably mean-variance portfolio and maximum Sharpe ratio, outperform</w:t>
      </w:r>
      <w:r w:rsidR="00B83A7D">
        <w:t>s</w:t>
      </w:r>
      <w:r>
        <w:t xml:space="preserve"> </w:t>
      </w:r>
      <w:r w:rsidR="00B83A7D">
        <w:t>that</w:t>
      </w:r>
      <w:r>
        <w:t xml:space="preserve"> without short-selling opportunities. Conversely, the maximum Sortino ratio and </w:t>
      </w:r>
      <w:r w:rsidR="00B633E8">
        <w:rPr>
          <w:highlight w:val="white"/>
        </w:rPr>
        <w:t xml:space="preserve">minimum </w:t>
      </w:r>
      <w:r>
        <w:t xml:space="preserve">CVaR strategies are less efficient compared to conditions without short-selling opportunities. Overall, short-selling increases variance across all the portfolio strategies. </w:t>
      </w:r>
      <w:r w:rsidR="004B7192">
        <w:t>Considering</w:t>
      </w:r>
      <w:r w:rsidR="0063409A">
        <w:t xml:space="preserve"> the </w:t>
      </w:r>
      <w:r w:rsidR="00CF2748">
        <w:t xml:space="preserve">risk aversion </w:t>
      </w:r>
      <w:r w:rsidR="004113A3">
        <w:t>levels for different types of investors</w:t>
      </w:r>
      <w:r w:rsidR="00CF2748">
        <w:t xml:space="preserve">, the </w:t>
      </w:r>
      <w:r w:rsidR="008E709D">
        <w:t xml:space="preserve">analysis of </w:t>
      </w:r>
      <w:r w:rsidR="004B7192">
        <w:t>the mean-variance</w:t>
      </w:r>
      <w:r w:rsidR="00484379">
        <w:t xml:space="preserve"> portfolio with the tuning risk aversion parameters </w:t>
      </w:r>
      <w:r w:rsidR="004B7192">
        <w:t>shows</w:t>
      </w:r>
      <w:r w:rsidR="00DF0910">
        <w:t xml:space="preserve"> that the weights should be </w:t>
      </w:r>
      <w:r w:rsidR="006D5A7C">
        <w:t xml:space="preserve">entirely allocated to energy commodities if investors do not take into </w:t>
      </w:r>
      <w:r w:rsidR="004B7192">
        <w:t>account</w:t>
      </w:r>
      <w:r w:rsidR="006D5A7C">
        <w:t xml:space="preserve"> the risk factor. </w:t>
      </w:r>
      <w:r w:rsidR="00E65137">
        <w:t xml:space="preserve">As the risk </w:t>
      </w:r>
      <w:r w:rsidR="004B7192">
        <w:t>aversion</w:t>
      </w:r>
      <w:r w:rsidR="00E65137">
        <w:t xml:space="preserve"> extent </w:t>
      </w:r>
      <w:r w:rsidR="004B7192">
        <w:t>increases</w:t>
      </w:r>
      <w:r w:rsidR="00E65137">
        <w:t>, the pro</w:t>
      </w:r>
      <w:r w:rsidR="007B3773">
        <w:t>por</w:t>
      </w:r>
      <w:r w:rsidR="00E65137">
        <w:t xml:space="preserve">tion of </w:t>
      </w:r>
      <w:r w:rsidR="007B3773">
        <w:t>metal</w:t>
      </w:r>
      <w:r w:rsidR="004B7192">
        <w:t xml:space="preserve"> </w:t>
      </w:r>
      <w:r w:rsidR="00C00BC2">
        <w:t>commodities</w:t>
      </w:r>
      <w:r w:rsidR="007B3773">
        <w:t xml:space="preserve"> </w:t>
      </w:r>
      <w:r w:rsidR="004B7192">
        <w:t>increases</w:t>
      </w:r>
      <w:r w:rsidR="007B3773">
        <w:t xml:space="preserve">, while </w:t>
      </w:r>
      <w:r w:rsidR="00F75830">
        <w:t xml:space="preserve">that of the energy commodity </w:t>
      </w:r>
      <w:r w:rsidR="00554B87">
        <w:t>decreases</w:t>
      </w:r>
      <w:r w:rsidR="00F75830">
        <w:t xml:space="preserve">, </w:t>
      </w:r>
      <w:r w:rsidR="00554B87">
        <w:t>along with</w:t>
      </w:r>
      <w:r w:rsidR="00F75830">
        <w:t xml:space="preserve"> </w:t>
      </w:r>
      <w:r w:rsidR="00554B87">
        <w:t>a</w:t>
      </w:r>
      <w:r w:rsidR="00F75830">
        <w:t xml:space="preserve"> slight </w:t>
      </w:r>
      <w:r w:rsidR="00C00BC2">
        <w:t>increase</w:t>
      </w:r>
      <w:r w:rsidR="00F75830">
        <w:t xml:space="preserve"> in </w:t>
      </w:r>
      <w:r w:rsidR="0089168C">
        <w:t>agricultural</w:t>
      </w:r>
      <w:r w:rsidR="00F75830">
        <w:t xml:space="preserve"> commodities. </w:t>
      </w:r>
    </w:p>
    <w:p w14:paraId="413027C5" w14:textId="5BEF3573" w:rsidR="00D640F1" w:rsidRDefault="00F95A52" w:rsidP="007E7878">
      <w:pPr>
        <w:spacing w:after="240"/>
        <w:jc w:val="both"/>
      </w:pPr>
      <w:r>
        <w:t>The commodity</w:t>
      </w:r>
      <w:r w:rsidR="00446A3A">
        <w:t xml:space="preserve"> future</w:t>
      </w:r>
      <w:r>
        <w:t xml:space="preserve"> market is inherently volatile due to the fluctuating nature of </w:t>
      </w:r>
      <w:r w:rsidR="009D37BF">
        <w:t xml:space="preserve">the </w:t>
      </w:r>
      <w:r>
        <w:t xml:space="preserve">physical commodity </w:t>
      </w:r>
      <w:r w:rsidR="00C40D88">
        <w:t>market</w:t>
      </w:r>
      <w:r>
        <w:t xml:space="preserve"> over time. Therefore, implementing hedging strategies to reduce risk is an efficient approach for conservative investors. This </w:t>
      </w:r>
      <w:r w:rsidR="00C52DB2">
        <w:t>study</w:t>
      </w:r>
      <w:r>
        <w:t xml:space="preserve"> calculates hedge ratios using conditional volatility from the </w:t>
      </w:r>
      <w:r w:rsidR="00414A83">
        <w:t xml:space="preserve">fittest </w:t>
      </w:r>
      <w:r>
        <w:t>multivariate GARCH model</w:t>
      </w:r>
      <w:r w:rsidR="00F500F0">
        <w:t xml:space="preserve"> of diagonal VECH</w:t>
      </w:r>
      <w:r w:rsidR="002336BD">
        <w:t xml:space="preserve"> with student t distribution</w:t>
      </w:r>
      <w:r>
        <w:t>. The hedge ratio results indicate that the energy commodity group exhibits higher and more volatile hedge ratios, reflecting its strong correlation and volatility with metal and agricultural commodities. In contrast, the agricultural commodity group has stable hedge ratios, which shows that it has lower volatility and more predictable relationships with other asset classes. This stability suggests that agricultural commodities are less affected by extreme market events compared to energy commodities, making it easier to hedge effectively.</w:t>
      </w:r>
      <w:r w:rsidR="00EE2D18">
        <w:t xml:space="preserve"> </w:t>
      </w:r>
      <w:r w:rsidR="008C40E0">
        <w:t>Regarding</w:t>
      </w:r>
      <w:r w:rsidR="00EE2D18">
        <w:t xml:space="preserve"> the average statistics of the hedge ratios, </w:t>
      </w:r>
      <w:r w:rsidR="00E30422" w:rsidRPr="004C23A9">
        <w:rPr>
          <w:color w:val="000000"/>
        </w:rPr>
        <w:t xml:space="preserve">a $1 long position of energy commodities can be hedged by a $0.30 </w:t>
      </w:r>
      <w:r w:rsidR="009D4263">
        <w:rPr>
          <w:color w:val="000000"/>
        </w:rPr>
        <w:t xml:space="preserve">short </w:t>
      </w:r>
      <w:r w:rsidR="00DB6AC4">
        <w:rPr>
          <w:color w:val="000000"/>
        </w:rPr>
        <w:t>position</w:t>
      </w:r>
      <w:r w:rsidR="009D4263">
        <w:rPr>
          <w:color w:val="000000"/>
        </w:rPr>
        <w:t xml:space="preserve"> of metal commodities </w:t>
      </w:r>
      <w:r w:rsidR="00E30422" w:rsidRPr="004C23A9">
        <w:rPr>
          <w:color w:val="000000"/>
        </w:rPr>
        <w:t>and a $0.29 short position of agricultural commodities</w:t>
      </w:r>
      <w:r w:rsidR="00187A75">
        <w:rPr>
          <w:color w:val="000000"/>
        </w:rPr>
        <w:t xml:space="preserve"> to reduce risk</w:t>
      </w:r>
      <w:r w:rsidR="00E30422" w:rsidRPr="004C23A9">
        <w:rPr>
          <w:color w:val="000000"/>
        </w:rPr>
        <w:t>.</w:t>
      </w:r>
      <w:r w:rsidR="00EE0EDA">
        <w:rPr>
          <w:color w:val="000000"/>
        </w:rPr>
        <w:t xml:space="preserve"> </w:t>
      </w:r>
      <w:r>
        <w:br w:type="page"/>
      </w:r>
    </w:p>
    <w:p w14:paraId="6F729485" w14:textId="77777777" w:rsidR="00D640F1" w:rsidRDefault="00000000" w:rsidP="00FB5B40">
      <w:pPr>
        <w:pStyle w:val="Heading1"/>
        <w:jc w:val="both"/>
      </w:pPr>
      <w:bookmarkStart w:id="32" w:name="_Toc167478298"/>
      <w:r>
        <w:t>5. Conclusion</w:t>
      </w:r>
      <w:bookmarkEnd w:id="32"/>
    </w:p>
    <w:p w14:paraId="28645721" w14:textId="249CD2CB" w:rsidR="004C6E59" w:rsidRDefault="00AC6E03" w:rsidP="00FB5B40">
      <w:pPr>
        <w:spacing w:after="240"/>
        <w:jc w:val="both"/>
      </w:pPr>
      <w:r>
        <w:t>As financial investors in the commodity market increase, portfolio optimization for the commodity market becomes increasingly important</w:t>
      </w:r>
      <w:r w:rsidR="008A1A71">
        <w:t xml:space="preserve"> </w:t>
      </w:r>
      <w:r w:rsidR="008A1A71">
        <w:fldChar w:fldCharType="begin"/>
      </w:r>
      <w:r w:rsidR="008A1A71">
        <w:instrText xml:space="preserve"> ADDIN ZOTERO_ITEM CSL_CITATION {"citationID":"FZjOVJjl","properties":{"formattedCitation":"(Gilbert, 2008)","plainCitation":"(Gilbert, 2008)","noteIndex":0},"citationItems":[{"id":130,"uris":["http://zotero.org/users/13925666/items/MUJGY2HE"],"itemData":{"id":130,"type":"report","abstract":"I distinguish between speculation and index-based investment in commodity futures stressing the differing motivations of the two groups and the differing instruments that they use. I discuss the amounts of money deployed in these activities. I document evidence of extrapolative behaviour in metals prices, consistent with speculation affecting prices, and show that in at least one market (soybeans) index-based investment has a significant and persistent price impact.","genre":"Department of Economics Working Paper","number":"0820","publisher":"Department of Economics, University of Trento, Italia","source":"RePEc - Econpapers","title":"Commodity Speculation and Commodity Investment","URL":"https://econpapers.repec.org/paper/trnutwpde/0820.htm","author":[{"family":"Gilbert","given":"Christopher L."}],"accessed":{"date-parts":[["2024",4,16]]},"issued":{"date-parts":[["2008"]]}}}],"schema":"https://github.com/citation-style-language/schema/raw/master/csl-citation.json"} </w:instrText>
      </w:r>
      <w:r w:rsidR="008A1A71">
        <w:fldChar w:fldCharType="separate"/>
      </w:r>
      <w:r w:rsidR="008A1A71" w:rsidRPr="008A1A71">
        <w:t>(Gilbert, 2008)</w:t>
      </w:r>
      <w:r w:rsidR="008A1A71">
        <w:fldChar w:fldCharType="end"/>
      </w:r>
      <w:r>
        <w:t>.</w:t>
      </w:r>
      <w:r w:rsidR="0093727F">
        <w:t xml:space="preserve"> </w:t>
      </w:r>
      <w:r>
        <w:t xml:space="preserve">The commodity market is characterized by its </w:t>
      </w:r>
      <w:r w:rsidR="0045380C">
        <w:t xml:space="preserve">high </w:t>
      </w:r>
      <w:r>
        <w:t>volatility</w:t>
      </w:r>
      <w:r w:rsidR="00AF7FF5">
        <w:t xml:space="preserve"> and </w:t>
      </w:r>
      <w:r w:rsidR="001278D1">
        <w:t>extreme</w:t>
      </w:r>
      <w:r w:rsidR="00AF7FF5">
        <w:t xml:space="preserve"> </w:t>
      </w:r>
      <w:r w:rsidR="00061DF2">
        <w:t>sensitivity</w:t>
      </w:r>
      <w:r w:rsidR="00AF7FF5">
        <w:t xml:space="preserve"> to </w:t>
      </w:r>
      <w:r w:rsidR="00D429EE" w:rsidRPr="00D429EE">
        <w:t>market economic condition</w:t>
      </w:r>
      <w:r w:rsidR="00D429EE">
        <w:t>s</w:t>
      </w:r>
      <w:r w:rsidR="0015714A">
        <w:t xml:space="preserve"> </w:t>
      </w:r>
      <w:r w:rsidR="0015714A">
        <w:fldChar w:fldCharType="begin"/>
      </w:r>
      <w:r w:rsidR="0015714A">
        <w:instrText xml:space="preserve"> ADDIN ZOTERO_ITEM CSL_CITATION {"citationID":"SehcO0A3","properties":{"formattedCitation":"(Ruano &amp; Barros, 2022)","plainCitation":"(Ruano &amp; Barros, 2022)","noteIndex":0},"citationItems":[{"id":136,"uris":["http://zotero.org/users/13925666/items/EUJ2E9TG"],"itemData":{"id":136,"type":"article-journal","abstract":"This study investigates whether commodities yield diversification benefits to stock portfolios for loss-averse investors using a sample of 16 individual futures contracts and one index of commodity futures. We confirm that commodities are extremely sensitive to market economic conditions. While the energy sector performs better under economic expansion periods, precious metals yield diversification benefits at most times. Livestock commodities display a high potential to reduce risk, especially during recessions. The role of commodities is similar during the global financial and European sovereign debt crises. Commodities are also relevant in the uncertain period of 2020–2022, although patterns are changing. During the COVID-19 period, precious metals do not increase performance, while at the beginning of the 2022 war in Eastern Europe, we find a generalized improvement in portfolios that outperforms all the other subperiods. Overall, this is not a myth, as there remains a diversification benefit, albeit a time-dependent one with a decreasing trend.","container-title":"The Quarterly Review of Economics and Finance","DOI":"10.1016/j.qref.2022.08.003","ISSN":"1062-9769","journalAbbreviation":"The Quarterly Review of Economics and Finance","page":"281-295","source":"ScienceDirect","title":"Commodities and portfolio diversification: Myth or fact?","title-short":"Commodities and portfolio diversification","volume":"86","author":[{"family":"Ruano","given":"Fábio"},{"family":"Barros","given":"Victor"}],"issued":{"date-parts":[["2022",11,1]]}}}],"schema":"https://github.com/citation-style-language/schema/raw/master/csl-citation.json"} </w:instrText>
      </w:r>
      <w:r w:rsidR="0015714A">
        <w:fldChar w:fldCharType="separate"/>
      </w:r>
      <w:r w:rsidR="0015714A" w:rsidRPr="0015714A">
        <w:t>(Ruano &amp; Barros, 2022)</w:t>
      </w:r>
      <w:r w:rsidR="0015714A">
        <w:fldChar w:fldCharType="end"/>
      </w:r>
      <w:r w:rsidR="008F57B7">
        <w:t xml:space="preserve">, which can </w:t>
      </w:r>
      <w:r w:rsidR="008F57B7" w:rsidRPr="008F57B7">
        <w:t xml:space="preserve">lead to significant fluctuations in </w:t>
      </w:r>
      <w:r w:rsidR="00527768">
        <w:t xml:space="preserve">commodity </w:t>
      </w:r>
      <w:r w:rsidR="00146A35">
        <w:t xml:space="preserve">future </w:t>
      </w:r>
      <w:r w:rsidR="00527768">
        <w:t>prices</w:t>
      </w:r>
      <w:r w:rsidR="0015714A">
        <w:t>.</w:t>
      </w:r>
      <w:r>
        <w:t xml:space="preserve"> As a result, diversification and hedging of commodity assets are </w:t>
      </w:r>
      <w:r w:rsidR="009A4C5B">
        <w:t>crucial</w:t>
      </w:r>
      <w:r>
        <w:t xml:space="preserve"> </w:t>
      </w:r>
      <w:r w:rsidR="00E353EC">
        <w:t>for</w:t>
      </w:r>
      <w:r>
        <w:t xml:space="preserve"> </w:t>
      </w:r>
      <w:r w:rsidR="00061DF2">
        <w:t>achieving</w:t>
      </w:r>
      <w:r>
        <w:t xml:space="preserve"> a balance between return and risk based on </w:t>
      </w:r>
      <w:r w:rsidR="00190EDE">
        <w:t>investors’</w:t>
      </w:r>
      <w:r>
        <w:t xml:space="preserve"> investment strategies.</w:t>
      </w:r>
      <w:r w:rsidR="0011747C">
        <w:t xml:space="preserve"> </w:t>
      </w:r>
      <w:r>
        <w:t xml:space="preserve">Based on </w:t>
      </w:r>
      <w:r w:rsidR="00A219EB">
        <w:t xml:space="preserve">the </w:t>
      </w:r>
      <w:r>
        <w:t>empirical analysis</w:t>
      </w:r>
      <w:r w:rsidR="00A219EB">
        <w:t xml:space="preserve"> of this thesis</w:t>
      </w:r>
      <w:r>
        <w:t xml:space="preserve">, energy commodities </w:t>
      </w:r>
      <w:r w:rsidR="00E14F9A">
        <w:t>can provide</w:t>
      </w:r>
      <w:r>
        <w:t xml:space="preserve"> high</w:t>
      </w:r>
      <w:r w:rsidR="00E14F9A">
        <w:t>er</w:t>
      </w:r>
      <w:r>
        <w:t xml:space="preserve"> returns but bear excessive risk. To achieve investment objectives tailored to</w:t>
      </w:r>
      <w:r w:rsidR="000970E2">
        <w:t xml:space="preserve"> </w:t>
      </w:r>
      <w:r w:rsidR="00477EA3">
        <w:t>higher</w:t>
      </w:r>
      <w:r w:rsidR="000970E2">
        <w:t xml:space="preserve"> </w:t>
      </w:r>
      <w:r>
        <w:t xml:space="preserve">risk </w:t>
      </w:r>
      <w:r w:rsidR="000970E2">
        <w:t xml:space="preserve">aversion </w:t>
      </w:r>
      <w:r w:rsidR="001278D1">
        <w:t>levels</w:t>
      </w:r>
      <w:r>
        <w:t xml:space="preserve">, </w:t>
      </w:r>
      <w:r w:rsidR="00C75912">
        <w:t xml:space="preserve">adding </w:t>
      </w:r>
      <w:r w:rsidR="00FD6AE5">
        <w:t xml:space="preserve">more </w:t>
      </w:r>
      <w:r w:rsidR="00D65BF2">
        <w:t xml:space="preserve">investment </w:t>
      </w:r>
      <w:r w:rsidR="00EE37E3">
        <w:t>proportion</w:t>
      </w:r>
      <w:r>
        <w:t xml:space="preserve"> </w:t>
      </w:r>
      <w:r w:rsidR="00CF44E2">
        <w:t>of</w:t>
      </w:r>
      <w:r w:rsidR="00BC4186">
        <w:t xml:space="preserve"> </w:t>
      </w:r>
      <w:r>
        <w:t xml:space="preserve">metal and agricultural commodities is crucial for </w:t>
      </w:r>
      <w:r w:rsidR="001278D1">
        <w:t>achieving</w:t>
      </w:r>
      <w:r w:rsidR="00123AB5">
        <w:t xml:space="preserve"> </w:t>
      </w:r>
      <w:r>
        <w:t xml:space="preserve">the desired </w:t>
      </w:r>
      <w:r w:rsidR="004A67A4">
        <w:t>goals</w:t>
      </w:r>
      <w:r>
        <w:t>.</w:t>
      </w:r>
      <w:r w:rsidR="000649E1">
        <w:t xml:space="preserve"> </w:t>
      </w:r>
      <w:r w:rsidR="00641DE8">
        <w:t xml:space="preserve">Also, the </w:t>
      </w:r>
      <w:r w:rsidR="005561DB">
        <w:t xml:space="preserve">efficiency of </w:t>
      </w:r>
      <w:r w:rsidR="001278D1">
        <w:t>diversification</w:t>
      </w:r>
      <w:r w:rsidR="005561DB">
        <w:t xml:space="preserve"> o</w:t>
      </w:r>
      <w:r w:rsidR="001278D1">
        <w:t>f</w:t>
      </w:r>
      <w:r w:rsidR="005561DB">
        <w:t xml:space="preserve"> energy, meta</w:t>
      </w:r>
      <w:r w:rsidR="001278D1">
        <w:t>l,</w:t>
      </w:r>
      <w:r w:rsidR="005561DB">
        <w:t xml:space="preserve"> and </w:t>
      </w:r>
      <w:r w:rsidR="002D7704">
        <w:t>agricultural commodities</w:t>
      </w:r>
      <w:r w:rsidR="005561DB">
        <w:t xml:space="preserve"> is </w:t>
      </w:r>
      <w:r w:rsidR="002D7704">
        <w:t>further</w:t>
      </w:r>
      <w:r w:rsidR="005561DB">
        <w:t xml:space="preserve"> </w:t>
      </w:r>
      <w:r w:rsidR="00024E08">
        <w:t>confirmed</w:t>
      </w:r>
      <w:r w:rsidR="005561DB">
        <w:t xml:space="preserve">. </w:t>
      </w:r>
      <w:r w:rsidR="004F3260">
        <w:t xml:space="preserve">Overall, this study can </w:t>
      </w:r>
      <w:r w:rsidR="00236DC7">
        <w:t>help</w:t>
      </w:r>
      <w:r w:rsidR="002252B1">
        <w:t xml:space="preserve"> commodity</w:t>
      </w:r>
      <w:r w:rsidR="00236DC7">
        <w:t xml:space="preserve"> </w:t>
      </w:r>
      <w:r w:rsidR="00236DC7" w:rsidRPr="00236DC7">
        <w:t>market participants</w:t>
      </w:r>
      <w:r w:rsidR="00236DC7">
        <w:t>,</w:t>
      </w:r>
      <w:r w:rsidR="00196CB5">
        <w:t xml:space="preserve"> </w:t>
      </w:r>
      <w:r w:rsidR="006636AB">
        <w:t>especially</w:t>
      </w:r>
      <w:r w:rsidR="00236DC7">
        <w:t xml:space="preserve"> </w:t>
      </w:r>
      <w:r w:rsidR="002252B1">
        <w:t>fin</w:t>
      </w:r>
      <w:r w:rsidR="00631844">
        <w:t xml:space="preserve">ancial investors, </w:t>
      </w:r>
      <w:r w:rsidR="00EB27BE">
        <w:t xml:space="preserve">understand the dynamic </w:t>
      </w:r>
      <w:r w:rsidR="0046500E" w:rsidRPr="0046500E">
        <w:t xml:space="preserve">interconnectedness </w:t>
      </w:r>
      <w:r w:rsidR="00D16540">
        <w:t>among</w:t>
      </w:r>
      <w:r w:rsidR="0046500E" w:rsidRPr="0046500E">
        <w:t xml:space="preserve"> </w:t>
      </w:r>
      <w:r w:rsidR="00D16540">
        <w:t xml:space="preserve">different </w:t>
      </w:r>
      <w:r w:rsidR="0046500E" w:rsidRPr="0046500E">
        <w:t xml:space="preserve">commodity </w:t>
      </w:r>
      <w:r w:rsidR="00D16540">
        <w:t xml:space="preserve">futures and </w:t>
      </w:r>
      <w:r w:rsidR="00C109E0">
        <w:t xml:space="preserve">build commodity </w:t>
      </w:r>
      <w:r w:rsidR="006636AB">
        <w:t>portfolios</w:t>
      </w:r>
      <w:r w:rsidR="00C109E0">
        <w:t xml:space="preserve"> </w:t>
      </w:r>
      <w:r w:rsidR="002168A0">
        <w:t>with rebala</w:t>
      </w:r>
      <w:r w:rsidR="00FA3761">
        <w:t>n</w:t>
      </w:r>
      <w:r w:rsidR="002168A0">
        <w:t xml:space="preserve">cing </w:t>
      </w:r>
      <w:r w:rsidR="00B7255D">
        <w:t>directions.</w:t>
      </w:r>
      <w:r w:rsidR="00833003">
        <w:t xml:space="preserve"> </w:t>
      </w:r>
    </w:p>
    <w:p w14:paraId="36EEE6DA" w14:textId="49B054E1" w:rsidR="00523627" w:rsidRDefault="00F03751" w:rsidP="00523627">
      <w:pPr>
        <w:spacing w:after="240"/>
        <w:jc w:val="both"/>
      </w:pPr>
      <w:r>
        <w:t xml:space="preserve">This study has </w:t>
      </w:r>
      <w:r w:rsidR="00EB1B77">
        <w:t>limits</w:t>
      </w:r>
      <w:r>
        <w:t xml:space="preserve">. </w:t>
      </w:r>
      <w:r w:rsidR="00C137AC">
        <w:t xml:space="preserve">As this </w:t>
      </w:r>
      <w:r w:rsidR="00087E15">
        <w:t>study</w:t>
      </w:r>
      <w:r w:rsidR="00C137AC">
        <w:t xml:space="preserve"> </w:t>
      </w:r>
      <w:r w:rsidR="00C8609A">
        <w:t>focuses</w:t>
      </w:r>
      <w:r w:rsidR="00C137AC">
        <w:t xml:space="preserve"> solely</w:t>
      </w:r>
      <w:r w:rsidR="0086567F">
        <w:t xml:space="preserve"> on</w:t>
      </w:r>
      <w:r w:rsidR="00C137AC">
        <w:t xml:space="preserve"> </w:t>
      </w:r>
      <w:r w:rsidR="00B92F8F">
        <w:t xml:space="preserve">portfolio </w:t>
      </w:r>
      <w:r w:rsidR="00D10AF2">
        <w:t>investment</w:t>
      </w:r>
      <w:r w:rsidR="00C137AC">
        <w:t xml:space="preserve"> </w:t>
      </w:r>
      <w:r w:rsidR="004D6DB4">
        <w:t xml:space="preserve">in </w:t>
      </w:r>
      <w:r w:rsidR="00C137AC">
        <w:t xml:space="preserve">the commodity </w:t>
      </w:r>
      <w:r w:rsidR="00D10AF2">
        <w:t>futures</w:t>
      </w:r>
      <w:r w:rsidR="00C137AC">
        <w:t xml:space="preserve"> market</w:t>
      </w:r>
      <w:r w:rsidR="004C221B">
        <w:t xml:space="preserve">, the hedge of </w:t>
      </w:r>
      <w:r w:rsidR="00C8609A">
        <w:t>one</w:t>
      </w:r>
      <w:r w:rsidR="004C221B">
        <w:t xml:space="preserve"> commodity futures is </w:t>
      </w:r>
      <w:r w:rsidR="00C8609A">
        <w:t>simply</w:t>
      </w:r>
      <w:r w:rsidR="004C221B">
        <w:t xml:space="preserve"> the </w:t>
      </w:r>
      <w:r w:rsidR="00C8609A">
        <w:t>commodity future</w:t>
      </w:r>
      <w:r w:rsidR="0049667E">
        <w:t xml:space="preserve"> of </w:t>
      </w:r>
      <w:r w:rsidR="009D44B6">
        <w:t xml:space="preserve">the </w:t>
      </w:r>
      <w:r w:rsidR="0049667E">
        <w:t>other</w:t>
      </w:r>
      <w:r w:rsidR="00C8609A">
        <w:t xml:space="preserve">. However, the </w:t>
      </w:r>
      <w:r w:rsidR="00DF5F45">
        <w:t>commodity</w:t>
      </w:r>
      <w:r w:rsidR="00C8609A">
        <w:t xml:space="preserve"> spot market can </w:t>
      </w:r>
      <w:r w:rsidR="00E92CB5">
        <w:t>also</w:t>
      </w:r>
      <w:r w:rsidR="00C8609A">
        <w:t xml:space="preserve"> </w:t>
      </w:r>
      <w:r w:rsidR="00E92CB5">
        <w:t>provide</w:t>
      </w:r>
      <w:r w:rsidR="00C8609A">
        <w:t xml:space="preserve"> the </w:t>
      </w:r>
      <w:r w:rsidR="00DD5610">
        <w:t>opportunity</w:t>
      </w:r>
      <w:r w:rsidR="00C8609A">
        <w:t xml:space="preserve"> fo</w:t>
      </w:r>
      <w:r w:rsidR="00764398">
        <w:t>r</w:t>
      </w:r>
      <w:r w:rsidR="00C8609A">
        <w:t xml:space="preserve"> </w:t>
      </w:r>
      <w:r w:rsidR="00FC2D0A">
        <w:t>hedging</w:t>
      </w:r>
      <w:r w:rsidR="00C8609A">
        <w:t xml:space="preserve"> to reduce risk</w:t>
      </w:r>
      <w:r w:rsidR="00831172">
        <w:t xml:space="preserve"> </w:t>
      </w:r>
      <w:r w:rsidR="00897412">
        <w:fldChar w:fldCharType="begin"/>
      </w:r>
      <w:r w:rsidR="00897412">
        <w:instrText xml:space="preserve"> ADDIN ZOTERO_ITEM CSL_CITATION {"citationID":"iO5VxDD5","properties":{"formattedCitation":"(Gulley &amp; Tilton, 2014)","plainCitation":"(Gulley &amp; Tilton, 2014)","noteIndex":0},"citationItems":[{"id":54,"uris":["http://zotero.org/users/13925666/items/6VEXJ2X7"],"itemData":{"id":54,"type":"article-journal","abstract":"In their recent article, Tilton et al. (2011, Resour. Policy, 36, 187–195) contend on the basis of conceptual and theoretical arguments that spot and futures prices for metals and other commodities should be closely correlated during periods of strong contango and much less correlated during periods of backwardation or weak contango. If true, this hypothesis implies that speculation and investor demand, most of which takes place on futures markets, should affect spot prices much less or not at all during periods of backwardation or weak contango. This study provides an empirical test of this hypothesis using daily changes in LME average copper prices over the 1994–2011 period. It finds that the correlation coefficients between day-to-day changes in spot and futures prices are quite close to 1 during periods of strong contango. During periods of backwardation and weak contango, the correlations are positive but lower. These findings provide empirical support for the hypothesis advanced by Tilton et al. that investor demand on futures markets affects spot and futures prices similarly when the markets are in strong contango but somewhat less so when they are in weak contango or backwardation.","container-title":"Resources Policy","DOI":"10.1016/j.resourpol.2014.03.005","ISSN":"0301-4207","journalAbbreviation":"Resources Policy","page":"109-112","source":"ScienceDirect","title":"The relationship between spot and futures prices: An empirical analysis","title-short":"The relationship between spot and futures prices","volume":"41","author":[{"family":"Gulley","given":"Andrew"},{"family":"Tilton","given":"John E."}],"issued":{"date-parts":[["2014",9,1]]}}}],"schema":"https://github.com/citation-style-language/schema/raw/master/csl-citation.json"} </w:instrText>
      </w:r>
      <w:r w:rsidR="00897412">
        <w:fldChar w:fldCharType="separate"/>
      </w:r>
      <w:r w:rsidR="00897412" w:rsidRPr="00897412">
        <w:t>(Gulley &amp; Tilton, 2014)</w:t>
      </w:r>
      <w:r w:rsidR="00897412">
        <w:fldChar w:fldCharType="end"/>
      </w:r>
      <w:r w:rsidR="00831172">
        <w:t>.</w:t>
      </w:r>
      <w:r w:rsidR="00C8609A">
        <w:t xml:space="preserve"> </w:t>
      </w:r>
      <w:r w:rsidR="00523627">
        <w:t xml:space="preserve">As for further </w:t>
      </w:r>
      <w:r w:rsidR="0093523C">
        <w:t>analysis</w:t>
      </w:r>
      <w:r w:rsidR="00523627">
        <w:t xml:space="preserve">, </w:t>
      </w:r>
      <w:r w:rsidR="00C2135A">
        <w:t xml:space="preserve">the spot price of </w:t>
      </w:r>
      <w:r w:rsidR="00D06B1E">
        <w:t xml:space="preserve">different </w:t>
      </w:r>
      <w:r w:rsidR="00C2135A">
        <w:t>commodit</w:t>
      </w:r>
      <w:r w:rsidR="00753ACD">
        <w:t>ies</w:t>
      </w:r>
      <w:r w:rsidR="00C2135A">
        <w:t xml:space="preserve"> can al</w:t>
      </w:r>
      <w:r w:rsidR="00764398">
        <w:t>s</w:t>
      </w:r>
      <w:r w:rsidR="00C2135A">
        <w:t xml:space="preserve">o be added to </w:t>
      </w:r>
      <w:r w:rsidR="00962B16">
        <w:t xml:space="preserve">the </w:t>
      </w:r>
      <w:r w:rsidR="0074505B" w:rsidRPr="0074505B">
        <w:t>empirical analysis of this study</w:t>
      </w:r>
      <w:r w:rsidR="0074505B">
        <w:t>. This will increase</w:t>
      </w:r>
      <w:r w:rsidR="00C2135A">
        <w:t xml:space="preserve"> the</w:t>
      </w:r>
      <w:r w:rsidR="00544B0C">
        <w:t xml:space="preserve"> </w:t>
      </w:r>
      <w:r w:rsidR="00F276E7">
        <w:t xml:space="preserve">number of </w:t>
      </w:r>
      <w:r w:rsidR="00C2135A">
        <w:t xml:space="preserve">assets </w:t>
      </w:r>
      <w:r w:rsidR="000D2A4D">
        <w:t>in</w:t>
      </w:r>
      <w:r w:rsidR="00C2135A">
        <w:t xml:space="preserve"> the portfolios</w:t>
      </w:r>
      <w:r w:rsidR="00CC78B0">
        <w:t xml:space="preserve"> of different strategies</w:t>
      </w:r>
      <w:r w:rsidR="0037358C">
        <w:t xml:space="preserve">, which </w:t>
      </w:r>
      <w:r w:rsidR="00FF6E64">
        <w:t>will provide</w:t>
      </w:r>
      <w:r w:rsidR="0037358C">
        <w:t xml:space="preserve"> more </w:t>
      </w:r>
      <w:r w:rsidR="00FF6E64">
        <w:t>opportunities</w:t>
      </w:r>
      <w:r w:rsidR="0037358C">
        <w:t xml:space="preserve"> for portfolio </w:t>
      </w:r>
      <w:r w:rsidR="00FF6E64">
        <w:t>diversification</w:t>
      </w:r>
      <w:r w:rsidR="008D182F">
        <w:t xml:space="preserve"> and </w:t>
      </w:r>
      <w:r w:rsidR="00BD03B4">
        <w:t>hedging</w:t>
      </w:r>
      <w:r w:rsidR="00E26555">
        <w:t>.</w:t>
      </w:r>
      <w:r w:rsidR="00207AD8">
        <w:t xml:space="preserve"> </w:t>
      </w:r>
      <w:r w:rsidR="003B53B6">
        <w:t xml:space="preserve">If the commodity spot prices </w:t>
      </w:r>
      <w:r w:rsidR="00962B16">
        <w:t>are</w:t>
      </w:r>
      <w:r w:rsidR="003B53B6">
        <w:t xml:space="preserve"> added for </w:t>
      </w:r>
      <w:r w:rsidR="00962B16">
        <w:t>analysis</w:t>
      </w:r>
      <w:r w:rsidR="003B53B6">
        <w:t xml:space="preserve">, </w:t>
      </w:r>
      <w:r w:rsidR="0053388C">
        <w:t>other</w:t>
      </w:r>
      <w:r w:rsidR="003B53B6">
        <w:t xml:space="preserve"> factors </w:t>
      </w:r>
      <w:r w:rsidR="007A4464">
        <w:t>such</w:t>
      </w:r>
      <w:r w:rsidR="003B53B6">
        <w:t xml:space="preserve"> </w:t>
      </w:r>
      <w:r w:rsidR="007A4464">
        <w:t>a</w:t>
      </w:r>
      <w:r w:rsidR="003B53B6">
        <w:t>s</w:t>
      </w:r>
      <w:r w:rsidR="007A4464">
        <w:t xml:space="preserve"> </w:t>
      </w:r>
      <w:r w:rsidR="003B53B6">
        <w:t>the t</w:t>
      </w:r>
      <w:r w:rsidR="003B53B6" w:rsidRPr="003B53B6">
        <w:t xml:space="preserve">ransaction </w:t>
      </w:r>
      <w:r w:rsidR="00EC6E20">
        <w:t>c</w:t>
      </w:r>
      <w:r w:rsidR="003B53B6" w:rsidRPr="003B53B6">
        <w:t>osts</w:t>
      </w:r>
      <w:r w:rsidR="003B53B6">
        <w:t xml:space="preserve"> and market liquidity might also need to be </w:t>
      </w:r>
      <w:r w:rsidR="008C2C0A">
        <w:t>considered</w:t>
      </w:r>
      <w:r w:rsidR="003B53B6">
        <w:t>.</w:t>
      </w:r>
      <w:r w:rsidR="00EC6E20">
        <w:t xml:space="preserve"> </w:t>
      </w:r>
      <w:r w:rsidR="004038C7">
        <w:t xml:space="preserve">Additionally, a wide range of </w:t>
      </w:r>
      <w:r w:rsidR="00F4233B">
        <w:t>researchers</w:t>
      </w:r>
      <w:r w:rsidR="004038C7">
        <w:t xml:space="preserve"> ha</w:t>
      </w:r>
      <w:r w:rsidR="00F4233B">
        <w:t xml:space="preserve">ve studied the interaction between </w:t>
      </w:r>
      <w:r w:rsidR="00AB61D9">
        <w:t xml:space="preserve">the </w:t>
      </w:r>
      <w:r w:rsidR="00F4233B">
        <w:t>commodit</w:t>
      </w:r>
      <w:r w:rsidR="00F74317">
        <w:t>y</w:t>
      </w:r>
      <w:r w:rsidR="00F4233B">
        <w:t xml:space="preserve"> market and other </w:t>
      </w:r>
      <w:r w:rsidR="00061DF2">
        <w:t>markets</w:t>
      </w:r>
      <w:r w:rsidR="00F4233B">
        <w:t>, such as</w:t>
      </w:r>
      <w:r w:rsidR="00061DF2">
        <w:t xml:space="preserve"> the </w:t>
      </w:r>
      <w:r w:rsidR="009153DA">
        <w:t xml:space="preserve">stock market, real estate </w:t>
      </w:r>
      <w:r w:rsidR="00AB61D9">
        <w:t>market</w:t>
      </w:r>
      <w:r w:rsidR="009153DA">
        <w:t xml:space="preserve">, or Bitcoin </w:t>
      </w:r>
      <w:r w:rsidR="00E93EC0">
        <w:t xml:space="preserve">market </w:t>
      </w:r>
      <w:r w:rsidR="009153DA">
        <w:fldChar w:fldCharType="begin"/>
      </w:r>
      <w:r w:rsidR="00E93EC0">
        <w:instrText xml:space="preserve"> ADDIN ZOTERO_ITEM CSL_CITATION {"citationID":"bQMeEo7E","properties":{"formattedCitation":"(Alshammari &amp; Obeid, 2023; Joo &amp; Park, 2024; Raza et al., 2018)","plainCitation":"(Alshammari &amp; Obeid, 2023; Joo &amp; Park, 2024; Raza et al., 2018)","noteIndex":0},"citationItems":[{"id":76,"uris":["http://zotero.org/users/13925666/items/7TIVIC77"],"itemData":{"id":76,"type":"article-journal","abstract":"The focus of this paper is on analyzing the behavior of commodity futures indices and stock market indices in terms of price volatility and hedging. Specifically, we explore the weekly hedging strategies generated by two types of asymmetric dynamic conditional correlation (DCC) processes: return-based and range-based. We evaluate the effectiveness of these strategies for both short and long hedgers, using measures such as semi-variance, low partial moment, and conditional value-at-risk. Our findings reveal that, in general, the range-based DCC model is more effective than the return-based DCC model for hedging purposes.","container-title":"Finance Research Letters","DOI":"10.1016/j.frl.2023.104081","ISSN":"1544-6123","journalAbbreviation":"Finance Research Letters","page":"104081","source":"ScienceDirect","title":"Analyzing commodity futures and stock market indices: Hedging strategies using asymmetric dynamic conditional correlation models","title-short":"Analyzing commodity futures and stock market indices","volume":"56","author":[{"family":"Alshammari","given":"Saad"},{"family":"Obeid","given":"Hassan"}],"issued":{"date-parts":[["2023",9,1]]}}},{"id":132,"uris":["http://zotero.org/users/13925666/items/33MBUWFI"],"itemData":{"id":132,"type":"article-journal","abstract":"There is increased interest in the dynamic relationships between cryptocurrency and commodity futures. This study examines the hedging performance of four well-known commodity futures against fluctuations in Bitcoin prices. Furthermore, this study used the DCC- and ADCC-MGARCH models to estimate conditional correlations and time-varying optimal hedge ratios between the returns of copper, gas, gold, and crude oil futures, and Bitcoin. We use a rolling window method to calculate one-step-ahead time-varying optimal hedge ratios and evaluate hedging performance. The empirical results show that gas and gold have hedge benefits to Bitcoin. However, crude oil shows poor hedge performance. From the results of one-step-ahead hedge ratios, for copper and oil, we find that hedge ratios increased and hedge effectiveness improved since the COVID-19 outbreak.","container-title":"The North American Journal of Economics and Finance","DOI":"10.1016/j.najef.2024.102127","ISSN":"1062-9408","journalAbbreviation":"The North American Journal of Economics and Finance","page":"102127","source":"ScienceDirect","title":"Hedging Bitcoin with commodity futures: An analysis with copper, gas, gold, and crude oil futures","title-short":"Hedging Bitcoin with commodity futures","volume":"72","author":[{"family":"Joo","given":"Young C."},{"family":"Park","given":"Sung Y."}],"issued":{"date-parts":[["2024",5,1]]}}},{"id":74,"uris":["http://zotero.org/users/13925666/items/F4UR2TH6"],"itemData":{"id":74,"type":"article-journal","abstract":"We examine the hedging performance of commodities futures for US real estate portfolios in a multi-scale setting. Dynamic asymmetric conditional correlations and thereafter optimal hedge ratios of real estate stock returns with commodities index, gold, oil and bond returns are estimated to examine hedge effectiveness under heterogeneous market expectations. Rolling window based out-of-sample one-step-ahead forecasts show that commodities index (gold) provide the best hedge to US real estate stocks for short-term (long-term) investments. The results are robust to the choice of model refits and rolling window sizes and provide useful implications for alternate markets’ investors.","container-title":"Resources Policy","DOI":"10.1016/j.resourpol.2018.01.001","ISSN":"0301-4207","journalAbbreviation":"Resources Policy","page":"10-29","source":"ScienceDirect","title":"Do commodities effectively hedge real estate risk? A multi-scale asymmetric DCC approach","title-short":"Do commodities effectively hedge real estate risk?","volume":"57","author":[{"family":"Raza","given":"Naveed"},{"family":"Ali","given":"Sajid"},{"family":"Shahzad","given":"Syed Jawad Hussain"},{"family":"Raza","given":"Syed Ali"}],"issued":{"date-parts":[["2018",8,1]]}}}],"schema":"https://github.com/citation-style-language/schema/raw/master/csl-citation.json"} </w:instrText>
      </w:r>
      <w:r w:rsidR="009153DA">
        <w:fldChar w:fldCharType="separate"/>
      </w:r>
      <w:r w:rsidR="00E93EC0" w:rsidRPr="00E93EC0">
        <w:t>(Alshammari &amp; Obeid, 2023; Joo &amp; Park, 2024; Raza et al., 2018)</w:t>
      </w:r>
      <w:r w:rsidR="009153DA">
        <w:fldChar w:fldCharType="end"/>
      </w:r>
      <w:r w:rsidR="00265CD0">
        <w:t xml:space="preserve">. </w:t>
      </w:r>
      <w:r w:rsidR="00DE471D">
        <w:t>These markets can also provide diversification or hedg</w:t>
      </w:r>
      <w:r w:rsidR="00657AE7">
        <w:t>ing</w:t>
      </w:r>
      <w:r w:rsidR="00DE471D">
        <w:t xml:space="preserve"> </w:t>
      </w:r>
      <w:r w:rsidR="00555B57">
        <w:t>possibilities</w:t>
      </w:r>
      <w:r w:rsidR="00DE471D">
        <w:t xml:space="preserve"> </w:t>
      </w:r>
      <w:r w:rsidR="00CF2A22">
        <w:t>for</w:t>
      </w:r>
      <w:r w:rsidR="00DE471D">
        <w:t xml:space="preserve"> </w:t>
      </w:r>
      <w:r w:rsidR="00CF2A22">
        <w:t>the</w:t>
      </w:r>
      <w:r w:rsidR="00DE471D">
        <w:t xml:space="preserve"> commodity market.</w:t>
      </w:r>
      <w:r w:rsidR="00AB61D9">
        <w:t xml:space="preserve"> </w:t>
      </w:r>
    </w:p>
    <w:p w14:paraId="77E451A9" w14:textId="77777777" w:rsidR="00FB5B40" w:rsidRDefault="00FB5B40" w:rsidP="00FB5B40">
      <w:pPr>
        <w:spacing w:after="240"/>
        <w:jc w:val="both"/>
      </w:pPr>
    </w:p>
    <w:p w14:paraId="7EB75718" w14:textId="3A89477F" w:rsidR="00D640F1" w:rsidRDefault="002A0B51" w:rsidP="00FD3BFC">
      <w:r>
        <w:br w:type="page"/>
      </w:r>
      <w:bookmarkStart w:id="33" w:name="_yh7e66vatqo9" w:colFirst="0" w:colLast="0"/>
      <w:bookmarkStart w:id="34" w:name="_kcscvgn4l1x4" w:colFirst="0" w:colLast="0"/>
      <w:bookmarkEnd w:id="33"/>
      <w:bookmarkEnd w:id="34"/>
    </w:p>
    <w:p w14:paraId="5A95283B" w14:textId="77777777" w:rsidR="00D640F1" w:rsidRDefault="00000000">
      <w:pPr>
        <w:pStyle w:val="Heading1"/>
        <w:jc w:val="both"/>
      </w:pPr>
      <w:bookmarkStart w:id="35" w:name="_Toc167478299"/>
      <w:r>
        <w:t>References</w:t>
      </w:r>
      <w:bookmarkEnd w:id="35"/>
    </w:p>
    <w:p w14:paraId="79DAE920" w14:textId="77777777" w:rsidR="00AF742A" w:rsidRDefault="00B0055A" w:rsidP="00382D39">
      <w:pPr>
        <w:pStyle w:val="Bibliography"/>
        <w:spacing w:after="0"/>
        <w:jc w:val="both"/>
      </w:pPr>
      <w:r>
        <w:fldChar w:fldCharType="begin"/>
      </w:r>
      <w:r w:rsidR="00797B55">
        <w:rPr>
          <w:lang w:val="en-US"/>
        </w:rPr>
        <w:instrText xml:space="preserve"> ADDIN ZOTERO_BIBL {"uncited":[],"omitted":[],"custom":[]} CSL_BIBLIOGRAPHY </w:instrText>
      </w:r>
      <w:r>
        <w:fldChar w:fldCharType="separate"/>
      </w:r>
      <w:r w:rsidR="00AF742A">
        <w:t xml:space="preserve">Abdul Aziz, N. S., Vrontos, S. &amp; M. Hasim, H. (2019). Evaluation of Multivariate GARCH Models in an Optimal Asset Allocation Framework, </w:t>
      </w:r>
      <w:r w:rsidR="00AF742A">
        <w:rPr>
          <w:i/>
          <w:iCs/>
        </w:rPr>
        <w:t>The North American Journal of Economics and Finance</w:t>
      </w:r>
      <w:r w:rsidR="00AF742A">
        <w:t>, vol. 47, pp.568–596</w:t>
      </w:r>
    </w:p>
    <w:p w14:paraId="5E2E7180" w14:textId="77777777" w:rsidR="00AF742A" w:rsidRDefault="00AF742A" w:rsidP="00382D39">
      <w:pPr>
        <w:pStyle w:val="Bibliography"/>
        <w:spacing w:after="0"/>
        <w:jc w:val="both"/>
      </w:pPr>
      <w:r w:rsidRPr="00AF742A">
        <w:rPr>
          <w:lang w:val="sv-SE"/>
        </w:rPr>
        <w:t xml:space="preserve">Adhikari, R. &amp; Putnam, K. J. (2020). </w:t>
      </w:r>
      <w:r>
        <w:t xml:space="preserve">Comovement in the Commodity Futures Markets: An Analysis of the Energy, Grains, and Livestock Sectors, </w:t>
      </w:r>
      <w:r>
        <w:rPr>
          <w:i/>
          <w:iCs/>
        </w:rPr>
        <w:t>Journal of Commodity Markets</w:t>
      </w:r>
      <w:r>
        <w:t>, vol. 18, p.100090</w:t>
      </w:r>
    </w:p>
    <w:p w14:paraId="36C52586" w14:textId="77777777" w:rsidR="00AF742A" w:rsidRDefault="00AF742A" w:rsidP="00382D39">
      <w:pPr>
        <w:pStyle w:val="Bibliography"/>
        <w:spacing w:after="0"/>
        <w:jc w:val="both"/>
      </w:pPr>
      <w:r>
        <w:t xml:space="preserve">Albulescu, C. T., Tiwari, A. K. &amp; Ji, Q. (2020). Copula-Based Local Dependence among Energy, Agriculture and Metal Commodities Markets, </w:t>
      </w:r>
      <w:r>
        <w:rPr>
          <w:i/>
          <w:iCs/>
        </w:rPr>
        <w:t>Energy</w:t>
      </w:r>
      <w:r>
        <w:t>, vol. 202, p.117762</w:t>
      </w:r>
    </w:p>
    <w:p w14:paraId="443D6058" w14:textId="77777777" w:rsidR="00AF742A" w:rsidRDefault="00AF742A" w:rsidP="00382D39">
      <w:pPr>
        <w:pStyle w:val="Bibliography"/>
        <w:spacing w:after="0"/>
        <w:jc w:val="both"/>
      </w:pPr>
      <w:r>
        <w:t xml:space="preserve">Alshammari, S. &amp; Obeid, H. (2023). Analyzing Commodity Futures and Stock Market Indices: Hedging Strategies Using Asymmetric Dynamic Conditional Correlation Models, </w:t>
      </w:r>
      <w:r>
        <w:rPr>
          <w:i/>
          <w:iCs/>
        </w:rPr>
        <w:t>Finance Research Letters</w:t>
      </w:r>
      <w:r>
        <w:t>, vol. 56, p.104081</w:t>
      </w:r>
    </w:p>
    <w:p w14:paraId="01A5E192" w14:textId="77777777" w:rsidR="00AF742A" w:rsidRDefault="00AF742A" w:rsidP="00382D39">
      <w:pPr>
        <w:pStyle w:val="Bibliography"/>
        <w:spacing w:after="0"/>
        <w:jc w:val="both"/>
      </w:pPr>
      <w:r>
        <w:t xml:space="preserve">Bedoui, R., Benkraiem, R., Guesmi, K. &amp; Kedidi, I. (2023). Portfolio Optimization through Hybrid Deep Learning and Genetic Algorithms Vine Copula-GARCH-EVT-CVaR Model, </w:t>
      </w:r>
      <w:r>
        <w:rPr>
          <w:i/>
          <w:iCs/>
        </w:rPr>
        <w:t>Technological Forecasting and Social Change</w:t>
      </w:r>
      <w:r>
        <w:t>, vol. 197, p.122887</w:t>
      </w:r>
    </w:p>
    <w:p w14:paraId="53CB4A19" w14:textId="77777777" w:rsidR="00AF742A" w:rsidRDefault="00AF742A" w:rsidP="00382D39">
      <w:pPr>
        <w:pStyle w:val="Bibliography"/>
        <w:spacing w:after="0"/>
        <w:jc w:val="both"/>
      </w:pPr>
      <w:r>
        <w:t xml:space="preserve">Bollerslev, T. (1990). Modelling the Coherence in Short-Run Nominal Exchange Rates: A Multivariate Generalized ARCH Model, </w:t>
      </w:r>
      <w:r>
        <w:rPr>
          <w:i/>
          <w:iCs/>
        </w:rPr>
        <w:t>The review of economics and statistics</w:t>
      </w:r>
      <w:r>
        <w:t>, pp.498–505</w:t>
      </w:r>
    </w:p>
    <w:p w14:paraId="38E6736E" w14:textId="77777777" w:rsidR="00AF742A" w:rsidRDefault="00AF742A" w:rsidP="00382D39">
      <w:pPr>
        <w:pStyle w:val="Bibliography"/>
        <w:spacing w:after="0"/>
        <w:jc w:val="both"/>
      </w:pPr>
      <w:r>
        <w:t xml:space="preserve">Bollerslev, T., Engle, R. F. &amp; Wooldridge, J. M. (1988). A Capital Asset Pricing Model with Time-Varying Covariances, </w:t>
      </w:r>
      <w:r>
        <w:rPr>
          <w:i/>
          <w:iCs/>
        </w:rPr>
        <w:t>Journal of Political Economy</w:t>
      </w:r>
      <w:r>
        <w:t>, vol. 96, no. 1, pp.116–131</w:t>
      </w:r>
    </w:p>
    <w:p w14:paraId="7BE719CD" w14:textId="77777777" w:rsidR="00AF742A" w:rsidRDefault="00AF742A" w:rsidP="00382D39">
      <w:pPr>
        <w:pStyle w:val="Bibliography"/>
        <w:spacing w:after="0"/>
        <w:jc w:val="both"/>
      </w:pPr>
      <w:r w:rsidRPr="00AF742A">
        <w:rPr>
          <w:lang w:val="sv-SE"/>
        </w:rPr>
        <w:t xml:space="preserve">de Almeida, D., Hotta, L. K. &amp; Ruiz, E. (2018). </w:t>
      </w:r>
      <w:r>
        <w:t xml:space="preserve">MGARCH Models: Trade-off between Feasibility and Flexibility, </w:t>
      </w:r>
      <w:r>
        <w:rPr>
          <w:i/>
          <w:iCs/>
        </w:rPr>
        <w:t>International Journal of Forecasting</w:t>
      </w:r>
      <w:r>
        <w:t>, vol. 34, no. 1, pp.45–63</w:t>
      </w:r>
    </w:p>
    <w:p w14:paraId="6BD5BB51" w14:textId="77777777" w:rsidR="00AF742A" w:rsidRDefault="00AF742A" w:rsidP="00382D39">
      <w:pPr>
        <w:pStyle w:val="Bibliography"/>
        <w:spacing w:after="0"/>
        <w:jc w:val="both"/>
      </w:pPr>
      <w:r>
        <w:t xml:space="preserve">Dojima Rice Exchange. (2024). </w:t>
      </w:r>
      <w:r>
        <w:rPr>
          <w:i/>
          <w:iCs/>
        </w:rPr>
        <w:t>Dojima Rice Exchange</w:t>
      </w:r>
      <w:r>
        <w:t>, Available Online: https://www.jpx.co.jp/dojima/en/index.html [Accessed 15 April 2024]</w:t>
      </w:r>
    </w:p>
    <w:p w14:paraId="017FF75C" w14:textId="77777777" w:rsidR="00AF742A" w:rsidRDefault="00AF742A" w:rsidP="00382D39">
      <w:pPr>
        <w:pStyle w:val="Bibliography"/>
        <w:spacing w:after="0"/>
        <w:jc w:val="both"/>
      </w:pPr>
      <w:r>
        <w:t>Domanski, D. &amp; Heath, A. (2007). Financial Investors and Commodity Markets, SSRN Scholarly Paper, 1600058, Available Online: https://papers.ssrn.com/abstract=1600058 [Accessed 20 May 2024]</w:t>
      </w:r>
    </w:p>
    <w:p w14:paraId="25412B50" w14:textId="77777777" w:rsidR="00AF742A" w:rsidRDefault="00AF742A" w:rsidP="00382D39">
      <w:pPr>
        <w:pStyle w:val="Bibliography"/>
        <w:spacing w:after="0"/>
        <w:jc w:val="both"/>
      </w:pPr>
      <w:r>
        <w:t xml:space="preserve">Duan, K., Ren, X., Wen, F. &amp; Chen, J. (2023). Evolution of the Information Transmission between Chinese and International Oil Markets: A Quantile-Based Framework, </w:t>
      </w:r>
      <w:r>
        <w:rPr>
          <w:i/>
          <w:iCs/>
        </w:rPr>
        <w:t>Journal of Commodity Markets</w:t>
      </w:r>
      <w:r>
        <w:t>, vol. 29, p.100304</w:t>
      </w:r>
    </w:p>
    <w:p w14:paraId="502759F4" w14:textId="77777777" w:rsidR="00AF742A" w:rsidRDefault="00AF742A" w:rsidP="00382D39">
      <w:pPr>
        <w:pStyle w:val="Bibliography"/>
        <w:spacing w:after="0"/>
        <w:jc w:val="both"/>
      </w:pPr>
      <w:r>
        <w:t xml:space="preserve">Ederington, L. H. (1979). The Hedging Performance of the New Futures Markets, </w:t>
      </w:r>
      <w:r>
        <w:rPr>
          <w:i/>
          <w:iCs/>
        </w:rPr>
        <w:t>The journal of finance</w:t>
      </w:r>
      <w:r>
        <w:t>, vol. 34, no. 1, pp.157–170</w:t>
      </w:r>
    </w:p>
    <w:p w14:paraId="10B2CC55" w14:textId="77777777" w:rsidR="00AF742A" w:rsidRDefault="00AF742A" w:rsidP="00382D39">
      <w:pPr>
        <w:pStyle w:val="Bibliography"/>
        <w:spacing w:after="0"/>
        <w:jc w:val="both"/>
      </w:pPr>
      <w:r>
        <w:t xml:space="preserve">Engle, R. F. (1982). Autoregressive Conditional Heteroscedasticity with Estimates of the Variance of United Kingdom Inflation, </w:t>
      </w:r>
      <w:r>
        <w:rPr>
          <w:i/>
          <w:iCs/>
        </w:rPr>
        <w:t>Econometrica</w:t>
      </w:r>
      <w:r>
        <w:t>, vol. 50, no. 4, pp.987–1007</w:t>
      </w:r>
    </w:p>
    <w:p w14:paraId="36559D37" w14:textId="77777777" w:rsidR="00AF742A" w:rsidRDefault="00AF742A" w:rsidP="00382D39">
      <w:pPr>
        <w:pStyle w:val="Bibliography"/>
        <w:spacing w:after="0"/>
        <w:jc w:val="both"/>
      </w:pPr>
      <w:r w:rsidRPr="00AF742A">
        <w:rPr>
          <w:lang w:val="sv-SE"/>
        </w:rPr>
        <w:t xml:space="preserve">Engle, R. F. &amp; Kroner, K. F. (1995). </w:t>
      </w:r>
      <w:r>
        <w:t xml:space="preserve">Multivariate Simultaneous Generalized ARCH, </w:t>
      </w:r>
      <w:r>
        <w:rPr>
          <w:i/>
          <w:iCs/>
        </w:rPr>
        <w:t>Econometric theory</w:t>
      </w:r>
      <w:r>
        <w:t>, vol. 11, no. 1, pp.122–150</w:t>
      </w:r>
    </w:p>
    <w:p w14:paraId="0D7D13A3" w14:textId="77777777" w:rsidR="00AF742A" w:rsidRDefault="00AF742A" w:rsidP="00382D39">
      <w:pPr>
        <w:pStyle w:val="Bibliography"/>
        <w:spacing w:after="0"/>
        <w:jc w:val="both"/>
      </w:pPr>
      <w:r>
        <w:t xml:space="preserve">Fousekis, P. &amp; Grigoriadis, V. (2017). Price Co-Movement and the Crack Spread in the US Futures Markets, </w:t>
      </w:r>
      <w:r>
        <w:rPr>
          <w:i/>
          <w:iCs/>
        </w:rPr>
        <w:t>Journal of Commodity Markets</w:t>
      </w:r>
      <w:r>
        <w:t>, vol. 7, pp.57–71</w:t>
      </w:r>
    </w:p>
    <w:p w14:paraId="126700BA" w14:textId="77777777" w:rsidR="00AF742A" w:rsidRDefault="00AF742A" w:rsidP="00382D39">
      <w:pPr>
        <w:pStyle w:val="Bibliography"/>
        <w:spacing w:after="0"/>
        <w:jc w:val="both"/>
      </w:pPr>
      <w:r>
        <w:t xml:space="preserve">Furuoka, F., Yaya, O. S., Ling, P. K., Al-Faryan, M. A. S. &amp; Islam, M. N. (2023). Transmission of Risks between Energy and Agricultural Commodities: Frequency Time-Varying VAR, Asymmetry and Portfolio Management, </w:t>
      </w:r>
      <w:r>
        <w:rPr>
          <w:i/>
          <w:iCs/>
        </w:rPr>
        <w:t>Resources Policy</w:t>
      </w:r>
      <w:r>
        <w:t>, vol. 81, p.103339</w:t>
      </w:r>
    </w:p>
    <w:p w14:paraId="14938F01" w14:textId="77777777" w:rsidR="00AF742A" w:rsidRDefault="00AF742A" w:rsidP="00382D39">
      <w:pPr>
        <w:pStyle w:val="Bibliography"/>
        <w:spacing w:after="0"/>
        <w:jc w:val="both"/>
      </w:pPr>
      <w:r>
        <w:t xml:space="preserve">Gaete, M. &amp; Herrera, R. (2023). Diversification Benefits of Commodities in Portfolio Allocation: A Dynamic Factor Copula Approach, </w:t>
      </w:r>
      <w:r>
        <w:rPr>
          <w:i/>
          <w:iCs/>
        </w:rPr>
        <w:t>Journal of Commodity Markets</w:t>
      </w:r>
      <w:r>
        <w:t>, vol. 32, p.100363</w:t>
      </w:r>
    </w:p>
    <w:p w14:paraId="7BE1CC03" w14:textId="77777777" w:rsidR="00AF742A" w:rsidRDefault="00AF742A" w:rsidP="00382D39">
      <w:pPr>
        <w:pStyle w:val="Bibliography"/>
        <w:spacing w:after="0"/>
        <w:jc w:val="both"/>
      </w:pPr>
      <w:r>
        <w:t xml:space="preserve">Galvao, A. F. (2009). Unit Root Quantile Autoregression Testing Using Covariates, </w:t>
      </w:r>
      <w:r>
        <w:rPr>
          <w:i/>
          <w:iCs/>
        </w:rPr>
        <w:t>Journal of Econometrics</w:t>
      </w:r>
      <w:r>
        <w:t>, vol. 152, no. 2, pp.165–178</w:t>
      </w:r>
    </w:p>
    <w:p w14:paraId="205C8734" w14:textId="77777777" w:rsidR="00AF742A" w:rsidRDefault="00AF742A" w:rsidP="00382D39">
      <w:pPr>
        <w:pStyle w:val="Bibliography"/>
        <w:spacing w:after="0"/>
        <w:jc w:val="both"/>
      </w:pPr>
      <w:r>
        <w:t xml:space="preserve">Ghaemi Asl, M., Rashidi, M. M., Tavakkoli, H. R. &amp; Rezgui, H. (2024). Does Islamic Investing Modify Portfolio Performance? Time-Varying Optimization Strategies for Conventional and Shariah Energy-ESG-Utilities Portfolio, </w:t>
      </w:r>
      <w:r>
        <w:rPr>
          <w:i/>
          <w:iCs/>
        </w:rPr>
        <w:t>The Quarterly Review of Economics and Finance</w:t>
      </w:r>
      <w:r>
        <w:t>, vol. 94, pp.37–57</w:t>
      </w:r>
    </w:p>
    <w:p w14:paraId="18BB8FF6" w14:textId="77777777" w:rsidR="00AF742A" w:rsidRDefault="00AF742A" w:rsidP="00382D39">
      <w:pPr>
        <w:pStyle w:val="Bibliography"/>
        <w:spacing w:after="0"/>
        <w:jc w:val="both"/>
      </w:pPr>
      <w:r>
        <w:t>Gilbert, C. L. (2008). Commodity Speculation and Commodity Investment, Department of Economics Working Paper, 0820, Department of Economics, University of Trento, Italia, Available Online: https://econpapers.repec.org/paper/trnutwpde/0820.htm [Accessed 16 April 2024]</w:t>
      </w:r>
    </w:p>
    <w:p w14:paraId="6E8EA170" w14:textId="77777777" w:rsidR="00AF742A" w:rsidRDefault="00AF742A" w:rsidP="00382D39">
      <w:pPr>
        <w:pStyle w:val="Bibliography"/>
        <w:spacing w:after="0"/>
        <w:jc w:val="both"/>
      </w:pPr>
      <w:r>
        <w:t xml:space="preserve">Gulley, A. &amp; Tilton, J. E. (2014). The Relationship between Spot and Futures Prices: An Empirical Analysis, </w:t>
      </w:r>
      <w:r>
        <w:rPr>
          <w:i/>
          <w:iCs/>
        </w:rPr>
        <w:t>Resources Policy</w:t>
      </w:r>
      <w:r>
        <w:t>, vol. 41, pp.109–112</w:t>
      </w:r>
    </w:p>
    <w:p w14:paraId="70D4340E" w14:textId="77777777" w:rsidR="00AF742A" w:rsidRDefault="00AF742A" w:rsidP="00382D39">
      <w:pPr>
        <w:pStyle w:val="Bibliography"/>
        <w:spacing w:after="0"/>
        <w:jc w:val="both"/>
      </w:pPr>
      <w:r>
        <w:t xml:space="preserve">Haar, L. &amp; Gregoriou, A. (2021). Risk Management and Market Conditions, </w:t>
      </w:r>
      <w:r>
        <w:rPr>
          <w:i/>
          <w:iCs/>
        </w:rPr>
        <w:t>International Review of Financial Analysis</w:t>
      </w:r>
      <w:r>
        <w:t>, vol. 78, p.101959</w:t>
      </w:r>
    </w:p>
    <w:p w14:paraId="17DDEC5B" w14:textId="77777777" w:rsidR="00AF742A" w:rsidRDefault="00AF742A" w:rsidP="00382D39">
      <w:pPr>
        <w:pStyle w:val="Bibliography"/>
        <w:spacing w:after="0"/>
        <w:jc w:val="both"/>
      </w:pPr>
      <w:r>
        <w:t xml:space="preserve">Hammoudeh, S. &amp; Yuan, Y. (2008). Metal Volatility in Presence of Oil and Interest Rate Shocks, </w:t>
      </w:r>
      <w:r>
        <w:rPr>
          <w:i/>
          <w:iCs/>
        </w:rPr>
        <w:t>Energy Economics</w:t>
      </w:r>
      <w:r>
        <w:t>, vol. 30, no. 2, pp.606–620</w:t>
      </w:r>
    </w:p>
    <w:p w14:paraId="37C12EDC" w14:textId="77777777" w:rsidR="00AF742A" w:rsidRDefault="00AF742A" w:rsidP="00382D39">
      <w:pPr>
        <w:pStyle w:val="Bibliography"/>
        <w:spacing w:after="0"/>
        <w:jc w:val="both"/>
      </w:pPr>
      <w:r w:rsidRPr="00AF742A">
        <w:rPr>
          <w:lang w:val="sv-SE"/>
        </w:rPr>
        <w:t xml:space="preserve">Hanif, W., Mensi, W., Vo, X. V., BenSaïda, A., Hernandez, J. A. &amp; Kang, S. H. (2023). </w:t>
      </w:r>
      <w:r>
        <w:t xml:space="preserve">Dependence and Risk Management of Portfolios of Metals and Agricultural Commodity Futures, </w:t>
      </w:r>
      <w:r>
        <w:rPr>
          <w:i/>
          <w:iCs/>
        </w:rPr>
        <w:t>Resources Policy</w:t>
      </w:r>
      <w:r>
        <w:t>, vol. 82, p.103567</w:t>
      </w:r>
    </w:p>
    <w:p w14:paraId="092F728F" w14:textId="77777777" w:rsidR="00AF742A" w:rsidRDefault="00AF742A" w:rsidP="00382D39">
      <w:pPr>
        <w:pStyle w:val="Bibliography"/>
        <w:spacing w:after="0"/>
        <w:jc w:val="both"/>
      </w:pPr>
      <w:r>
        <w:t xml:space="preserve">Harris, R. D. F. &amp; Shen, J. (2003). Robust Estimation of the Optimal Hedge Ratio, </w:t>
      </w:r>
      <w:r>
        <w:rPr>
          <w:i/>
          <w:iCs/>
        </w:rPr>
        <w:t>Journal of Futures Markets</w:t>
      </w:r>
      <w:r>
        <w:t>, vol. 23, no. 8, pp.799–816</w:t>
      </w:r>
    </w:p>
    <w:p w14:paraId="7C4A9A1C" w14:textId="77777777" w:rsidR="00AF742A" w:rsidRDefault="00AF742A" w:rsidP="00382D39">
      <w:pPr>
        <w:pStyle w:val="Bibliography"/>
        <w:spacing w:after="0"/>
        <w:jc w:val="both"/>
      </w:pPr>
      <w:r>
        <w:t>Ielpo, F. (2018). The Economics of Commodities and Commodity Markets, New York: Oxford University Press</w:t>
      </w:r>
    </w:p>
    <w:p w14:paraId="55070CEC" w14:textId="77777777" w:rsidR="00AF742A" w:rsidRDefault="00AF742A" w:rsidP="00382D39">
      <w:pPr>
        <w:pStyle w:val="Bibliography"/>
        <w:spacing w:after="0"/>
        <w:jc w:val="both"/>
      </w:pPr>
      <w:r>
        <w:t xml:space="preserve">Joo, Y. C. &amp; Park, S. Y. (2024). Hedging Bitcoin with Commodity Futures: An Analysis with Copper, Gas, Gold, and Crude Oil Futures, </w:t>
      </w:r>
      <w:r>
        <w:rPr>
          <w:i/>
          <w:iCs/>
        </w:rPr>
        <w:t>The North American Journal of Economics and Finance</w:t>
      </w:r>
      <w:r>
        <w:t>, vol. 72, p.102127</w:t>
      </w:r>
    </w:p>
    <w:p w14:paraId="0A87912E" w14:textId="77777777" w:rsidR="00AF742A" w:rsidRDefault="00AF742A" w:rsidP="00382D39">
      <w:pPr>
        <w:pStyle w:val="Bibliography"/>
        <w:spacing w:after="0"/>
        <w:jc w:val="both"/>
      </w:pPr>
      <w:r>
        <w:t xml:space="preserve">Joseph, A., Sisodia, G. &amp; Tiwari, A. K. (2014). A Frequency Domain Causality Investigation between Futures and Spot Prices of Indian Commodity Markets, </w:t>
      </w:r>
      <w:r>
        <w:rPr>
          <w:i/>
          <w:iCs/>
        </w:rPr>
        <w:t>Economic Modelling</w:t>
      </w:r>
      <w:r>
        <w:t>, vol. 40, pp.250–258</w:t>
      </w:r>
    </w:p>
    <w:p w14:paraId="0DD94437" w14:textId="77777777" w:rsidR="00AF742A" w:rsidRDefault="00AF742A" w:rsidP="00382D39">
      <w:pPr>
        <w:pStyle w:val="Bibliography"/>
        <w:spacing w:after="0"/>
        <w:jc w:val="both"/>
      </w:pPr>
      <w:r>
        <w:t xml:space="preserve">Kim, M. J. &amp; Park, S. Y. (2016). Optimal Conditional Hedge Ratio: A Simple Shrinkage Estimation Approach, </w:t>
      </w:r>
      <w:r>
        <w:rPr>
          <w:i/>
          <w:iCs/>
        </w:rPr>
        <w:t>Journal of Empirical Finance</w:t>
      </w:r>
      <w:r>
        <w:t>, vol. 38, pp.139–156</w:t>
      </w:r>
    </w:p>
    <w:p w14:paraId="631AB5CA" w14:textId="77777777" w:rsidR="00AF742A" w:rsidRDefault="00AF742A" w:rsidP="00382D39">
      <w:pPr>
        <w:pStyle w:val="Bibliography"/>
        <w:spacing w:after="0"/>
        <w:jc w:val="both"/>
      </w:pPr>
      <w:r w:rsidRPr="00AF742A">
        <w:rPr>
          <w:lang w:val="sv-SE"/>
        </w:rPr>
        <w:t xml:space="preserve">Koirala, K. H., Mishra, A. K., D’Antoni, J. M. &amp; Mehlhorn, J. E. (2015). </w:t>
      </w:r>
      <w:r>
        <w:t xml:space="preserve">Energy Prices and Agricultural Commodity Prices: Testing Correlation Using Copulas Method, </w:t>
      </w:r>
      <w:r>
        <w:rPr>
          <w:i/>
          <w:iCs/>
        </w:rPr>
        <w:t>Energy</w:t>
      </w:r>
      <w:r>
        <w:t>, vol. 81, pp.430–436</w:t>
      </w:r>
    </w:p>
    <w:p w14:paraId="12BCEEFC" w14:textId="77777777" w:rsidR="00AF742A" w:rsidRDefault="00AF742A" w:rsidP="00382D39">
      <w:pPr>
        <w:pStyle w:val="Bibliography"/>
        <w:spacing w:after="0"/>
        <w:jc w:val="both"/>
      </w:pPr>
      <w:r w:rsidRPr="00AF742A">
        <w:rPr>
          <w:lang w:val="sv-SE"/>
        </w:rPr>
        <w:t xml:space="preserve">Kroner, K. F. &amp; Sultan, J. (1993). </w:t>
      </w:r>
      <w:r>
        <w:t xml:space="preserve">Time-Varying Distributions and Dynamic Hedging with Foreign Currency Futures, </w:t>
      </w:r>
      <w:r>
        <w:rPr>
          <w:i/>
          <w:iCs/>
        </w:rPr>
        <w:t>Journal of financial and quantitative analysis</w:t>
      </w:r>
      <w:r>
        <w:t>, vol. 28, no. 4, pp.535–551</w:t>
      </w:r>
    </w:p>
    <w:p w14:paraId="752902E6" w14:textId="77777777" w:rsidR="00AF742A" w:rsidRDefault="00AF742A" w:rsidP="00382D39">
      <w:pPr>
        <w:pStyle w:val="Bibliography"/>
        <w:spacing w:after="0"/>
        <w:jc w:val="both"/>
      </w:pPr>
      <w:r w:rsidRPr="00AF742A">
        <w:rPr>
          <w:lang w:val="sv-SE"/>
        </w:rPr>
        <w:t xml:space="preserve">Kumar, S., Tiwari, A. K., Raheem, I. D. &amp; Hille, E. (2021). </w:t>
      </w:r>
      <w:r>
        <w:t xml:space="preserve">Time-Varying Dependence Structure between Oil and Agricultural Commodity Markets: A Dependence-Switching CoVaR Copula Approach, </w:t>
      </w:r>
      <w:r>
        <w:rPr>
          <w:i/>
          <w:iCs/>
        </w:rPr>
        <w:t>Resources Policy</w:t>
      </w:r>
      <w:r>
        <w:t>, vol. 72, p.102049</w:t>
      </w:r>
    </w:p>
    <w:p w14:paraId="41612B17" w14:textId="77777777" w:rsidR="00AF742A" w:rsidRDefault="00AF742A" w:rsidP="00382D39">
      <w:pPr>
        <w:pStyle w:val="Bibliography"/>
        <w:spacing w:after="0"/>
        <w:jc w:val="both"/>
      </w:pPr>
      <w:r>
        <w:t xml:space="preserve">Kuriyama, N. (2016). Testing Cointegration in Quantile Regressions with an Application to the Term Structure of Interest Rates, </w:t>
      </w:r>
      <w:r>
        <w:rPr>
          <w:i/>
          <w:iCs/>
        </w:rPr>
        <w:t>Studies in Nonlinear Dynamics &amp; Econometrics</w:t>
      </w:r>
      <w:r>
        <w:t>, vol. 20, no. 2, pp.107–121</w:t>
      </w:r>
    </w:p>
    <w:p w14:paraId="47BEDCCF" w14:textId="77777777" w:rsidR="00AF742A" w:rsidRDefault="00AF742A" w:rsidP="00382D39">
      <w:pPr>
        <w:pStyle w:val="Bibliography"/>
        <w:spacing w:after="0"/>
        <w:jc w:val="both"/>
      </w:pPr>
      <w:r>
        <w:t xml:space="preserve">Liu, D. C. &amp; Nocedal, J. (1989). On the Limited Memory BFGS Method for Large Scale Optimization, </w:t>
      </w:r>
      <w:r>
        <w:rPr>
          <w:i/>
          <w:iCs/>
        </w:rPr>
        <w:t>Mathematical Programming</w:t>
      </w:r>
      <w:r>
        <w:t>, vol. 45, no. 1, pp.503–528</w:t>
      </w:r>
    </w:p>
    <w:p w14:paraId="0029C7AC" w14:textId="77777777" w:rsidR="00AF742A" w:rsidRDefault="00AF742A" w:rsidP="00382D39">
      <w:pPr>
        <w:pStyle w:val="Bibliography"/>
        <w:spacing w:after="0"/>
        <w:jc w:val="both"/>
      </w:pPr>
      <w:r>
        <w:t xml:space="preserve">Lourakis, M. I. (2005). A Brief Description of the Levenberg-Marquardt Algorithm Implemented by Levmar, </w:t>
      </w:r>
      <w:r>
        <w:rPr>
          <w:i/>
          <w:iCs/>
        </w:rPr>
        <w:t>Foundation of Research and Technology</w:t>
      </w:r>
      <w:r>
        <w:t>, vol. 4, no. 1, pp.1–6</w:t>
      </w:r>
    </w:p>
    <w:p w14:paraId="5DDDB61F" w14:textId="77777777" w:rsidR="00AF742A" w:rsidRDefault="00AF742A" w:rsidP="00382D39">
      <w:pPr>
        <w:pStyle w:val="Bibliography"/>
        <w:spacing w:after="0"/>
        <w:jc w:val="both"/>
      </w:pPr>
      <w:r>
        <w:t xml:space="preserve">Miljkovic, D. &amp; Vatsa, P. (2023). On the Linkages between Energy and Agricultural Commodity Prices: A Dynamic Time Warping Analysis, </w:t>
      </w:r>
      <w:r>
        <w:rPr>
          <w:i/>
          <w:iCs/>
        </w:rPr>
        <w:t>International Review of Financial Analysis</w:t>
      </w:r>
      <w:r>
        <w:t>, vol. 90, p.102834</w:t>
      </w:r>
    </w:p>
    <w:p w14:paraId="1DA0BCA6" w14:textId="77777777" w:rsidR="00AF742A" w:rsidRDefault="00AF742A" w:rsidP="00382D39">
      <w:pPr>
        <w:pStyle w:val="Bibliography"/>
        <w:spacing w:after="0"/>
        <w:jc w:val="both"/>
      </w:pPr>
      <w:r>
        <w:t xml:space="preserve">Mohamad, A. &amp; Fromentin, V. (2023). Herd and Causality Dynamics between Energy Commodities and Ethical Investment: Evidence from the Different Phases of the COVID-19 Pandemic, </w:t>
      </w:r>
      <w:r>
        <w:rPr>
          <w:i/>
          <w:iCs/>
        </w:rPr>
        <w:t>Energy Economics</w:t>
      </w:r>
      <w:r>
        <w:t>, vol. 126, p.107001</w:t>
      </w:r>
    </w:p>
    <w:p w14:paraId="3A71F80F" w14:textId="5959468A" w:rsidR="00AF742A" w:rsidRDefault="00AF742A" w:rsidP="00382D39">
      <w:pPr>
        <w:pStyle w:val="Bibliography"/>
        <w:spacing w:after="0"/>
        <w:jc w:val="both"/>
      </w:pPr>
      <w:r>
        <w:t xml:space="preserve">Moreno, D., Marco, P. &amp; Olmeda, I. (2005). Risk Forecasting Models and Optimal Portfolio Selection, </w:t>
      </w:r>
      <w:r>
        <w:rPr>
          <w:i/>
          <w:iCs/>
        </w:rPr>
        <w:t>Applied Economics</w:t>
      </w:r>
      <w:r>
        <w:t>, vol. 37, no. 11, pp.1267–1281</w:t>
      </w:r>
    </w:p>
    <w:p w14:paraId="4146236D" w14:textId="77777777" w:rsidR="00AF742A" w:rsidRDefault="00AF742A" w:rsidP="00382D39">
      <w:pPr>
        <w:pStyle w:val="Bibliography"/>
        <w:spacing w:after="0"/>
        <w:jc w:val="both"/>
      </w:pPr>
      <w:r w:rsidRPr="00AF742A">
        <w:rPr>
          <w:lang w:val="sv-SE"/>
        </w:rPr>
        <w:t xml:space="preserve">Naeem, M. A., Hasan, M., Arif, M., Suleman, M. T. &amp; Kang, S. H. (2022). </w:t>
      </w:r>
      <w:r>
        <w:t xml:space="preserve">Oil and Gold as a Hedge and Safe-Haven for Metals and Agricultural Commodities with Portfolio Implications, </w:t>
      </w:r>
      <w:r>
        <w:rPr>
          <w:i/>
          <w:iCs/>
        </w:rPr>
        <w:t>Energy Economics</w:t>
      </w:r>
      <w:r>
        <w:t>, vol. 105, p.105758</w:t>
      </w:r>
    </w:p>
    <w:p w14:paraId="3AC9ED7B" w14:textId="77777777" w:rsidR="00AF742A" w:rsidRDefault="00AF742A" w:rsidP="00382D39">
      <w:pPr>
        <w:pStyle w:val="Bibliography"/>
        <w:spacing w:after="0"/>
        <w:jc w:val="both"/>
      </w:pPr>
      <w:r>
        <w:t xml:space="preserve">Price, K., Price, B. &amp; Nantell, T. J. (1982). Variance and Lower Partial Moment Measures of Systematic Risk: Some Analytical and Empirical Results, </w:t>
      </w:r>
      <w:r>
        <w:rPr>
          <w:i/>
          <w:iCs/>
        </w:rPr>
        <w:t>The Journal of Finance</w:t>
      </w:r>
      <w:r>
        <w:t>, vol. 37, no. 3, pp.843–855</w:t>
      </w:r>
    </w:p>
    <w:p w14:paraId="6FA85C33" w14:textId="77777777" w:rsidR="00AF742A" w:rsidRDefault="00AF742A" w:rsidP="00382D39">
      <w:pPr>
        <w:pStyle w:val="Bibliography"/>
        <w:spacing w:after="0"/>
        <w:jc w:val="both"/>
      </w:pPr>
      <w:r>
        <w:t xml:space="preserve">Rad, H., Low, R. K. Y., Miffre, J. &amp; Faff, R. (2022). The Strategic Allocation to Style-Integrated Portfolios of Commodity Futures, </w:t>
      </w:r>
      <w:r>
        <w:rPr>
          <w:i/>
          <w:iCs/>
        </w:rPr>
        <w:t>Journal of Commodity Markets</w:t>
      </w:r>
      <w:r>
        <w:t>, vol. 28, p.100259</w:t>
      </w:r>
    </w:p>
    <w:p w14:paraId="28E60C89" w14:textId="77777777" w:rsidR="00AF742A" w:rsidRDefault="00AF742A" w:rsidP="00382D39">
      <w:pPr>
        <w:pStyle w:val="Bibliography"/>
        <w:spacing w:after="0"/>
        <w:jc w:val="both"/>
      </w:pPr>
      <w:r>
        <w:t xml:space="preserve">Raza, N., Ali, S., Shahzad, S. J. H. &amp; Raza, S. A. (2018). Do Commodities Effectively Hedge Real Estate Risk? A Multi-Scale Asymmetric DCC Approach, </w:t>
      </w:r>
      <w:r>
        <w:rPr>
          <w:i/>
          <w:iCs/>
        </w:rPr>
        <w:t>Resources Policy</w:t>
      </w:r>
      <w:r>
        <w:t>, vol. 57, pp.10–29</w:t>
      </w:r>
    </w:p>
    <w:p w14:paraId="1C7BAEED" w14:textId="77777777" w:rsidR="00AF742A" w:rsidRDefault="00AF742A" w:rsidP="00382D39">
      <w:pPr>
        <w:pStyle w:val="Bibliography"/>
        <w:spacing w:after="0"/>
        <w:jc w:val="both"/>
      </w:pPr>
      <w:r>
        <w:t xml:space="preserve">Reboredo, J. C. (2013). Is Gold a Hedge or Safe Haven against Oil Price Movements?, </w:t>
      </w:r>
      <w:r>
        <w:rPr>
          <w:i/>
          <w:iCs/>
        </w:rPr>
        <w:t>Resources Policy</w:t>
      </w:r>
      <w:r>
        <w:t>, vol. 38, no. 2, pp.130–137</w:t>
      </w:r>
    </w:p>
    <w:p w14:paraId="4FF274B1" w14:textId="77777777" w:rsidR="00AF742A" w:rsidRDefault="00AF742A" w:rsidP="00382D39">
      <w:pPr>
        <w:pStyle w:val="Bibliography"/>
        <w:spacing w:after="0"/>
        <w:jc w:val="both"/>
      </w:pPr>
      <w:r>
        <w:t xml:space="preserve">Rehman, M. U. &amp; Vo, X. V. (2021). Energy Commodities, Precious Metals and Industrial Metal Markets: A Nexus across Different Investment Horizons and Market Conditions, </w:t>
      </w:r>
      <w:r>
        <w:rPr>
          <w:i/>
          <w:iCs/>
        </w:rPr>
        <w:t>Resources Policy</w:t>
      </w:r>
      <w:r>
        <w:t>, vol. 70, p.101843</w:t>
      </w:r>
    </w:p>
    <w:p w14:paraId="237385CA" w14:textId="77777777" w:rsidR="00AF742A" w:rsidRDefault="00AF742A" w:rsidP="00382D39">
      <w:pPr>
        <w:pStyle w:val="Bibliography"/>
        <w:spacing w:after="0"/>
        <w:jc w:val="both"/>
      </w:pPr>
      <w:r>
        <w:t xml:space="preserve">Ruano, F. &amp; Barros, V. (2022). Commodities and Portfolio Diversification: Myth or Fact?, </w:t>
      </w:r>
      <w:r>
        <w:rPr>
          <w:i/>
          <w:iCs/>
        </w:rPr>
        <w:t>The Quarterly Review of Economics and Finance</w:t>
      </w:r>
      <w:r>
        <w:t>, vol. 86, pp.281–295</w:t>
      </w:r>
    </w:p>
    <w:p w14:paraId="21E067E8" w14:textId="77777777" w:rsidR="00AF742A" w:rsidRDefault="00AF742A" w:rsidP="00382D39">
      <w:pPr>
        <w:pStyle w:val="Bibliography"/>
        <w:spacing w:after="0"/>
        <w:jc w:val="both"/>
      </w:pPr>
      <w:r>
        <w:t xml:space="preserve">Sadorsky, P. (2012). Correlations and Volatility Spillovers between Oil Prices and the Stock Prices of Clean Energy and Technology Companies, </w:t>
      </w:r>
      <w:r>
        <w:rPr>
          <w:i/>
          <w:iCs/>
        </w:rPr>
        <w:t>Energy Economics</w:t>
      </w:r>
      <w:r>
        <w:t>, vol. 34, no. 1, pp.248–255</w:t>
      </w:r>
    </w:p>
    <w:p w14:paraId="38FEFABC" w14:textId="77777777" w:rsidR="00AF742A" w:rsidRDefault="00AF742A" w:rsidP="00382D39">
      <w:pPr>
        <w:pStyle w:val="Bibliography"/>
        <w:spacing w:after="0"/>
        <w:jc w:val="both"/>
      </w:pPr>
      <w:r w:rsidRPr="00AF742A">
        <w:rPr>
          <w:lang w:val="sv-SE"/>
        </w:rPr>
        <w:t xml:space="preserve">Sari, R., Hammoudeh, S. &amp; Soytas, U. (2010). </w:t>
      </w:r>
      <w:r>
        <w:t xml:space="preserve">Dynamics of Oil Price, Precious Metal Prices, and Exchange Rate, </w:t>
      </w:r>
      <w:r>
        <w:rPr>
          <w:i/>
          <w:iCs/>
        </w:rPr>
        <w:t>Energy Economics</w:t>
      </w:r>
      <w:r>
        <w:t>, vol. 32, no. 2, pp.351–362</w:t>
      </w:r>
    </w:p>
    <w:p w14:paraId="28E5D4C4" w14:textId="77777777" w:rsidR="00AF742A" w:rsidRDefault="00AF742A" w:rsidP="00382D39">
      <w:pPr>
        <w:pStyle w:val="Bibliography"/>
        <w:spacing w:after="0"/>
        <w:jc w:val="both"/>
      </w:pPr>
      <w:r>
        <w:t xml:space="preserve">Shafiullah, M., Chaudhry, S. M., Shahbaz, M. &amp; Reboredo, J. C. (2021). Quantile Causality and Dependence between Crude Oil and Precious Metal Prices, </w:t>
      </w:r>
      <w:r>
        <w:rPr>
          <w:i/>
          <w:iCs/>
        </w:rPr>
        <w:t>International Journal of Finance &amp; Economics</w:t>
      </w:r>
      <w:r>
        <w:t>, vol. 26, no. 4, pp.6264–6280</w:t>
      </w:r>
    </w:p>
    <w:p w14:paraId="14202E36" w14:textId="77777777" w:rsidR="00AF742A" w:rsidRDefault="00AF742A" w:rsidP="00382D39">
      <w:pPr>
        <w:pStyle w:val="Bibliography"/>
        <w:spacing w:after="0"/>
        <w:jc w:val="both"/>
      </w:pPr>
      <w:r>
        <w:t xml:space="preserve">Shahzad, F., Bouri, E., Mokni, K. &amp; Ajmi, A. N. (2021). Energy, Agriculture, and Precious Metals: Evidence from Time-Varying Granger Causal Relationships for Both Return and Volatility, </w:t>
      </w:r>
      <w:r>
        <w:rPr>
          <w:i/>
          <w:iCs/>
        </w:rPr>
        <w:t>Resources Policy</w:t>
      </w:r>
      <w:r>
        <w:t>, vol. 74, p.102298</w:t>
      </w:r>
    </w:p>
    <w:p w14:paraId="31997A47" w14:textId="77777777" w:rsidR="00AF742A" w:rsidRDefault="00AF742A" w:rsidP="00382D39">
      <w:pPr>
        <w:pStyle w:val="Bibliography"/>
        <w:spacing w:after="0"/>
        <w:jc w:val="both"/>
      </w:pPr>
      <w:r>
        <w:t xml:space="preserve">Shiferaw, Y. A. (2019). Time-Varying Correlation between Agricultural Commodity and Energy Price Dynamics with Bayesian Multivariate DCC-GARCH Models, </w:t>
      </w:r>
      <w:r>
        <w:rPr>
          <w:i/>
          <w:iCs/>
        </w:rPr>
        <w:t>Physica A: Statistical Mechanics and its Applications</w:t>
      </w:r>
      <w:r>
        <w:t>, vol. 526, p.120807</w:t>
      </w:r>
    </w:p>
    <w:p w14:paraId="67F4B328" w14:textId="77777777" w:rsidR="00AF742A" w:rsidRDefault="00AF742A" w:rsidP="00382D39">
      <w:pPr>
        <w:pStyle w:val="Bibliography"/>
        <w:spacing w:after="0"/>
        <w:jc w:val="both"/>
      </w:pPr>
      <w:r>
        <w:t>Siaw, R., Ofosu-Hene, E. &amp; Tee, E. (2017). Investment Portfolio Optimization with GARCH Models, SSRN Scholarly Paper, 2987932, Available Online: https://papers.ssrn.com/abstract=2987932 [Accessed 20 May 2024]</w:t>
      </w:r>
    </w:p>
    <w:p w14:paraId="3189FCAB" w14:textId="77777777" w:rsidR="00AF742A" w:rsidRDefault="00AF742A" w:rsidP="00382D39">
      <w:pPr>
        <w:pStyle w:val="Bibliography"/>
        <w:spacing w:after="0"/>
        <w:jc w:val="both"/>
      </w:pPr>
      <w:r>
        <w:t xml:space="preserve">Specht, K. &amp; Winker, P. (2008). Portfolio Optimization under VaR Constraints Based on Dynamic Estimates of the Variance-Covariance Matrix, in E. J. Kontoghiorghes, B. Rustem, &amp; P. Winker (eds), </w:t>
      </w:r>
      <w:r>
        <w:rPr>
          <w:i/>
          <w:iCs/>
        </w:rPr>
        <w:t>Computational Methods in Financial Engineering: Essays in Honour of Manfred Gilli</w:t>
      </w:r>
      <w:r>
        <w:t>, [e-book] Berlin, Heidelberg: Springer, pp.73–94, Available Online: https://doi.org/10.1007/978-3-540-77958-2_4 [Accessed 21 May 2024]</w:t>
      </w:r>
    </w:p>
    <w:p w14:paraId="15AEFE9F" w14:textId="77777777" w:rsidR="00AF742A" w:rsidRDefault="00AF742A" w:rsidP="00382D39">
      <w:pPr>
        <w:pStyle w:val="Bibliography"/>
        <w:spacing w:after="0"/>
        <w:jc w:val="both"/>
      </w:pPr>
      <w:r w:rsidRPr="00AF742A">
        <w:rPr>
          <w:lang w:val="sv-SE"/>
        </w:rPr>
        <w:t xml:space="preserve">Trabelsi, N., Tiwari, A. K. &amp; Hammoudeh, S. (2022). </w:t>
      </w:r>
      <w:r>
        <w:t xml:space="preserve">Spillovers and Directional Predictability between International Energy Commodities and Their Implications for Optimal Portfolio and Hedging, </w:t>
      </w:r>
      <w:r>
        <w:rPr>
          <w:i/>
          <w:iCs/>
        </w:rPr>
        <w:t>The North American Journal of Economics and Finance</w:t>
      </w:r>
      <w:r>
        <w:t>, vol. 62, p.101715</w:t>
      </w:r>
    </w:p>
    <w:p w14:paraId="756ACCB6" w14:textId="77777777" w:rsidR="00AF742A" w:rsidRDefault="00AF742A" w:rsidP="00382D39">
      <w:pPr>
        <w:pStyle w:val="Bibliography"/>
        <w:spacing w:after="0"/>
        <w:jc w:val="both"/>
      </w:pPr>
      <w:r>
        <w:t xml:space="preserve">Troster, V. (2018). Testing for Granger-Causality in Quantiles, </w:t>
      </w:r>
      <w:r>
        <w:rPr>
          <w:i/>
          <w:iCs/>
        </w:rPr>
        <w:t>Econometric Reviews</w:t>
      </w:r>
      <w:r>
        <w:t>, vol. 37, no. 8, pp.850–866</w:t>
      </w:r>
    </w:p>
    <w:p w14:paraId="1D3C4FBD" w14:textId="77777777" w:rsidR="00AF742A" w:rsidRDefault="00AF742A" w:rsidP="00382D39">
      <w:pPr>
        <w:pStyle w:val="Bibliography"/>
        <w:spacing w:after="0"/>
        <w:jc w:val="both"/>
      </w:pPr>
      <w:r w:rsidRPr="00AF742A">
        <w:rPr>
          <w:lang w:val="sv-SE"/>
        </w:rPr>
        <w:t xml:space="preserve">Wimmer, T., Geyer-Klingeberg, J., Hütter, M., Schmid, F. &amp; Rathgeber, A. (2021). </w:t>
      </w:r>
      <w:r>
        <w:t xml:space="preserve">The Impact of Speculation on Commodity Prices: A Meta-Granger Analysis, </w:t>
      </w:r>
      <w:r>
        <w:rPr>
          <w:i/>
          <w:iCs/>
        </w:rPr>
        <w:t>Journal of Commodity Markets</w:t>
      </w:r>
      <w:r>
        <w:t>, vol. 22, p.100148</w:t>
      </w:r>
    </w:p>
    <w:p w14:paraId="2DCBD59C" w14:textId="77777777" w:rsidR="00AF742A" w:rsidRDefault="00AF742A" w:rsidP="00382D39">
      <w:pPr>
        <w:pStyle w:val="Bibliography"/>
        <w:spacing w:after="0"/>
        <w:jc w:val="both"/>
      </w:pPr>
      <w:r>
        <w:t xml:space="preserve">Yaya, O. S., Ogbonna, A. E., Adesina, O. A., Alobaloke, K. A. &amp; Vo, X. V. (2022). Time-Variation between Metal Commodities and Oil, and the Impact of Oil Shocks: GARCH-MIDAS and DCC-MIDAS Analyses, </w:t>
      </w:r>
      <w:r>
        <w:rPr>
          <w:i/>
          <w:iCs/>
        </w:rPr>
        <w:t>Resources Policy</w:t>
      </w:r>
      <w:r>
        <w:t>, vol. 79, p.103036</w:t>
      </w:r>
    </w:p>
    <w:p w14:paraId="72F12977" w14:textId="04EB3E6A" w:rsidR="002C4E1B" w:rsidRDefault="00B0055A" w:rsidP="00382D39">
      <w:pPr>
        <w:widowControl w:val="0"/>
        <w:pBdr>
          <w:top w:val="nil"/>
          <w:left w:val="nil"/>
          <w:bottom w:val="nil"/>
          <w:right w:val="nil"/>
          <w:between w:val="nil"/>
        </w:pBdr>
        <w:ind w:left="720" w:hanging="720"/>
        <w:jc w:val="both"/>
      </w:pPr>
      <w:r>
        <w:fldChar w:fldCharType="end"/>
      </w:r>
    </w:p>
    <w:p w14:paraId="6D6CA5D2" w14:textId="77777777" w:rsidR="002C4E1B" w:rsidRDefault="002C4E1B">
      <w:r>
        <w:br w:type="page"/>
      </w:r>
    </w:p>
    <w:p w14:paraId="7C226C69" w14:textId="3AAD2906" w:rsidR="002C4E1B" w:rsidRDefault="002C4E1B" w:rsidP="002C4E1B">
      <w:pPr>
        <w:pStyle w:val="Heading1"/>
        <w:jc w:val="both"/>
      </w:pPr>
      <w:bookmarkStart w:id="36" w:name="_Toc167478300"/>
      <w:r>
        <w:t>Appendix</w:t>
      </w:r>
      <w:r w:rsidR="006C15F7">
        <w:t>es</w:t>
      </w:r>
      <w:bookmarkEnd w:id="36"/>
    </w:p>
    <w:p w14:paraId="2A63AAC7" w14:textId="450EE4AA" w:rsidR="00157EB5" w:rsidRPr="00E57607" w:rsidRDefault="00157EB5" w:rsidP="00E57607">
      <w:pPr>
        <w:pStyle w:val="Caption"/>
        <w:jc w:val="left"/>
        <w:rPr>
          <w:sz w:val="36"/>
        </w:rPr>
      </w:pPr>
      <w:bookmarkStart w:id="37" w:name="_Ref167229621"/>
      <w:r w:rsidRPr="00E57607">
        <w:rPr>
          <w:sz w:val="36"/>
        </w:rPr>
        <w:t xml:space="preserve">Appendix </w:t>
      </w:r>
      <w:r w:rsidRPr="00E57607">
        <w:rPr>
          <w:sz w:val="36"/>
        </w:rPr>
        <w:fldChar w:fldCharType="begin"/>
      </w:r>
      <w:r w:rsidRPr="00E57607">
        <w:rPr>
          <w:sz w:val="36"/>
        </w:rPr>
        <w:instrText xml:space="preserve"> SEQ Appendix \* ALPHABETIC </w:instrText>
      </w:r>
      <w:r w:rsidRPr="00E57607">
        <w:rPr>
          <w:sz w:val="36"/>
        </w:rPr>
        <w:fldChar w:fldCharType="separate"/>
      </w:r>
      <w:r w:rsidR="002E6614">
        <w:rPr>
          <w:noProof/>
          <w:sz w:val="36"/>
        </w:rPr>
        <w:t>A</w:t>
      </w:r>
      <w:r w:rsidRPr="00E57607">
        <w:rPr>
          <w:sz w:val="36"/>
        </w:rPr>
        <w:fldChar w:fldCharType="end"/>
      </w:r>
      <w:bookmarkEnd w:id="37"/>
    </w:p>
    <w:p w14:paraId="4418DF38" w14:textId="03DD5478" w:rsidR="00046DE9" w:rsidRPr="00046DE9" w:rsidRDefault="00046DE9" w:rsidP="00D2520A">
      <w:pPr>
        <w:spacing w:after="240"/>
        <w:jc w:val="center"/>
      </w:pPr>
      <w:r>
        <w:t>Table A1: Commodity Data</w:t>
      </w:r>
    </w:p>
    <w:tbl>
      <w:tblPr>
        <w:tblStyle w:val="a"/>
        <w:tblW w:w="11520" w:type="dxa"/>
        <w:tblInd w:w="-990" w:type="dxa"/>
        <w:tblBorders>
          <w:top w:val="nil"/>
          <w:left w:val="nil"/>
          <w:bottom w:val="nil"/>
          <w:right w:val="nil"/>
          <w:insideH w:val="nil"/>
          <w:insideV w:val="nil"/>
        </w:tblBorders>
        <w:tblLayout w:type="fixed"/>
        <w:tblLook w:val="0600" w:firstRow="0" w:lastRow="0" w:firstColumn="0" w:lastColumn="0" w:noHBand="1" w:noVBand="1"/>
      </w:tblPr>
      <w:tblGrid>
        <w:gridCol w:w="1170"/>
        <w:gridCol w:w="1530"/>
        <w:gridCol w:w="1530"/>
        <w:gridCol w:w="7290"/>
      </w:tblGrid>
      <w:tr w:rsidR="002C4E1B" w14:paraId="4EF258C1" w14:textId="77777777" w:rsidTr="00A27EDC">
        <w:trPr>
          <w:trHeight w:val="315"/>
        </w:trPr>
        <w:tc>
          <w:tcPr>
            <w:tcW w:w="1170" w:type="dxa"/>
            <w:tcBorders>
              <w:top w:val="single" w:sz="4" w:space="0" w:color="000000"/>
              <w:left w:val="nil"/>
              <w:bottom w:val="single" w:sz="4" w:space="0" w:color="000000"/>
              <w:right w:val="nil"/>
            </w:tcBorders>
            <w:shd w:val="clear" w:color="auto" w:fill="auto"/>
            <w:tcMar>
              <w:top w:w="40" w:type="dxa"/>
              <w:left w:w="40" w:type="dxa"/>
              <w:bottom w:w="40" w:type="dxa"/>
              <w:right w:w="40" w:type="dxa"/>
            </w:tcMar>
            <w:vAlign w:val="center"/>
          </w:tcPr>
          <w:p w14:paraId="2C7D485B" w14:textId="77777777" w:rsidR="002C4E1B" w:rsidRDefault="002C4E1B" w:rsidP="00A27EDC">
            <w:pPr>
              <w:widowControl w:val="0"/>
              <w:spacing w:line="276" w:lineRule="auto"/>
              <w:rPr>
                <w:rFonts w:ascii="Arial" w:eastAsia="Arial" w:hAnsi="Arial" w:cs="Arial"/>
                <w:sz w:val="20"/>
                <w:szCs w:val="20"/>
              </w:rPr>
            </w:pPr>
            <w:r>
              <w:rPr>
                <w:b/>
                <w:sz w:val="22"/>
                <w:szCs w:val="22"/>
              </w:rPr>
              <w:t>Group</w:t>
            </w:r>
          </w:p>
        </w:tc>
        <w:tc>
          <w:tcPr>
            <w:tcW w:w="1530" w:type="dxa"/>
            <w:tcBorders>
              <w:top w:val="single" w:sz="4" w:space="0" w:color="000000"/>
              <w:left w:val="nil"/>
              <w:bottom w:val="single" w:sz="4" w:space="0" w:color="000000"/>
              <w:right w:val="nil"/>
            </w:tcBorders>
            <w:shd w:val="clear" w:color="auto" w:fill="auto"/>
            <w:tcMar>
              <w:top w:w="40" w:type="dxa"/>
              <w:left w:w="40" w:type="dxa"/>
              <w:bottom w:w="40" w:type="dxa"/>
              <w:right w:w="40" w:type="dxa"/>
            </w:tcMar>
            <w:vAlign w:val="center"/>
          </w:tcPr>
          <w:p w14:paraId="5D4DA69F" w14:textId="77777777" w:rsidR="002C4E1B" w:rsidRDefault="002C4E1B" w:rsidP="00A27EDC">
            <w:pPr>
              <w:widowControl w:val="0"/>
              <w:spacing w:line="276" w:lineRule="auto"/>
              <w:rPr>
                <w:rFonts w:ascii="Arial" w:eastAsia="Arial" w:hAnsi="Arial" w:cs="Arial"/>
                <w:sz w:val="20"/>
                <w:szCs w:val="20"/>
              </w:rPr>
            </w:pPr>
            <w:r>
              <w:rPr>
                <w:b/>
                <w:sz w:val="22"/>
                <w:szCs w:val="22"/>
              </w:rPr>
              <w:t>Commodity</w:t>
            </w:r>
          </w:p>
        </w:tc>
        <w:tc>
          <w:tcPr>
            <w:tcW w:w="1530" w:type="dxa"/>
            <w:tcBorders>
              <w:top w:val="single" w:sz="4" w:space="0" w:color="000000"/>
              <w:left w:val="nil"/>
              <w:bottom w:val="single" w:sz="4" w:space="0" w:color="000000"/>
              <w:right w:val="nil"/>
            </w:tcBorders>
            <w:shd w:val="clear" w:color="auto" w:fill="auto"/>
            <w:tcMar>
              <w:top w:w="40" w:type="dxa"/>
              <w:left w:w="40" w:type="dxa"/>
              <w:bottom w:w="40" w:type="dxa"/>
              <w:right w:w="40" w:type="dxa"/>
            </w:tcMar>
            <w:vAlign w:val="center"/>
          </w:tcPr>
          <w:p w14:paraId="06FDFA41" w14:textId="77777777" w:rsidR="002C4E1B" w:rsidRDefault="002C4E1B" w:rsidP="00A27EDC">
            <w:pPr>
              <w:widowControl w:val="0"/>
              <w:spacing w:line="276" w:lineRule="auto"/>
              <w:rPr>
                <w:rFonts w:ascii="Arial" w:eastAsia="Arial" w:hAnsi="Arial" w:cs="Arial"/>
                <w:sz w:val="20"/>
                <w:szCs w:val="20"/>
              </w:rPr>
            </w:pPr>
            <w:r>
              <w:rPr>
                <w:b/>
                <w:sz w:val="22"/>
                <w:szCs w:val="22"/>
              </w:rPr>
              <w:t>Market</w:t>
            </w:r>
          </w:p>
        </w:tc>
        <w:tc>
          <w:tcPr>
            <w:tcW w:w="7290" w:type="dxa"/>
            <w:tcBorders>
              <w:top w:val="single" w:sz="4" w:space="0" w:color="000000"/>
              <w:left w:val="nil"/>
              <w:bottom w:val="single" w:sz="4" w:space="0" w:color="000000"/>
              <w:right w:val="nil"/>
            </w:tcBorders>
            <w:shd w:val="clear" w:color="auto" w:fill="auto"/>
            <w:tcMar>
              <w:top w:w="40" w:type="dxa"/>
              <w:left w:w="40" w:type="dxa"/>
              <w:bottom w:w="40" w:type="dxa"/>
              <w:right w:w="40" w:type="dxa"/>
            </w:tcMar>
            <w:vAlign w:val="center"/>
          </w:tcPr>
          <w:p w14:paraId="587656F2" w14:textId="77777777" w:rsidR="002C4E1B" w:rsidRDefault="002C4E1B" w:rsidP="00A27EDC">
            <w:pPr>
              <w:widowControl w:val="0"/>
              <w:spacing w:line="276" w:lineRule="auto"/>
              <w:rPr>
                <w:rFonts w:ascii="Arial" w:eastAsia="Arial" w:hAnsi="Arial" w:cs="Arial"/>
                <w:sz w:val="20"/>
                <w:szCs w:val="20"/>
              </w:rPr>
            </w:pPr>
            <w:r>
              <w:rPr>
                <w:b/>
                <w:sz w:val="22"/>
                <w:szCs w:val="22"/>
              </w:rPr>
              <w:t>Full Name</w:t>
            </w:r>
          </w:p>
        </w:tc>
      </w:tr>
      <w:tr w:rsidR="002C4E1B" w14:paraId="7D502E6B" w14:textId="77777777" w:rsidTr="00A27EDC">
        <w:trPr>
          <w:trHeight w:val="315"/>
        </w:trPr>
        <w:tc>
          <w:tcPr>
            <w:tcW w:w="1170" w:type="dxa"/>
            <w:vMerge w:val="restart"/>
            <w:tcBorders>
              <w:top w:val="nil"/>
              <w:left w:val="nil"/>
              <w:bottom w:val="nil"/>
              <w:right w:val="nil"/>
            </w:tcBorders>
            <w:shd w:val="clear" w:color="auto" w:fill="auto"/>
            <w:tcMar>
              <w:top w:w="40" w:type="dxa"/>
              <w:left w:w="40" w:type="dxa"/>
              <w:bottom w:w="40" w:type="dxa"/>
              <w:right w:w="40" w:type="dxa"/>
            </w:tcMar>
          </w:tcPr>
          <w:p w14:paraId="4243D1F5" w14:textId="77777777" w:rsidR="002C4E1B" w:rsidRDefault="002C4E1B" w:rsidP="00A27EDC">
            <w:pPr>
              <w:widowControl w:val="0"/>
              <w:spacing w:line="276" w:lineRule="auto"/>
              <w:rPr>
                <w:sz w:val="22"/>
                <w:szCs w:val="22"/>
              </w:rPr>
            </w:pPr>
            <w:r>
              <w:rPr>
                <w:sz w:val="22"/>
                <w:szCs w:val="22"/>
              </w:rPr>
              <w:t>Metal</w:t>
            </w:r>
          </w:p>
        </w:tc>
        <w:tc>
          <w:tcPr>
            <w:tcW w:w="1530" w:type="dxa"/>
            <w:tcBorders>
              <w:top w:val="nil"/>
              <w:left w:val="nil"/>
              <w:bottom w:val="nil"/>
              <w:right w:val="nil"/>
            </w:tcBorders>
            <w:tcMar>
              <w:top w:w="40" w:type="dxa"/>
              <w:left w:w="40" w:type="dxa"/>
              <w:bottom w:w="40" w:type="dxa"/>
              <w:right w:w="40" w:type="dxa"/>
            </w:tcMar>
            <w:vAlign w:val="center"/>
          </w:tcPr>
          <w:p w14:paraId="3EDA88C8" w14:textId="77777777" w:rsidR="002C4E1B" w:rsidRDefault="002C4E1B" w:rsidP="00A27EDC">
            <w:pPr>
              <w:widowControl w:val="0"/>
              <w:spacing w:line="276" w:lineRule="auto"/>
              <w:rPr>
                <w:rFonts w:ascii="Arial" w:eastAsia="Arial" w:hAnsi="Arial" w:cs="Arial"/>
                <w:sz w:val="20"/>
                <w:szCs w:val="20"/>
              </w:rPr>
            </w:pPr>
            <w:r>
              <w:rPr>
                <w:sz w:val="22"/>
                <w:szCs w:val="22"/>
              </w:rPr>
              <w:t>Gold</w:t>
            </w:r>
          </w:p>
        </w:tc>
        <w:tc>
          <w:tcPr>
            <w:tcW w:w="1530" w:type="dxa"/>
            <w:tcBorders>
              <w:top w:val="nil"/>
              <w:left w:val="nil"/>
              <w:bottom w:val="nil"/>
              <w:right w:val="nil"/>
            </w:tcBorders>
            <w:tcMar>
              <w:top w:w="40" w:type="dxa"/>
              <w:left w:w="40" w:type="dxa"/>
              <w:bottom w:w="40" w:type="dxa"/>
              <w:right w:w="40" w:type="dxa"/>
            </w:tcMar>
            <w:vAlign w:val="center"/>
          </w:tcPr>
          <w:p w14:paraId="60BE4642" w14:textId="77777777" w:rsidR="002C4E1B" w:rsidRDefault="002C4E1B" w:rsidP="00A27EDC">
            <w:pPr>
              <w:widowControl w:val="0"/>
              <w:spacing w:line="276" w:lineRule="auto"/>
              <w:rPr>
                <w:rFonts w:ascii="Arial" w:eastAsia="Arial" w:hAnsi="Arial" w:cs="Arial"/>
                <w:sz w:val="20"/>
                <w:szCs w:val="20"/>
              </w:rPr>
            </w:pPr>
            <w:r>
              <w:rPr>
                <w:sz w:val="22"/>
                <w:szCs w:val="22"/>
              </w:rPr>
              <w:t>COMEX</w:t>
            </w:r>
          </w:p>
        </w:tc>
        <w:tc>
          <w:tcPr>
            <w:tcW w:w="7290" w:type="dxa"/>
            <w:tcBorders>
              <w:top w:val="nil"/>
              <w:left w:val="nil"/>
              <w:bottom w:val="nil"/>
              <w:right w:val="nil"/>
            </w:tcBorders>
            <w:tcMar>
              <w:top w:w="40" w:type="dxa"/>
              <w:left w:w="40" w:type="dxa"/>
              <w:bottom w:w="40" w:type="dxa"/>
              <w:right w:w="40" w:type="dxa"/>
            </w:tcMar>
            <w:vAlign w:val="center"/>
          </w:tcPr>
          <w:p w14:paraId="7E9A3780" w14:textId="77777777" w:rsidR="002C4E1B" w:rsidRDefault="002C4E1B" w:rsidP="00A27EDC">
            <w:pPr>
              <w:widowControl w:val="0"/>
              <w:spacing w:line="276" w:lineRule="auto"/>
              <w:rPr>
                <w:rFonts w:ascii="Arial" w:eastAsia="Arial" w:hAnsi="Arial" w:cs="Arial"/>
                <w:sz w:val="20"/>
                <w:szCs w:val="20"/>
              </w:rPr>
            </w:pPr>
            <w:r>
              <w:rPr>
                <w:sz w:val="22"/>
                <w:szCs w:val="22"/>
              </w:rPr>
              <w:t>COMEX Gold Composite Commodity Future Continuation 1</w:t>
            </w:r>
          </w:p>
        </w:tc>
      </w:tr>
      <w:tr w:rsidR="002C4E1B" w14:paraId="2D4336B1" w14:textId="77777777" w:rsidTr="00A27EDC">
        <w:trPr>
          <w:trHeight w:val="315"/>
        </w:trPr>
        <w:tc>
          <w:tcPr>
            <w:tcW w:w="1170" w:type="dxa"/>
            <w:vMerge/>
            <w:tcBorders>
              <w:top w:val="nil"/>
              <w:left w:val="nil"/>
              <w:bottom w:val="nil"/>
              <w:right w:val="nil"/>
            </w:tcBorders>
            <w:shd w:val="clear" w:color="auto" w:fill="auto"/>
            <w:tcMar>
              <w:top w:w="100" w:type="dxa"/>
              <w:left w:w="100" w:type="dxa"/>
              <w:bottom w:w="100" w:type="dxa"/>
              <w:right w:w="100" w:type="dxa"/>
            </w:tcMar>
          </w:tcPr>
          <w:p w14:paraId="0811C812"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2D34FE22" w14:textId="77777777" w:rsidR="002C4E1B" w:rsidRDefault="002C4E1B" w:rsidP="00A27EDC">
            <w:pPr>
              <w:widowControl w:val="0"/>
              <w:spacing w:line="276" w:lineRule="auto"/>
              <w:rPr>
                <w:rFonts w:ascii="Arial" w:eastAsia="Arial" w:hAnsi="Arial" w:cs="Arial"/>
                <w:sz w:val="20"/>
                <w:szCs w:val="20"/>
              </w:rPr>
            </w:pPr>
            <w:r>
              <w:rPr>
                <w:sz w:val="22"/>
                <w:szCs w:val="22"/>
              </w:rPr>
              <w:t>Silver</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65061C8A" w14:textId="77777777" w:rsidR="002C4E1B" w:rsidRDefault="002C4E1B" w:rsidP="00A27EDC">
            <w:pPr>
              <w:widowControl w:val="0"/>
              <w:spacing w:line="276" w:lineRule="auto"/>
              <w:rPr>
                <w:rFonts w:ascii="Arial" w:eastAsia="Arial" w:hAnsi="Arial" w:cs="Arial"/>
                <w:sz w:val="20"/>
                <w:szCs w:val="20"/>
              </w:rPr>
            </w:pPr>
            <w:r>
              <w:rPr>
                <w:sz w:val="22"/>
                <w:szCs w:val="22"/>
              </w:rPr>
              <w:t>COMEX</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3681D132" w14:textId="3EBC29D0" w:rsidR="002C4E1B" w:rsidRDefault="002C4E1B" w:rsidP="00A27EDC">
            <w:pPr>
              <w:widowControl w:val="0"/>
              <w:spacing w:line="276" w:lineRule="auto"/>
              <w:rPr>
                <w:rFonts w:ascii="Arial" w:eastAsia="Arial" w:hAnsi="Arial" w:cs="Arial"/>
                <w:sz w:val="20"/>
                <w:szCs w:val="20"/>
              </w:rPr>
            </w:pPr>
            <w:r>
              <w:rPr>
                <w:sz w:val="22"/>
                <w:szCs w:val="22"/>
              </w:rPr>
              <w:t>COMEX Silver Composite Commodity Future</w:t>
            </w:r>
            <w:r w:rsidR="0041692D">
              <w:rPr>
                <w:sz w:val="22"/>
                <w:szCs w:val="22"/>
              </w:rPr>
              <w:t xml:space="preserve"> Continuation 1</w:t>
            </w:r>
          </w:p>
        </w:tc>
      </w:tr>
      <w:tr w:rsidR="002C4E1B" w14:paraId="4EB1A7CD" w14:textId="77777777" w:rsidTr="00A27EDC">
        <w:trPr>
          <w:trHeight w:val="315"/>
        </w:trPr>
        <w:tc>
          <w:tcPr>
            <w:tcW w:w="1170" w:type="dxa"/>
            <w:vMerge/>
            <w:tcBorders>
              <w:top w:val="nil"/>
              <w:left w:val="nil"/>
              <w:bottom w:val="nil"/>
              <w:right w:val="nil"/>
            </w:tcBorders>
            <w:shd w:val="clear" w:color="auto" w:fill="auto"/>
            <w:tcMar>
              <w:top w:w="100" w:type="dxa"/>
              <w:left w:w="100" w:type="dxa"/>
              <w:bottom w:w="100" w:type="dxa"/>
              <w:right w:w="100" w:type="dxa"/>
            </w:tcMar>
          </w:tcPr>
          <w:p w14:paraId="069601BD"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43CD768B" w14:textId="77777777" w:rsidR="002C4E1B" w:rsidRDefault="002C4E1B" w:rsidP="00A27EDC">
            <w:pPr>
              <w:widowControl w:val="0"/>
              <w:spacing w:line="276" w:lineRule="auto"/>
              <w:rPr>
                <w:rFonts w:ascii="Arial" w:eastAsia="Arial" w:hAnsi="Arial" w:cs="Arial"/>
                <w:sz w:val="20"/>
                <w:szCs w:val="20"/>
              </w:rPr>
            </w:pPr>
            <w:r>
              <w:rPr>
                <w:sz w:val="22"/>
                <w:szCs w:val="22"/>
              </w:rPr>
              <w:t>Palladium</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3C4985E4" w14:textId="77777777" w:rsidR="002C4E1B" w:rsidRDefault="002C4E1B" w:rsidP="00A27EDC">
            <w:pPr>
              <w:widowControl w:val="0"/>
              <w:spacing w:line="276" w:lineRule="auto"/>
              <w:rPr>
                <w:rFonts w:ascii="Arial" w:eastAsia="Arial" w:hAnsi="Arial" w:cs="Arial"/>
                <w:sz w:val="20"/>
                <w:szCs w:val="20"/>
              </w:rPr>
            </w:pPr>
            <w:r>
              <w:rPr>
                <w:sz w:val="22"/>
                <w:szCs w:val="22"/>
              </w:rPr>
              <w:t>NYMEX</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6BA25C09" w14:textId="77777777" w:rsidR="002C4E1B" w:rsidRDefault="002C4E1B" w:rsidP="00A27EDC">
            <w:pPr>
              <w:widowControl w:val="0"/>
              <w:spacing w:line="276" w:lineRule="auto"/>
              <w:rPr>
                <w:rFonts w:ascii="Arial" w:eastAsia="Arial" w:hAnsi="Arial" w:cs="Arial"/>
                <w:sz w:val="20"/>
                <w:szCs w:val="20"/>
              </w:rPr>
            </w:pPr>
            <w:r>
              <w:rPr>
                <w:sz w:val="22"/>
                <w:szCs w:val="22"/>
              </w:rPr>
              <w:t>NYMEX Palladium Electronic Commodity Future Continuation 1</w:t>
            </w:r>
          </w:p>
        </w:tc>
      </w:tr>
      <w:tr w:rsidR="002C4E1B" w14:paraId="3EA6DA50" w14:textId="77777777" w:rsidTr="00A27EDC">
        <w:trPr>
          <w:trHeight w:val="315"/>
        </w:trPr>
        <w:tc>
          <w:tcPr>
            <w:tcW w:w="1170" w:type="dxa"/>
            <w:vMerge/>
            <w:tcBorders>
              <w:top w:val="nil"/>
              <w:left w:val="nil"/>
              <w:bottom w:val="nil"/>
              <w:right w:val="nil"/>
            </w:tcBorders>
            <w:shd w:val="clear" w:color="auto" w:fill="auto"/>
            <w:tcMar>
              <w:top w:w="100" w:type="dxa"/>
              <w:left w:w="100" w:type="dxa"/>
              <w:bottom w:w="100" w:type="dxa"/>
              <w:right w:w="100" w:type="dxa"/>
            </w:tcMar>
          </w:tcPr>
          <w:p w14:paraId="107F37EC"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7B91010B" w14:textId="77777777" w:rsidR="002C4E1B" w:rsidRDefault="002C4E1B" w:rsidP="00A27EDC">
            <w:pPr>
              <w:widowControl w:val="0"/>
              <w:spacing w:line="276" w:lineRule="auto"/>
              <w:rPr>
                <w:rFonts w:ascii="Arial" w:eastAsia="Arial" w:hAnsi="Arial" w:cs="Arial"/>
                <w:sz w:val="20"/>
                <w:szCs w:val="20"/>
              </w:rPr>
            </w:pPr>
            <w:r>
              <w:rPr>
                <w:sz w:val="22"/>
                <w:szCs w:val="22"/>
              </w:rPr>
              <w:t>Platinum</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04E1F890" w14:textId="13C9DC18" w:rsidR="002C4E1B" w:rsidRDefault="0065713C" w:rsidP="00A27EDC">
            <w:pPr>
              <w:widowControl w:val="0"/>
              <w:spacing w:line="276" w:lineRule="auto"/>
              <w:rPr>
                <w:rFonts w:ascii="Arial" w:eastAsia="Arial" w:hAnsi="Arial" w:cs="Arial"/>
                <w:sz w:val="20"/>
                <w:szCs w:val="20"/>
              </w:rPr>
            </w:pPr>
            <w:r>
              <w:rPr>
                <w:sz w:val="22"/>
                <w:szCs w:val="22"/>
              </w:rPr>
              <w:t xml:space="preserve">NYMEX </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6C095FA3" w14:textId="7F959737" w:rsidR="002C4E1B" w:rsidRDefault="0025659C" w:rsidP="00A27EDC">
            <w:pPr>
              <w:widowControl w:val="0"/>
              <w:spacing w:line="276" w:lineRule="auto"/>
              <w:rPr>
                <w:rFonts w:ascii="Arial" w:eastAsia="Arial" w:hAnsi="Arial" w:cs="Arial"/>
                <w:sz w:val="20"/>
                <w:szCs w:val="20"/>
              </w:rPr>
            </w:pPr>
            <w:r>
              <w:rPr>
                <w:sz w:val="22"/>
                <w:szCs w:val="22"/>
              </w:rPr>
              <w:t>NYMEX Platinum Electronic Commodity Future Continuation 1</w:t>
            </w:r>
          </w:p>
        </w:tc>
      </w:tr>
      <w:tr w:rsidR="002C4E1B" w14:paraId="1C5A02AA" w14:textId="77777777" w:rsidTr="00A27EDC">
        <w:trPr>
          <w:trHeight w:val="315"/>
        </w:trPr>
        <w:tc>
          <w:tcPr>
            <w:tcW w:w="1170" w:type="dxa"/>
            <w:vMerge/>
            <w:tcBorders>
              <w:top w:val="nil"/>
              <w:left w:val="nil"/>
              <w:bottom w:val="nil"/>
              <w:right w:val="nil"/>
            </w:tcBorders>
            <w:shd w:val="clear" w:color="auto" w:fill="auto"/>
            <w:tcMar>
              <w:top w:w="100" w:type="dxa"/>
              <w:left w:w="100" w:type="dxa"/>
              <w:bottom w:w="100" w:type="dxa"/>
              <w:right w:w="100" w:type="dxa"/>
            </w:tcMar>
          </w:tcPr>
          <w:p w14:paraId="221210B2"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2A174A24" w14:textId="77777777" w:rsidR="002C4E1B" w:rsidRDefault="002C4E1B" w:rsidP="00A27EDC">
            <w:pPr>
              <w:widowControl w:val="0"/>
              <w:spacing w:line="276" w:lineRule="auto"/>
              <w:rPr>
                <w:rFonts w:ascii="Arial" w:eastAsia="Arial" w:hAnsi="Arial" w:cs="Arial"/>
                <w:sz w:val="20"/>
                <w:szCs w:val="20"/>
              </w:rPr>
            </w:pPr>
            <w:r>
              <w:rPr>
                <w:sz w:val="22"/>
                <w:szCs w:val="22"/>
              </w:rPr>
              <w:t>Copper</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5A8419DF" w14:textId="295FADF7" w:rsidR="002C4E1B" w:rsidRDefault="00C736C8" w:rsidP="00A27EDC">
            <w:pPr>
              <w:widowControl w:val="0"/>
              <w:spacing w:line="276" w:lineRule="auto"/>
              <w:rPr>
                <w:rFonts w:ascii="Arial" w:eastAsia="Arial" w:hAnsi="Arial" w:cs="Arial"/>
                <w:sz w:val="20"/>
                <w:szCs w:val="20"/>
              </w:rPr>
            </w:pPr>
            <w:r>
              <w:rPr>
                <w:sz w:val="22"/>
                <w:szCs w:val="22"/>
              </w:rPr>
              <w:t>COMEX</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18E17534" w14:textId="420D3965" w:rsidR="002C4E1B" w:rsidRDefault="0025659C" w:rsidP="00A27EDC">
            <w:pPr>
              <w:widowControl w:val="0"/>
              <w:spacing w:line="276" w:lineRule="auto"/>
              <w:rPr>
                <w:rFonts w:ascii="Arial" w:eastAsia="Arial" w:hAnsi="Arial" w:cs="Arial"/>
                <w:sz w:val="20"/>
                <w:szCs w:val="20"/>
              </w:rPr>
            </w:pPr>
            <w:r>
              <w:rPr>
                <w:sz w:val="22"/>
                <w:szCs w:val="22"/>
              </w:rPr>
              <w:t xml:space="preserve">COMEX Copper Composite Commodity Future Continuation </w:t>
            </w:r>
            <w:r w:rsidR="0065713C">
              <w:rPr>
                <w:sz w:val="22"/>
                <w:szCs w:val="22"/>
              </w:rPr>
              <w:t>1</w:t>
            </w:r>
          </w:p>
        </w:tc>
      </w:tr>
      <w:tr w:rsidR="002C4E1B" w14:paraId="15ADE6EA" w14:textId="77777777" w:rsidTr="00A27EDC">
        <w:trPr>
          <w:trHeight w:val="315"/>
        </w:trPr>
        <w:tc>
          <w:tcPr>
            <w:tcW w:w="1170" w:type="dxa"/>
            <w:vMerge w:val="restart"/>
            <w:tcBorders>
              <w:top w:val="nil"/>
              <w:left w:val="nil"/>
              <w:bottom w:val="nil"/>
              <w:right w:val="nil"/>
            </w:tcBorders>
            <w:shd w:val="clear" w:color="auto" w:fill="auto"/>
            <w:tcMar>
              <w:top w:w="40" w:type="dxa"/>
              <w:left w:w="40" w:type="dxa"/>
              <w:bottom w:w="40" w:type="dxa"/>
              <w:right w:w="40" w:type="dxa"/>
            </w:tcMar>
          </w:tcPr>
          <w:p w14:paraId="44250521" w14:textId="77777777" w:rsidR="002C4E1B" w:rsidRDefault="002C4E1B" w:rsidP="00A27EDC">
            <w:pPr>
              <w:widowControl w:val="0"/>
              <w:spacing w:line="276" w:lineRule="auto"/>
              <w:rPr>
                <w:sz w:val="22"/>
                <w:szCs w:val="22"/>
              </w:rPr>
            </w:pPr>
            <w:r>
              <w:rPr>
                <w:sz w:val="22"/>
                <w:szCs w:val="22"/>
              </w:rPr>
              <w:t>Energy</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5B42A6DE" w14:textId="77777777" w:rsidR="002C4E1B" w:rsidRDefault="002C4E1B" w:rsidP="00A27EDC">
            <w:pPr>
              <w:widowControl w:val="0"/>
              <w:spacing w:line="276" w:lineRule="auto"/>
              <w:rPr>
                <w:rFonts w:ascii="Arial" w:eastAsia="Arial" w:hAnsi="Arial" w:cs="Arial"/>
                <w:sz w:val="20"/>
                <w:szCs w:val="20"/>
              </w:rPr>
            </w:pPr>
            <w:r>
              <w:rPr>
                <w:sz w:val="22"/>
                <w:szCs w:val="22"/>
              </w:rPr>
              <w:t>WTI Crude Oil</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2708715C" w14:textId="77777777" w:rsidR="002C4E1B" w:rsidRDefault="002C4E1B" w:rsidP="00A27EDC">
            <w:pPr>
              <w:widowControl w:val="0"/>
              <w:spacing w:line="276" w:lineRule="auto"/>
              <w:rPr>
                <w:rFonts w:ascii="Arial" w:eastAsia="Arial" w:hAnsi="Arial" w:cs="Arial"/>
                <w:sz w:val="20"/>
                <w:szCs w:val="20"/>
              </w:rPr>
            </w:pPr>
            <w:r>
              <w:rPr>
                <w:sz w:val="22"/>
                <w:szCs w:val="22"/>
              </w:rPr>
              <w:t>NYMEX</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09F1A0AE" w14:textId="77777777" w:rsidR="002C4E1B" w:rsidRDefault="002C4E1B" w:rsidP="00A27EDC">
            <w:pPr>
              <w:widowControl w:val="0"/>
              <w:spacing w:line="276" w:lineRule="auto"/>
              <w:rPr>
                <w:rFonts w:ascii="Arial" w:eastAsia="Arial" w:hAnsi="Arial" w:cs="Arial"/>
                <w:sz w:val="20"/>
                <w:szCs w:val="20"/>
              </w:rPr>
            </w:pPr>
            <w:r>
              <w:rPr>
                <w:sz w:val="22"/>
                <w:szCs w:val="22"/>
              </w:rPr>
              <w:t>NYMEX Light Sweet Crude Oil (WTI) Electronic Energy Future Continuation 1</w:t>
            </w:r>
          </w:p>
        </w:tc>
      </w:tr>
      <w:tr w:rsidR="002C4E1B" w14:paraId="79968EA9" w14:textId="77777777" w:rsidTr="00A27EDC">
        <w:trPr>
          <w:trHeight w:val="315"/>
        </w:trPr>
        <w:tc>
          <w:tcPr>
            <w:tcW w:w="1170" w:type="dxa"/>
            <w:vMerge/>
            <w:tcBorders>
              <w:top w:val="nil"/>
              <w:left w:val="nil"/>
              <w:bottom w:val="nil"/>
              <w:right w:val="nil"/>
            </w:tcBorders>
            <w:shd w:val="clear" w:color="auto" w:fill="auto"/>
            <w:tcMar>
              <w:top w:w="100" w:type="dxa"/>
              <w:left w:w="100" w:type="dxa"/>
              <w:bottom w:w="100" w:type="dxa"/>
              <w:right w:w="100" w:type="dxa"/>
            </w:tcMar>
          </w:tcPr>
          <w:p w14:paraId="4B805F39"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16D1DABC" w14:textId="77777777" w:rsidR="002C4E1B" w:rsidRDefault="002C4E1B" w:rsidP="00A27EDC">
            <w:pPr>
              <w:widowControl w:val="0"/>
              <w:spacing w:line="276" w:lineRule="auto"/>
              <w:rPr>
                <w:rFonts w:ascii="Arial" w:eastAsia="Arial" w:hAnsi="Arial" w:cs="Arial"/>
                <w:sz w:val="20"/>
                <w:szCs w:val="20"/>
              </w:rPr>
            </w:pPr>
            <w:r>
              <w:rPr>
                <w:sz w:val="22"/>
                <w:szCs w:val="22"/>
              </w:rPr>
              <w:t>Brent Crude Oil</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0BC12DA6" w14:textId="0FD35AF5" w:rsidR="002C4E1B" w:rsidRDefault="00691D1F" w:rsidP="00A27EDC">
            <w:pPr>
              <w:widowControl w:val="0"/>
              <w:spacing w:line="276" w:lineRule="auto"/>
              <w:rPr>
                <w:rFonts w:ascii="Arial" w:eastAsia="Arial" w:hAnsi="Arial" w:cs="Arial"/>
                <w:sz w:val="20"/>
                <w:szCs w:val="20"/>
              </w:rPr>
            </w:pPr>
            <w:r>
              <w:rPr>
                <w:sz w:val="22"/>
                <w:szCs w:val="22"/>
              </w:rPr>
              <w:t>ICE-Europe</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0D00FA7F" w14:textId="57AEEBA9" w:rsidR="002C4E1B" w:rsidRDefault="0025659C" w:rsidP="00A27EDC">
            <w:pPr>
              <w:widowControl w:val="0"/>
              <w:spacing w:line="276" w:lineRule="auto"/>
              <w:rPr>
                <w:rFonts w:ascii="Arial" w:eastAsia="Arial" w:hAnsi="Arial" w:cs="Arial"/>
                <w:sz w:val="20"/>
                <w:szCs w:val="20"/>
              </w:rPr>
            </w:pPr>
            <w:r>
              <w:rPr>
                <w:sz w:val="22"/>
                <w:szCs w:val="22"/>
              </w:rPr>
              <w:t>ICE</w:t>
            </w:r>
            <w:r w:rsidR="005E31D3">
              <w:rPr>
                <w:sz w:val="22"/>
                <w:szCs w:val="22"/>
              </w:rPr>
              <w:t>-</w:t>
            </w:r>
            <w:r>
              <w:rPr>
                <w:sz w:val="22"/>
                <w:szCs w:val="22"/>
              </w:rPr>
              <w:t>Europe Brent Crude Electronic Energy Future</w:t>
            </w:r>
            <w:r w:rsidR="00451F68">
              <w:rPr>
                <w:sz w:val="22"/>
                <w:szCs w:val="22"/>
              </w:rPr>
              <w:t xml:space="preserve"> Continuation 1</w:t>
            </w:r>
          </w:p>
        </w:tc>
      </w:tr>
      <w:tr w:rsidR="002C4E1B" w14:paraId="110A040C" w14:textId="77777777" w:rsidTr="00A27EDC">
        <w:trPr>
          <w:trHeight w:val="315"/>
        </w:trPr>
        <w:tc>
          <w:tcPr>
            <w:tcW w:w="1170" w:type="dxa"/>
            <w:vMerge/>
            <w:tcBorders>
              <w:top w:val="nil"/>
              <w:left w:val="nil"/>
              <w:bottom w:val="nil"/>
              <w:right w:val="nil"/>
            </w:tcBorders>
            <w:shd w:val="clear" w:color="auto" w:fill="auto"/>
            <w:tcMar>
              <w:top w:w="100" w:type="dxa"/>
              <w:left w:w="100" w:type="dxa"/>
              <w:bottom w:w="100" w:type="dxa"/>
              <w:right w:w="100" w:type="dxa"/>
            </w:tcMar>
          </w:tcPr>
          <w:p w14:paraId="1FEBCFE6"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3493709D" w14:textId="77777777" w:rsidR="002C4E1B" w:rsidRDefault="002C4E1B" w:rsidP="00A27EDC">
            <w:pPr>
              <w:widowControl w:val="0"/>
              <w:spacing w:line="276" w:lineRule="auto"/>
              <w:rPr>
                <w:rFonts w:ascii="Arial" w:eastAsia="Arial" w:hAnsi="Arial" w:cs="Arial"/>
                <w:sz w:val="20"/>
                <w:szCs w:val="20"/>
              </w:rPr>
            </w:pPr>
            <w:r>
              <w:rPr>
                <w:sz w:val="22"/>
                <w:szCs w:val="22"/>
              </w:rPr>
              <w:t>Natural Gas</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17540A82" w14:textId="26A5A1D7" w:rsidR="002C4E1B" w:rsidRDefault="00B54E13" w:rsidP="00A27EDC">
            <w:pPr>
              <w:widowControl w:val="0"/>
              <w:spacing w:line="276" w:lineRule="auto"/>
              <w:rPr>
                <w:rFonts w:ascii="Arial" w:eastAsia="Arial" w:hAnsi="Arial" w:cs="Arial"/>
                <w:sz w:val="20"/>
                <w:szCs w:val="20"/>
              </w:rPr>
            </w:pPr>
            <w:r>
              <w:rPr>
                <w:sz w:val="22"/>
                <w:szCs w:val="22"/>
              </w:rPr>
              <w:t>NYMEX</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0E23DE0B" w14:textId="105FA5C5" w:rsidR="002C4E1B" w:rsidRDefault="0025659C" w:rsidP="00A27EDC">
            <w:pPr>
              <w:widowControl w:val="0"/>
              <w:spacing w:line="276" w:lineRule="auto"/>
              <w:rPr>
                <w:rFonts w:ascii="Arial" w:eastAsia="Arial" w:hAnsi="Arial" w:cs="Arial"/>
                <w:sz w:val="20"/>
                <w:szCs w:val="20"/>
              </w:rPr>
            </w:pPr>
            <w:r>
              <w:rPr>
                <w:sz w:val="22"/>
                <w:szCs w:val="22"/>
              </w:rPr>
              <w:t>NYMEX Henry Hub Natural Gas Electronic Energy Future Continuation 1</w:t>
            </w:r>
          </w:p>
        </w:tc>
      </w:tr>
      <w:tr w:rsidR="002C4E1B" w14:paraId="18D64552" w14:textId="77777777" w:rsidTr="00A27EDC">
        <w:trPr>
          <w:trHeight w:val="315"/>
        </w:trPr>
        <w:tc>
          <w:tcPr>
            <w:tcW w:w="1170" w:type="dxa"/>
            <w:vMerge w:val="restart"/>
            <w:tcBorders>
              <w:top w:val="nil"/>
              <w:left w:val="nil"/>
              <w:bottom w:val="single" w:sz="4" w:space="0" w:color="000000"/>
              <w:right w:val="nil"/>
            </w:tcBorders>
            <w:shd w:val="clear" w:color="auto" w:fill="auto"/>
            <w:tcMar>
              <w:top w:w="40" w:type="dxa"/>
              <w:left w:w="40" w:type="dxa"/>
              <w:bottom w:w="40" w:type="dxa"/>
              <w:right w:w="40" w:type="dxa"/>
            </w:tcMar>
          </w:tcPr>
          <w:p w14:paraId="4849EEBD" w14:textId="77777777" w:rsidR="002C4E1B" w:rsidRDefault="002C4E1B" w:rsidP="00A27EDC">
            <w:pPr>
              <w:widowControl w:val="0"/>
              <w:spacing w:line="276" w:lineRule="auto"/>
              <w:rPr>
                <w:sz w:val="22"/>
                <w:szCs w:val="22"/>
              </w:rPr>
            </w:pPr>
            <w:r>
              <w:rPr>
                <w:sz w:val="22"/>
                <w:szCs w:val="22"/>
              </w:rPr>
              <w:t>Agriculture</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5758B335" w14:textId="77777777" w:rsidR="002C4E1B" w:rsidRDefault="002C4E1B" w:rsidP="00A27EDC">
            <w:pPr>
              <w:widowControl w:val="0"/>
              <w:spacing w:line="276" w:lineRule="auto"/>
              <w:rPr>
                <w:rFonts w:ascii="Arial" w:eastAsia="Arial" w:hAnsi="Arial" w:cs="Arial"/>
                <w:sz w:val="20"/>
                <w:szCs w:val="20"/>
              </w:rPr>
            </w:pPr>
            <w:r>
              <w:rPr>
                <w:sz w:val="22"/>
                <w:szCs w:val="22"/>
              </w:rPr>
              <w:t>Corn</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00DFDD56" w14:textId="1D4A2B09" w:rsidR="002C4E1B" w:rsidRDefault="00141427" w:rsidP="00A27EDC">
            <w:pPr>
              <w:widowControl w:val="0"/>
              <w:spacing w:line="276" w:lineRule="auto"/>
              <w:rPr>
                <w:rFonts w:ascii="Arial" w:eastAsia="Arial" w:hAnsi="Arial" w:cs="Arial"/>
                <w:sz w:val="20"/>
                <w:szCs w:val="20"/>
              </w:rPr>
            </w:pPr>
            <w:r>
              <w:rPr>
                <w:sz w:val="22"/>
                <w:szCs w:val="22"/>
              </w:rPr>
              <w:t>CBoT</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273AE0FE" w14:textId="6CE8E8FC" w:rsidR="002C4E1B" w:rsidRDefault="0025659C" w:rsidP="00A27EDC">
            <w:pPr>
              <w:widowControl w:val="0"/>
              <w:spacing w:line="276" w:lineRule="auto"/>
              <w:rPr>
                <w:rFonts w:ascii="Arial" w:eastAsia="Arial" w:hAnsi="Arial" w:cs="Arial"/>
                <w:sz w:val="20"/>
                <w:szCs w:val="20"/>
              </w:rPr>
            </w:pPr>
            <w:r>
              <w:rPr>
                <w:sz w:val="22"/>
                <w:szCs w:val="22"/>
              </w:rPr>
              <w:t xml:space="preserve">CBoT Corn Composite Commodity Future </w:t>
            </w:r>
            <w:r w:rsidR="00B96DE0">
              <w:rPr>
                <w:sz w:val="22"/>
                <w:szCs w:val="22"/>
              </w:rPr>
              <w:t>Continuation 1</w:t>
            </w:r>
          </w:p>
        </w:tc>
      </w:tr>
      <w:tr w:rsidR="002C4E1B" w14:paraId="7C2BE5F7" w14:textId="77777777" w:rsidTr="00A27EDC">
        <w:trPr>
          <w:trHeight w:val="315"/>
        </w:trPr>
        <w:tc>
          <w:tcPr>
            <w:tcW w:w="1170" w:type="dxa"/>
            <w:vMerge/>
            <w:tcBorders>
              <w:top w:val="nil"/>
              <w:left w:val="nil"/>
              <w:bottom w:val="single" w:sz="4" w:space="0" w:color="000000"/>
              <w:right w:val="nil"/>
            </w:tcBorders>
            <w:shd w:val="clear" w:color="auto" w:fill="auto"/>
            <w:tcMar>
              <w:top w:w="100" w:type="dxa"/>
              <w:left w:w="100" w:type="dxa"/>
              <w:bottom w:w="100" w:type="dxa"/>
              <w:right w:w="100" w:type="dxa"/>
            </w:tcMar>
          </w:tcPr>
          <w:p w14:paraId="6F2E1FFC"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578DE9CA" w14:textId="77777777" w:rsidR="002C4E1B" w:rsidRDefault="002C4E1B" w:rsidP="00A27EDC">
            <w:pPr>
              <w:widowControl w:val="0"/>
              <w:spacing w:line="276" w:lineRule="auto"/>
              <w:rPr>
                <w:rFonts w:ascii="Arial" w:eastAsia="Arial" w:hAnsi="Arial" w:cs="Arial"/>
                <w:sz w:val="20"/>
                <w:szCs w:val="20"/>
              </w:rPr>
            </w:pPr>
            <w:r>
              <w:rPr>
                <w:sz w:val="22"/>
                <w:szCs w:val="22"/>
              </w:rPr>
              <w:t>Cocoa</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7A4EC784" w14:textId="77777777" w:rsidR="002C4E1B" w:rsidRDefault="002C4E1B" w:rsidP="00A27EDC">
            <w:pPr>
              <w:widowControl w:val="0"/>
              <w:spacing w:line="276" w:lineRule="auto"/>
              <w:rPr>
                <w:rFonts w:ascii="Arial" w:eastAsia="Arial" w:hAnsi="Arial" w:cs="Arial"/>
                <w:sz w:val="20"/>
                <w:szCs w:val="20"/>
              </w:rPr>
            </w:pPr>
            <w:r>
              <w:rPr>
                <w:sz w:val="22"/>
                <w:szCs w:val="22"/>
              </w:rPr>
              <w:t>ICE-US</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3B490AB0" w14:textId="508E5C57" w:rsidR="002C4E1B" w:rsidRDefault="0025659C" w:rsidP="00A27EDC">
            <w:pPr>
              <w:widowControl w:val="0"/>
              <w:spacing w:line="276" w:lineRule="auto"/>
              <w:rPr>
                <w:rFonts w:ascii="Arial" w:eastAsia="Arial" w:hAnsi="Arial" w:cs="Arial"/>
                <w:sz w:val="20"/>
                <w:szCs w:val="20"/>
              </w:rPr>
            </w:pPr>
            <w:r>
              <w:rPr>
                <w:sz w:val="22"/>
                <w:szCs w:val="22"/>
              </w:rPr>
              <w:t>ICE-US Cocoa Futures Electronic Commodity Future Continuation 1</w:t>
            </w:r>
          </w:p>
        </w:tc>
      </w:tr>
      <w:tr w:rsidR="002C4E1B" w14:paraId="6C8ABBEA" w14:textId="77777777" w:rsidTr="00A27EDC">
        <w:trPr>
          <w:trHeight w:val="315"/>
        </w:trPr>
        <w:tc>
          <w:tcPr>
            <w:tcW w:w="1170" w:type="dxa"/>
            <w:vMerge/>
            <w:tcBorders>
              <w:top w:val="nil"/>
              <w:left w:val="nil"/>
              <w:bottom w:val="single" w:sz="4" w:space="0" w:color="000000"/>
              <w:right w:val="nil"/>
            </w:tcBorders>
            <w:shd w:val="clear" w:color="auto" w:fill="auto"/>
            <w:tcMar>
              <w:top w:w="100" w:type="dxa"/>
              <w:left w:w="100" w:type="dxa"/>
              <w:bottom w:w="100" w:type="dxa"/>
              <w:right w:w="100" w:type="dxa"/>
            </w:tcMar>
          </w:tcPr>
          <w:p w14:paraId="3B222161"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27674867" w14:textId="77777777" w:rsidR="002C4E1B" w:rsidRDefault="002C4E1B" w:rsidP="00A27EDC">
            <w:pPr>
              <w:widowControl w:val="0"/>
              <w:spacing w:line="276" w:lineRule="auto"/>
              <w:rPr>
                <w:rFonts w:ascii="Arial" w:eastAsia="Arial" w:hAnsi="Arial" w:cs="Arial"/>
                <w:sz w:val="20"/>
                <w:szCs w:val="20"/>
              </w:rPr>
            </w:pPr>
            <w:r>
              <w:rPr>
                <w:sz w:val="22"/>
                <w:szCs w:val="22"/>
              </w:rPr>
              <w:t>Cotton</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405159CE" w14:textId="77777777" w:rsidR="002C4E1B" w:rsidRDefault="002C4E1B" w:rsidP="00A27EDC">
            <w:pPr>
              <w:widowControl w:val="0"/>
              <w:spacing w:line="276" w:lineRule="auto"/>
              <w:rPr>
                <w:rFonts w:ascii="Arial" w:eastAsia="Arial" w:hAnsi="Arial" w:cs="Arial"/>
                <w:sz w:val="20"/>
                <w:szCs w:val="20"/>
              </w:rPr>
            </w:pPr>
            <w:r>
              <w:rPr>
                <w:sz w:val="22"/>
                <w:szCs w:val="22"/>
              </w:rPr>
              <w:t>ICE-US</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0BEF0B22" w14:textId="77777777" w:rsidR="002C4E1B" w:rsidRDefault="002C4E1B" w:rsidP="00A27EDC">
            <w:pPr>
              <w:widowControl w:val="0"/>
              <w:spacing w:line="276" w:lineRule="auto"/>
              <w:rPr>
                <w:rFonts w:ascii="Arial" w:eastAsia="Arial" w:hAnsi="Arial" w:cs="Arial"/>
                <w:sz w:val="20"/>
                <w:szCs w:val="20"/>
              </w:rPr>
            </w:pPr>
            <w:r>
              <w:rPr>
                <w:sz w:val="22"/>
                <w:szCs w:val="22"/>
              </w:rPr>
              <w:t>ICE-US Cotton No. 2 Futures Electronic Commodity Future Continuation 1</w:t>
            </w:r>
          </w:p>
        </w:tc>
      </w:tr>
      <w:tr w:rsidR="002C4E1B" w14:paraId="32B3B92B" w14:textId="77777777" w:rsidTr="00A27EDC">
        <w:trPr>
          <w:trHeight w:val="315"/>
        </w:trPr>
        <w:tc>
          <w:tcPr>
            <w:tcW w:w="1170" w:type="dxa"/>
            <w:vMerge/>
            <w:tcBorders>
              <w:top w:val="nil"/>
              <w:left w:val="nil"/>
              <w:bottom w:val="single" w:sz="4" w:space="0" w:color="000000"/>
              <w:right w:val="nil"/>
            </w:tcBorders>
            <w:shd w:val="clear" w:color="auto" w:fill="auto"/>
            <w:tcMar>
              <w:top w:w="100" w:type="dxa"/>
              <w:left w:w="100" w:type="dxa"/>
              <w:bottom w:w="100" w:type="dxa"/>
              <w:right w:w="100" w:type="dxa"/>
            </w:tcMar>
          </w:tcPr>
          <w:p w14:paraId="2157F26D"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45FC0129" w14:textId="77777777" w:rsidR="002C4E1B" w:rsidRDefault="002C4E1B" w:rsidP="00A27EDC">
            <w:pPr>
              <w:widowControl w:val="0"/>
              <w:spacing w:line="276" w:lineRule="auto"/>
              <w:rPr>
                <w:rFonts w:ascii="Arial" w:eastAsia="Arial" w:hAnsi="Arial" w:cs="Arial"/>
                <w:sz w:val="20"/>
                <w:szCs w:val="20"/>
              </w:rPr>
            </w:pPr>
            <w:r>
              <w:rPr>
                <w:sz w:val="22"/>
                <w:szCs w:val="22"/>
              </w:rPr>
              <w:t>Coffee</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6FC55942" w14:textId="74DE12D4" w:rsidR="002C4E1B" w:rsidRDefault="006520C7" w:rsidP="00A27EDC">
            <w:pPr>
              <w:widowControl w:val="0"/>
              <w:spacing w:line="276" w:lineRule="auto"/>
              <w:rPr>
                <w:rFonts w:ascii="Arial" w:eastAsia="Arial" w:hAnsi="Arial" w:cs="Arial"/>
                <w:sz w:val="20"/>
                <w:szCs w:val="20"/>
              </w:rPr>
            </w:pPr>
            <w:r>
              <w:rPr>
                <w:sz w:val="22"/>
                <w:szCs w:val="22"/>
              </w:rPr>
              <w:t>ICE-US</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00FE313E" w14:textId="11019C05" w:rsidR="002C4E1B" w:rsidRDefault="0025659C" w:rsidP="00A27EDC">
            <w:pPr>
              <w:widowControl w:val="0"/>
              <w:spacing w:line="276" w:lineRule="auto"/>
              <w:rPr>
                <w:rFonts w:ascii="Arial" w:eastAsia="Arial" w:hAnsi="Arial" w:cs="Arial"/>
                <w:sz w:val="20"/>
                <w:szCs w:val="20"/>
              </w:rPr>
            </w:pPr>
            <w:r>
              <w:rPr>
                <w:sz w:val="22"/>
                <w:szCs w:val="22"/>
              </w:rPr>
              <w:t xml:space="preserve">ICE-US Coffee Futures Electronic Commodity Future Continuation 1 </w:t>
            </w:r>
          </w:p>
        </w:tc>
      </w:tr>
      <w:tr w:rsidR="002C4E1B" w14:paraId="3C115776" w14:textId="77777777" w:rsidTr="00A27EDC">
        <w:trPr>
          <w:trHeight w:val="315"/>
        </w:trPr>
        <w:tc>
          <w:tcPr>
            <w:tcW w:w="1170" w:type="dxa"/>
            <w:vMerge/>
            <w:tcBorders>
              <w:top w:val="nil"/>
              <w:left w:val="nil"/>
              <w:bottom w:val="single" w:sz="4" w:space="0" w:color="000000"/>
              <w:right w:val="nil"/>
            </w:tcBorders>
            <w:shd w:val="clear" w:color="auto" w:fill="auto"/>
            <w:tcMar>
              <w:top w:w="100" w:type="dxa"/>
              <w:left w:w="100" w:type="dxa"/>
              <w:bottom w:w="100" w:type="dxa"/>
              <w:right w:w="100" w:type="dxa"/>
            </w:tcMar>
          </w:tcPr>
          <w:p w14:paraId="33D36F74"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bottom"/>
          </w:tcPr>
          <w:p w14:paraId="51678966" w14:textId="77777777" w:rsidR="002C4E1B" w:rsidRDefault="002C4E1B" w:rsidP="00A27EDC">
            <w:pPr>
              <w:widowControl w:val="0"/>
              <w:spacing w:line="276" w:lineRule="auto"/>
              <w:rPr>
                <w:rFonts w:ascii="Arial" w:eastAsia="Arial" w:hAnsi="Arial" w:cs="Arial"/>
                <w:sz w:val="20"/>
                <w:szCs w:val="20"/>
              </w:rPr>
            </w:pPr>
            <w:r>
              <w:rPr>
                <w:sz w:val="22"/>
                <w:szCs w:val="22"/>
              </w:rPr>
              <w:t>Lean Hogs</w:t>
            </w:r>
          </w:p>
        </w:tc>
        <w:tc>
          <w:tcPr>
            <w:tcW w:w="1530" w:type="dxa"/>
            <w:tcBorders>
              <w:top w:val="nil"/>
              <w:left w:val="nil"/>
              <w:bottom w:val="nil"/>
              <w:right w:val="nil"/>
            </w:tcBorders>
            <w:shd w:val="clear" w:color="auto" w:fill="auto"/>
            <w:tcMar>
              <w:top w:w="40" w:type="dxa"/>
              <w:left w:w="40" w:type="dxa"/>
              <w:bottom w:w="40" w:type="dxa"/>
              <w:right w:w="40" w:type="dxa"/>
            </w:tcMar>
            <w:vAlign w:val="bottom"/>
          </w:tcPr>
          <w:p w14:paraId="0C0EDE7E" w14:textId="37966F53" w:rsidR="002C4E1B" w:rsidRDefault="000F0BE2" w:rsidP="00A27EDC">
            <w:pPr>
              <w:widowControl w:val="0"/>
              <w:spacing w:line="276" w:lineRule="auto"/>
              <w:rPr>
                <w:rFonts w:ascii="Arial" w:eastAsia="Arial" w:hAnsi="Arial" w:cs="Arial"/>
                <w:sz w:val="20"/>
                <w:szCs w:val="20"/>
              </w:rPr>
            </w:pPr>
            <w:r>
              <w:rPr>
                <w:sz w:val="22"/>
                <w:szCs w:val="22"/>
              </w:rPr>
              <w:t>CME</w:t>
            </w:r>
          </w:p>
        </w:tc>
        <w:tc>
          <w:tcPr>
            <w:tcW w:w="7290" w:type="dxa"/>
            <w:tcBorders>
              <w:top w:val="nil"/>
              <w:left w:val="nil"/>
              <w:bottom w:val="nil"/>
              <w:right w:val="nil"/>
            </w:tcBorders>
            <w:shd w:val="clear" w:color="auto" w:fill="auto"/>
            <w:tcMar>
              <w:top w:w="40" w:type="dxa"/>
              <w:left w:w="40" w:type="dxa"/>
              <w:bottom w:w="40" w:type="dxa"/>
              <w:right w:w="40" w:type="dxa"/>
            </w:tcMar>
            <w:vAlign w:val="bottom"/>
          </w:tcPr>
          <w:p w14:paraId="317A4E0F" w14:textId="04BE21D7" w:rsidR="002C4E1B" w:rsidRDefault="0025659C" w:rsidP="00A27EDC">
            <w:pPr>
              <w:widowControl w:val="0"/>
              <w:spacing w:line="276" w:lineRule="auto"/>
              <w:rPr>
                <w:rFonts w:ascii="Arial" w:eastAsia="Arial" w:hAnsi="Arial" w:cs="Arial"/>
                <w:sz w:val="20"/>
                <w:szCs w:val="20"/>
              </w:rPr>
            </w:pPr>
            <w:r>
              <w:rPr>
                <w:sz w:val="22"/>
                <w:szCs w:val="22"/>
              </w:rPr>
              <w:t xml:space="preserve">CME Lean Hogs Electronic Commodity Future Continuation </w:t>
            </w:r>
            <w:r w:rsidR="00510DFB">
              <w:rPr>
                <w:sz w:val="22"/>
                <w:szCs w:val="22"/>
              </w:rPr>
              <w:t>1</w:t>
            </w:r>
          </w:p>
        </w:tc>
      </w:tr>
      <w:tr w:rsidR="002C4E1B" w14:paraId="48A71F6F" w14:textId="77777777" w:rsidTr="00A27EDC">
        <w:trPr>
          <w:trHeight w:val="330"/>
        </w:trPr>
        <w:tc>
          <w:tcPr>
            <w:tcW w:w="1170" w:type="dxa"/>
            <w:vMerge/>
            <w:tcBorders>
              <w:top w:val="nil"/>
              <w:left w:val="nil"/>
              <w:bottom w:val="single" w:sz="4" w:space="0" w:color="000000"/>
              <w:right w:val="nil"/>
            </w:tcBorders>
            <w:shd w:val="clear" w:color="auto" w:fill="auto"/>
            <w:tcMar>
              <w:top w:w="100" w:type="dxa"/>
              <w:left w:w="100" w:type="dxa"/>
              <w:bottom w:w="100" w:type="dxa"/>
              <w:right w:w="100" w:type="dxa"/>
            </w:tcMar>
          </w:tcPr>
          <w:p w14:paraId="005524AF"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single" w:sz="4" w:space="0" w:color="000000"/>
              <w:right w:val="nil"/>
            </w:tcBorders>
            <w:shd w:val="clear" w:color="auto" w:fill="auto"/>
            <w:tcMar>
              <w:top w:w="40" w:type="dxa"/>
              <w:left w:w="40" w:type="dxa"/>
              <w:bottom w:w="40" w:type="dxa"/>
              <w:right w:w="40" w:type="dxa"/>
            </w:tcMar>
            <w:vAlign w:val="bottom"/>
          </w:tcPr>
          <w:p w14:paraId="5D6D06BE" w14:textId="77777777" w:rsidR="002C4E1B" w:rsidRDefault="002C4E1B" w:rsidP="00A27EDC">
            <w:pPr>
              <w:widowControl w:val="0"/>
              <w:spacing w:line="276" w:lineRule="auto"/>
              <w:rPr>
                <w:rFonts w:ascii="Arial" w:eastAsia="Arial" w:hAnsi="Arial" w:cs="Arial"/>
                <w:sz w:val="20"/>
                <w:szCs w:val="20"/>
              </w:rPr>
            </w:pPr>
            <w:r>
              <w:rPr>
                <w:sz w:val="22"/>
                <w:szCs w:val="22"/>
              </w:rPr>
              <w:t>Soybeans</w:t>
            </w:r>
          </w:p>
        </w:tc>
        <w:tc>
          <w:tcPr>
            <w:tcW w:w="1530" w:type="dxa"/>
            <w:tcBorders>
              <w:top w:val="nil"/>
              <w:left w:val="nil"/>
              <w:bottom w:val="single" w:sz="4" w:space="0" w:color="000000"/>
              <w:right w:val="nil"/>
            </w:tcBorders>
            <w:shd w:val="clear" w:color="auto" w:fill="auto"/>
            <w:tcMar>
              <w:top w:w="40" w:type="dxa"/>
              <w:left w:w="40" w:type="dxa"/>
              <w:bottom w:w="40" w:type="dxa"/>
              <w:right w:w="40" w:type="dxa"/>
            </w:tcMar>
            <w:vAlign w:val="bottom"/>
          </w:tcPr>
          <w:p w14:paraId="3AA89791" w14:textId="119AC744" w:rsidR="002C4E1B" w:rsidRDefault="007E0915" w:rsidP="00A27EDC">
            <w:pPr>
              <w:widowControl w:val="0"/>
              <w:spacing w:line="276" w:lineRule="auto"/>
              <w:rPr>
                <w:rFonts w:ascii="Arial" w:eastAsia="Arial" w:hAnsi="Arial" w:cs="Arial"/>
                <w:sz w:val="20"/>
                <w:szCs w:val="20"/>
              </w:rPr>
            </w:pPr>
            <w:r>
              <w:rPr>
                <w:sz w:val="22"/>
                <w:szCs w:val="22"/>
              </w:rPr>
              <w:t>CBoT</w:t>
            </w:r>
          </w:p>
        </w:tc>
        <w:tc>
          <w:tcPr>
            <w:tcW w:w="7290" w:type="dxa"/>
            <w:tcBorders>
              <w:top w:val="nil"/>
              <w:left w:val="nil"/>
              <w:bottom w:val="single" w:sz="4" w:space="0" w:color="000000"/>
              <w:right w:val="nil"/>
            </w:tcBorders>
            <w:shd w:val="clear" w:color="auto" w:fill="auto"/>
            <w:tcMar>
              <w:top w:w="40" w:type="dxa"/>
              <w:left w:w="40" w:type="dxa"/>
              <w:bottom w:w="40" w:type="dxa"/>
              <w:right w:w="40" w:type="dxa"/>
            </w:tcMar>
            <w:vAlign w:val="bottom"/>
          </w:tcPr>
          <w:p w14:paraId="70CB7728" w14:textId="20F4E204" w:rsidR="002C4E1B" w:rsidRDefault="0025659C" w:rsidP="00A27EDC">
            <w:pPr>
              <w:widowControl w:val="0"/>
              <w:spacing w:line="276" w:lineRule="auto"/>
              <w:rPr>
                <w:rFonts w:ascii="Arial" w:eastAsia="Arial" w:hAnsi="Arial" w:cs="Arial"/>
                <w:sz w:val="20"/>
                <w:szCs w:val="20"/>
              </w:rPr>
            </w:pPr>
            <w:r>
              <w:rPr>
                <w:sz w:val="22"/>
                <w:szCs w:val="22"/>
              </w:rPr>
              <w:t xml:space="preserve">CBoT Soybeans Composite Commodity Future Continuation 1 </w:t>
            </w:r>
          </w:p>
        </w:tc>
      </w:tr>
      <w:tr w:rsidR="002C4E1B" w14:paraId="63797DDC" w14:textId="77777777" w:rsidTr="00A27EDC">
        <w:trPr>
          <w:trHeight w:val="1290"/>
        </w:trPr>
        <w:tc>
          <w:tcPr>
            <w:tcW w:w="11520" w:type="dxa"/>
            <w:gridSpan w:val="4"/>
            <w:tcBorders>
              <w:top w:val="nil"/>
              <w:left w:val="nil"/>
              <w:bottom w:val="nil"/>
              <w:right w:val="nil"/>
            </w:tcBorders>
            <w:shd w:val="clear" w:color="auto" w:fill="auto"/>
            <w:tcMar>
              <w:top w:w="40" w:type="dxa"/>
              <w:left w:w="40" w:type="dxa"/>
              <w:bottom w:w="40" w:type="dxa"/>
              <w:right w:w="40" w:type="dxa"/>
            </w:tcMar>
          </w:tcPr>
          <w:p w14:paraId="4E6DC05D" w14:textId="7D3BE948" w:rsidR="002C4E1B" w:rsidRDefault="002C4E1B" w:rsidP="00A27EDC">
            <w:pPr>
              <w:widowControl w:val="0"/>
              <w:spacing w:line="276" w:lineRule="auto"/>
              <w:rPr>
                <w:rFonts w:ascii="Arial" w:eastAsia="Arial" w:hAnsi="Arial" w:cs="Arial"/>
                <w:sz w:val="20"/>
                <w:szCs w:val="20"/>
              </w:rPr>
            </w:pPr>
            <w:r>
              <w:rPr>
                <w:sz w:val="22"/>
                <w:szCs w:val="22"/>
              </w:rPr>
              <w:t>Note: The table includes 14 commodity futures grouped into metal, energy, and agricultural. Market denotes the place where the commodities are traded. COMEX is the Commodities Exchange, which is now part of the New York Mercantile Exchange. NYMEX is the New York Mercantile Exchange. ICE</w:t>
            </w:r>
            <w:r w:rsidR="0023355F">
              <w:rPr>
                <w:sz w:val="22"/>
                <w:szCs w:val="22"/>
              </w:rPr>
              <w:t>-</w:t>
            </w:r>
            <w:r>
              <w:rPr>
                <w:sz w:val="22"/>
                <w:szCs w:val="22"/>
              </w:rPr>
              <w:t>Europe is the Intercontinental Exchange Europe. CBoT is the Chicago Board of Trade, which is now part of the Chicago Mercantile Exchange Group. ICE-US is the Intercontinental Exchange US. CME is the Chicago Mercantile Exchange. Continuation 1 means that the selected futures contract is the first continuation contract.</w:t>
            </w:r>
            <w:r w:rsidR="001954E8">
              <w:rPr>
                <w:sz w:val="22"/>
                <w:szCs w:val="22"/>
              </w:rPr>
              <w:t xml:space="preserve"> </w:t>
            </w:r>
          </w:p>
        </w:tc>
      </w:tr>
    </w:tbl>
    <w:p w14:paraId="46DE451A" w14:textId="77777777" w:rsidR="002C4E1B" w:rsidRDefault="002C4E1B" w:rsidP="002C4E1B">
      <w:pPr>
        <w:jc w:val="both"/>
      </w:pPr>
    </w:p>
    <w:p w14:paraId="580DCAAA" w14:textId="77777777" w:rsidR="002C4E1B" w:rsidRDefault="002C4E1B" w:rsidP="002C4E1B">
      <w:r>
        <w:br w:type="page"/>
      </w:r>
    </w:p>
    <w:p w14:paraId="48ECF132" w14:textId="1B0C47A4" w:rsidR="005E56FE" w:rsidRPr="000146D5" w:rsidRDefault="005E56FE" w:rsidP="000146D5">
      <w:pPr>
        <w:pStyle w:val="Caption"/>
        <w:jc w:val="left"/>
        <w:rPr>
          <w:sz w:val="36"/>
        </w:rPr>
      </w:pPr>
      <w:bookmarkStart w:id="38" w:name="_Ref167229747"/>
      <w:r w:rsidRPr="000146D5">
        <w:rPr>
          <w:sz w:val="36"/>
        </w:rPr>
        <w:t xml:space="preserve">Appendix </w:t>
      </w:r>
      <w:r w:rsidRPr="000146D5">
        <w:rPr>
          <w:sz w:val="36"/>
        </w:rPr>
        <w:fldChar w:fldCharType="begin"/>
      </w:r>
      <w:r w:rsidRPr="000146D5">
        <w:rPr>
          <w:sz w:val="36"/>
        </w:rPr>
        <w:instrText xml:space="preserve"> SEQ Appendix \* ALPHABETIC </w:instrText>
      </w:r>
      <w:r w:rsidRPr="000146D5">
        <w:rPr>
          <w:sz w:val="36"/>
        </w:rPr>
        <w:fldChar w:fldCharType="separate"/>
      </w:r>
      <w:r w:rsidR="002E6614">
        <w:rPr>
          <w:noProof/>
          <w:sz w:val="36"/>
        </w:rPr>
        <w:t>B</w:t>
      </w:r>
      <w:r w:rsidRPr="000146D5">
        <w:rPr>
          <w:sz w:val="36"/>
        </w:rPr>
        <w:fldChar w:fldCharType="end"/>
      </w:r>
      <w:bookmarkEnd w:id="38"/>
    </w:p>
    <w:p w14:paraId="50427603" w14:textId="441DC93C" w:rsidR="006C197B" w:rsidRPr="006C197B" w:rsidRDefault="006C197B" w:rsidP="006C197B">
      <w:pPr>
        <w:spacing w:after="240"/>
        <w:jc w:val="center"/>
      </w:pPr>
      <w:r>
        <w:t>Table B1: Diagonal VECH</w:t>
      </w:r>
    </w:p>
    <w:tbl>
      <w:tblPr>
        <w:tblStyle w:val="a5"/>
        <w:tblW w:w="5000" w:type="pct"/>
        <w:jc w:val="center"/>
        <w:tblBorders>
          <w:top w:val="nil"/>
          <w:left w:val="nil"/>
          <w:bottom w:val="nil"/>
          <w:right w:val="nil"/>
          <w:insideH w:val="nil"/>
          <w:insideV w:val="nil"/>
        </w:tblBorders>
        <w:tblLook w:val="0600" w:firstRow="0" w:lastRow="0" w:firstColumn="0" w:lastColumn="0" w:noHBand="1" w:noVBand="1"/>
      </w:tblPr>
      <w:tblGrid>
        <w:gridCol w:w="1424"/>
        <w:gridCol w:w="1264"/>
        <w:gridCol w:w="1479"/>
        <w:gridCol w:w="1398"/>
        <w:gridCol w:w="1264"/>
        <w:gridCol w:w="1264"/>
        <w:gridCol w:w="1267"/>
      </w:tblGrid>
      <w:tr w:rsidR="002C4E1B" w14:paraId="26934C73" w14:textId="77777777" w:rsidTr="005E56FE">
        <w:trPr>
          <w:trHeight w:val="345"/>
          <w:jc w:val="center"/>
        </w:trPr>
        <w:tc>
          <w:tcPr>
            <w:tcW w:w="761"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3048F564" w14:textId="77777777" w:rsidR="002C4E1B" w:rsidRDefault="002C4E1B" w:rsidP="00A27EDC">
            <w:pPr>
              <w:widowControl w:val="0"/>
              <w:spacing w:line="276" w:lineRule="auto"/>
              <w:rPr>
                <w:rFonts w:ascii="Arial" w:eastAsia="Arial" w:hAnsi="Arial" w:cs="Arial"/>
                <w:sz w:val="20"/>
                <w:szCs w:val="20"/>
              </w:rPr>
            </w:pP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79FAD5D1" w14:textId="77777777" w:rsidR="002C4E1B" w:rsidRDefault="002C4E1B" w:rsidP="00A27EDC">
            <w:pPr>
              <w:widowControl w:val="0"/>
              <w:spacing w:line="276" w:lineRule="auto"/>
              <w:jc w:val="center"/>
              <w:rPr>
                <w:rFonts w:ascii="Arial" w:eastAsia="Arial" w:hAnsi="Arial" w:cs="Arial"/>
                <w:sz w:val="20"/>
                <w:szCs w:val="20"/>
              </w:rPr>
            </w:pPr>
            <w:r>
              <w:rPr>
                <w:b/>
                <w:sz w:val="22"/>
                <w:szCs w:val="22"/>
              </w:rPr>
              <w:t>Norm</w:t>
            </w:r>
          </w:p>
        </w:tc>
        <w:tc>
          <w:tcPr>
            <w:tcW w:w="790"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26E9A09F" w14:textId="77777777" w:rsidR="002C4E1B" w:rsidRDefault="002C4E1B" w:rsidP="00A27EDC">
            <w:pPr>
              <w:widowControl w:val="0"/>
              <w:spacing w:line="276" w:lineRule="auto"/>
              <w:jc w:val="center"/>
              <w:rPr>
                <w:rFonts w:ascii="Arial" w:eastAsia="Arial" w:hAnsi="Arial" w:cs="Arial"/>
                <w:sz w:val="20"/>
                <w:szCs w:val="20"/>
              </w:rPr>
            </w:pPr>
          </w:p>
        </w:tc>
        <w:tc>
          <w:tcPr>
            <w:tcW w:w="747"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6BC3CA9A" w14:textId="77777777" w:rsidR="002C4E1B" w:rsidRDefault="002C4E1B" w:rsidP="00A27EDC">
            <w:pPr>
              <w:widowControl w:val="0"/>
              <w:spacing w:line="276" w:lineRule="auto"/>
              <w:jc w:val="center"/>
              <w:rPr>
                <w:rFonts w:ascii="Arial" w:eastAsia="Arial" w:hAnsi="Arial" w:cs="Arial"/>
                <w:sz w:val="20"/>
                <w:szCs w:val="20"/>
              </w:rPr>
            </w:pP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514063CA" w14:textId="77777777" w:rsidR="002C4E1B" w:rsidRDefault="002C4E1B" w:rsidP="00A27EDC">
            <w:pPr>
              <w:widowControl w:val="0"/>
              <w:spacing w:line="276" w:lineRule="auto"/>
              <w:jc w:val="center"/>
              <w:rPr>
                <w:rFonts w:ascii="Arial" w:eastAsia="Arial" w:hAnsi="Arial" w:cs="Arial"/>
                <w:sz w:val="20"/>
                <w:szCs w:val="20"/>
              </w:rPr>
            </w:pPr>
            <w:r>
              <w:rPr>
                <w:b/>
                <w:sz w:val="22"/>
                <w:szCs w:val="22"/>
              </w:rPr>
              <w:t>T</w:t>
            </w: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2E412150" w14:textId="77777777" w:rsidR="002C4E1B" w:rsidRDefault="002C4E1B" w:rsidP="00A27EDC">
            <w:pPr>
              <w:widowControl w:val="0"/>
              <w:spacing w:line="276" w:lineRule="auto"/>
              <w:jc w:val="center"/>
              <w:rPr>
                <w:rFonts w:ascii="Arial" w:eastAsia="Arial" w:hAnsi="Arial" w:cs="Arial"/>
                <w:sz w:val="20"/>
                <w:szCs w:val="20"/>
              </w:rPr>
            </w:pPr>
          </w:p>
        </w:tc>
        <w:tc>
          <w:tcPr>
            <w:tcW w:w="677"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13A7C73E" w14:textId="77777777" w:rsidR="002C4E1B" w:rsidRDefault="002C4E1B" w:rsidP="00A27EDC">
            <w:pPr>
              <w:widowControl w:val="0"/>
              <w:spacing w:line="276" w:lineRule="auto"/>
              <w:jc w:val="center"/>
              <w:rPr>
                <w:rFonts w:ascii="Arial" w:eastAsia="Arial" w:hAnsi="Arial" w:cs="Arial"/>
                <w:sz w:val="20"/>
                <w:szCs w:val="20"/>
              </w:rPr>
            </w:pPr>
          </w:p>
        </w:tc>
      </w:tr>
      <w:tr w:rsidR="002C4E1B" w14:paraId="06F3DB71" w14:textId="77777777" w:rsidTr="005E56FE">
        <w:trPr>
          <w:trHeight w:val="585"/>
          <w:jc w:val="center"/>
        </w:trPr>
        <w:tc>
          <w:tcPr>
            <w:tcW w:w="761" w:type="pct"/>
            <w:tcBorders>
              <w:top w:val="nil"/>
              <w:left w:val="nil"/>
              <w:bottom w:val="nil"/>
              <w:right w:val="nil"/>
            </w:tcBorders>
            <w:tcMar>
              <w:top w:w="40" w:type="dxa"/>
              <w:left w:w="40" w:type="dxa"/>
              <w:bottom w:w="40" w:type="dxa"/>
              <w:right w:w="40" w:type="dxa"/>
            </w:tcMar>
            <w:vAlign w:val="bottom"/>
          </w:tcPr>
          <w:p w14:paraId="7BE890B8" w14:textId="77777777" w:rsidR="002C4E1B" w:rsidRDefault="002C4E1B" w:rsidP="00A27EDC">
            <w:pPr>
              <w:widowControl w:val="0"/>
              <w:spacing w:line="276" w:lineRule="auto"/>
              <w:rPr>
                <w:rFonts w:ascii="Arial" w:eastAsia="Arial" w:hAnsi="Arial" w:cs="Arial"/>
                <w:sz w:val="20"/>
                <w:szCs w:val="20"/>
              </w:rPr>
            </w:pPr>
          </w:p>
        </w:tc>
        <w:tc>
          <w:tcPr>
            <w:tcW w:w="675" w:type="pct"/>
            <w:tcBorders>
              <w:top w:val="nil"/>
              <w:left w:val="nil"/>
              <w:bottom w:val="nil"/>
              <w:right w:val="nil"/>
            </w:tcBorders>
            <w:tcMar>
              <w:top w:w="40" w:type="dxa"/>
              <w:left w:w="40" w:type="dxa"/>
              <w:bottom w:w="40" w:type="dxa"/>
              <w:right w:w="40" w:type="dxa"/>
            </w:tcMar>
            <w:vAlign w:val="bottom"/>
          </w:tcPr>
          <w:p w14:paraId="2404E4D9" w14:textId="77777777" w:rsidR="002C4E1B" w:rsidRDefault="002C4E1B" w:rsidP="00A27EDC">
            <w:pPr>
              <w:widowControl w:val="0"/>
              <w:spacing w:line="276" w:lineRule="auto"/>
              <w:jc w:val="center"/>
              <w:rPr>
                <w:rFonts w:ascii="Arial" w:eastAsia="Arial" w:hAnsi="Arial" w:cs="Arial"/>
                <w:sz w:val="20"/>
                <w:szCs w:val="20"/>
              </w:rPr>
            </w:pPr>
            <w:r>
              <w:rPr>
                <w:sz w:val="22"/>
                <w:szCs w:val="22"/>
              </w:rPr>
              <w:t>Coef</w:t>
            </w:r>
          </w:p>
        </w:tc>
        <w:tc>
          <w:tcPr>
            <w:tcW w:w="790" w:type="pct"/>
            <w:tcBorders>
              <w:top w:val="nil"/>
              <w:left w:val="nil"/>
              <w:bottom w:val="nil"/>
              <w:right w:val="nil"/>
            </w:tcBorders>
            <w:tcMar>
              <w:top w:w="40" w:type="dxa"/>
              <w:left w:w="40" w:type="dxa"/>
              <w:bottom w:w="40" w:type="dxa"/>
              <w:right w:w="40" w:type="dxa"/>
            </w:tcMar>
            <w:vAlign w:val="bottom"/>
          </w:tcPr>
          <w:p w14:paraId="6ACC1200" w14:textId="77777777" w:rsidR="002C4E1B" w:rsidRDefault="002C4E1B" w:rsidP="00A27EDC">
            <w:pPr>
              <w:widowControl w:val="0"/>
              <w:spacing w:line="276" w:lineRule="auto"/>
              <w:jc w:val="center"/>
              <w:rPr>
                <w:rFonts w:ascii="Arial" w:eastAsia="Arial" w:hAnsi="Arial" w:cs="Arial"/>
                <w:sz w:val="20"/>
                <w:szCs w:val="20"/>
              </w:rPr>
            </w:pPr>
            <w:r>
              <w:rPr>
                <w:sz w:val="22"/>
                <w:szCs w:val="22"/>
              </w:rPr>
              <w:t>z-Stat</w:t>
            </w:r>
          </w:p>
        </w:tc>
        <w:tc>
          <w:tcPr>
            <w:tcW w:w="747" w:type="pct"/>
            <w:tcBorders>
              <w:top w:val="nil"/>
              <w:left w:val="nil"/>
              <w:bottom w:val="nil"/>
              <w:right w:val="nil"/>
            </w:tcBorders>
            <w:tcMar>
              <w:top w:w="40" w:type="dxa"/>
              <w:left w:w="40" w:type="dxa"/>
              <w:bottom w:w="40" w:type="dxa"/>
              <w:right w:w="40" w:type="dxa"/>
            </w:tcMar>
            <w:vAlign w:val="bottom"/>
          </w:tcPr>
          <w:p w14:paraId="31DB7A8B" w14:textId="77777777" w:rsidR="002C4E1B" w:rsidRDefault="002C4E1B" w:rsidP="00A27EDC">
            <w:pPr>
              <w:widowControl w:val="0"/>
              <w:spacing w:line="276" w:lineRule="auto"/>
              <w:jc w:val="center"/>
              <w:rPr>
                <w:rFonts w:ascii="Arial" w:eastAsia="Arial" w:hAnsi="Arial" w:cs="Arial"/>
                <w:sz w:val="20"/>
                <w:szCs w:val="20"/>
              </w:rPr>
            </w:pPr>
            <w:r>
              <w:rPr>
                <w:sz w:val="22"/>
                <w:szCs w:val="22"/>
              </w:rPr>
              <w:t>P-value</w:t>
            </w:r>
          </w:p>
        </w:tc>
        <w:tc>
          <w:tcPr>
            <w:tcW w:w="675" w:type="pct"/>
            <w:tcBorders>
              <w:top w:val="nil"/>
              <w:left w:val="nil"/>
              <w:bottom w:val="nil"/>
              <w:right w:val="nil"/>
            </w:tcBorders>
            <w:tcMar>
              <w:top w:w="40" w:type="dxa"/>
              <w:left w:w="40" w:type="dxa"/>
              <w:bottom w:w="40" w:type="dxa"/>
              <w:right w:w="40" w:type="dxa"/>
            </w:tcMar>
            <w:vAlign w:val="bottom"/>
          </w:tcPr>
          <w:p w14:paraId="4BF8F9BE" w14:textId="77777777" w:rsidR="002C4E1B" w:rsidRDefault="002C4E1B" w:rsidP="00A27EDC">
            <w:pPr>
              <w:widowControl w:val="0"/>
              <w:spacing w:line="276" w:lineRule="auto"/>
              <w:jc w:val="center"/>
              <w:rPr>
                <w:rFonts w:ascii="Arial" w:eastAsia="Arial" w:hAnsi="Arial" w:cs="Arial"/>
                <w:sz w:val="20"/>
                <w:szCs w:val="20"/>
              </w:rPr>
            </w:pPr>
            <w:r>
              <w:rPr>
                <w:sz w:val="22"/>
                <w:szCs w:val="22"/>
              </w:rPr>
              <w:t>Coef</w:t>
            </w:r>
          </w:p>
        </w:tc>
        <w:tc>
          <w:tcPr>
            <w:tcW w:w="675" w:type="pct"/>
            <w:tcBorders>
              <w:top w:val="nil"/>
              <w:left w:val="nil"/>
              <w:bottom w:val="nil"/>
              <w:right w:val="nil"/>
            </w:tcBorders>
            <w:tcMar>
              <w:top w:w="40" w:type="dxa"/>
              <w:left w:w="40" w:type="dxa"/>
              <w:bottom w:w="40" w:type="dxa"/>
              <w:right w:w="40" w:type="dxa"/>
            </w:tcMar>
            <w:vAlign w:val="bottom"/>
          </w:tcPr>
          <w:p w14:paraId="2991C04C" w14:textId="77777777" w:rsidR="002C4E1B" w:rsidRDefault="002C4E1B" w:rsidP="00A27EDC">
            <w:pPr>
              <w:widowControl w:val="0"/>
              <w:spacing w:line="276" w:lineRule="auto"/>
              <w:jc w:val="center"/>
              <w:rPr>
                <w:rFonts w:ascii="Arial" w:eastAsia="Arial" w:hAnsi="Arial" w:cs="Arial"/>
                <w:sz w:val="20"/>
                <w:szCs w:val="20"/>
              </w:rPr>
            </w:pPr>
            <w:r>
              <w:rPr>
                <w:sz w:val="22"/>
                <w:szCs w:val="22"/>
              </w:rPr>
              <w:t>z-Stat</w:t>
            </w:r>
          </w:p>
        </w:tc>
        <w:tc>
          <w:tcPr>
            <w:tcW w:w="677" w:type="pct"/>
            <w:tcBorders>
              <w:top w:val="nil"/>
              <w:left w:val="nil"/>
              <w:bottom w:val="nil"/>
              <w:right w:val="nil"/>
            </w:tcBorders>
            <w:tcMar>
              <w:top w:w="40" w:type="dxa"/>
              <w:left w:w="40" w:type="dxa"/>
              <w:bottom w:w="40" w:type="dxa"/>
              <w:right w:w="40" w:type="dxa"/>
            </w:tcMar>
            <w:vAlign w:val="bottom"/>
          </w:tcPr>
          <w:p w14:paraId="578AE805" w14:textId="77777777" w:rsidR="002C4E1B" w:rsidRDefault="002C4E1B" w:rsidP="00A27EDC">
            <w:pPr>
              <w:widowControl w:val="0"/>
              <w:spacing w:line="276" w:lineRule="auto"/>
              <w:jc w:val="center"/>
              <w:rPr>
                <w:rFonts w:ascii="Arial" w:eastAsia="Arial" w:hAnsi="Arial" w:cs="Arial"/>
                <w:sz w:val="20"/>
                <w:szCs w:val="20"/>
              </w:rPr>
            </w:pPr>
            <w:r>
              <w:rPr>
                <w:sz w:val="22"/>
                <w:szCs w:val="22"/>
              </w:rPr>
              <w:t>P-value</w:t>
            </w:r>
          </w:p>
        </w:tc>
      </w:tr>
      <w:tr w:rsidR="002C4E1B" w14:paraId="3C6D6CDB" w14:textId="77777777" w:rsidTr="00A27EDC">
        <w:trPr>
          <w:trHeight w:val="315"/>
          <w:jc w:val="center"/>
        </w:trPr>
        <w:tc>
          <w:tcPr>
            <w:tcW w:w="5000" w:type="pct"/>
            <w:gridSpan w:val="7"/>
            <w:tcBorders>
              <w:top w:val="nil"/>
              <w:left w:val="nil"/>
              <w:bottom w:val="nil"/>
              <w:right w:val="nil"/>
            </w:tcBorders>
            <w:tcMar>
              <w:top w:w="40" w:type="dxa"/>
              <w:left w:w="40" w:type="dxa"/>
              <w:bottom w:w="40" w:type="dxa"/>
              <w:right w:w="40" w:type="dxa"/>
            </w:tcMar>
            <w:vAlign w:val="bottom"/>
          </w:tcPr>
          <w:p w14:paraId="54362670" w14:textId="77777777" w:rsidR="002C4E1B" w:rsidRDefault="002C4E1B" w:rsidP="00A27EDC">
            <w:pPr>
              <w:widowControl w:val="0"/>
              <w:spacing w:line="276" w:lineRule="auto"/>
              <w:rPr>
                <w:rFonts w:ascii="Arial" w:eastAsia="Arial" w:hAnsi="Arial" w:cs="Arial"/>
                <w:sz w:val="20"/>
                <w:szCs w:val="20"/>
              </w:rPr>
            </w:pPr>
            <w:r>
              <w:rPr>
                <w:sz w:val="22"/>
                <w:szCs w:val="22"/>
              </w:rPr>
              <w:t>Mean Equation</w:t>
            </w:r>
          </w:p>
        </w:tc>
      </w:tr>
      <w:tr w:rsidR="002C4E1B" w14:paraId="1A9015B7"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CF5E30D" w14:textId="77777777" w:rsidR="002C4E1B" w:rsidRDefault="002C4E1B" w:rsidP="00A27EDC">
            <w:pPr>
              <w:widowControl w:val="0"/>
              <w:spacing w:line="276" w:lineRule="auto"/>
              <w:rPr>
                <w:rFonts w:ascii="Arial" w:eastAsia="Arial" w:hAnsi="Arial" w:cs="Arial"/>
                <w:sz w:val="20"/>
                <w:szCs w:val="20"/>
              </w:rPr>
            </w:pPr>
            <w:r>
              <w:rPr>
                <w:sz w:val="22"/>
                <w:szCs w:val="22"/>
              </w:rPr>
              <w:t>C(1)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0144D3B"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75E38C4C" w14:textId="77777777" w:rsidR="002C4E1B" w:rsidRDefault="002C4E1B" w:rsidP="00A27EDC">
            <w:pPr>
              <w:widowControl w:val="0"/>
              <w:spacing w:line="276" w:lineRule="auto"/>
              <w:jc w:val="center"/>
              <w:rPr>
                <w:rFonts w:ascii="Arial" w:eastAsia="Arial" w:hAnsi="Arial" w:cs="Arial"/>
                <w:sz w:val="20"/>
                <w:szCs w:val="20"/>
              </w:rPr>
            </w:pPr>
            <w:r>
              <w:rPr>
                <w:sz w:val="22"/>
                <w:szCs w:val="22"/>
              </w:rPr>
              <w:t>0.86</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58A44D5" w14:textId="77777777" w:rsidR="002C4E1B" w:rsidRDefault="002C4E1B" w:rsidP="00A27EDC">
            <w:pPr>
              <w:widowControl w:val="0"/>
              <w:spacing w:line="276" w:lineRule="auto"/>
              <w:jc w:val="center"/>
              <w:rPr>
                <w:rFonts w:ascii="Arial" w:eastAsia="Arial" w:hAnsi="Arial" w:cs="Arial"/>
                <w:sz w:val="20"/>
                <w:szCs w:val="20"/>
              </w:rPr>
            </w:pPr>
            <w:r>
              <w:rPr>
                <w:sz w:val="22"/>
                <w:szCs w:val="22"/>
              </w:rPr>
              <w:t>0.39</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47F77B9"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920AD99" w14:textId="77777777" w:rsidR="002C4E1B" w:rsidRDefault="002C4E1B" w:rsidP="00A27EDC">
            <w:pPr>
              <w:widowControl w:val="0"/>
              <w:spacing w:line="276" w:lineRule="auto"/>
              <w:jc w:val="center"/>
              <w:rPr>
                <w:rFonts w:ascii="Arial" w:eastAsia="Arial" w:hAnsi="Arial" w:cs="Arial"/>
                <w:sz w:val="20"/>
                <w:szCs w:val="20"/>
              </w:rPr>
            </w:pPr>
            <w:r>
              <w:rPr>
                <w:sz w:val="22"/>
                <w:szCs w:val="22"/>
              </w:rPr>
              <w:t>2.44</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75B0CC0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0.01</w:t>
            </w:r>
          </w:p>
        </w:tc>
      </w:tr>
      <w:tr w:rsidR="002C4E1B" w14:paraId="2F6038E5"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249DD9FC" w14:textId="77777777" w:rsidR="002C4E1B" w:rsidRDefault="002C4E1B" w:rsidP="00A27EDC">
            <w:pPr>
              <w:widowControl w:val="0"/>
              <w:spacing w:line="276" w:lineRule="auto"/>
              <w:rPr>
                <w:rFonts w:ascii="Arial" w:eastAsia="Arial" w:hAnsi="Arial" w:cs="Arial"/>
                <w:sz w:val="20"/>
                <w:szCs w:val="20"/>
              </w:rPr>
            </w:pPr>
            <w:r>
              <w:rPr>
                <w:sz w:val="22"/>
                <w:szCs w:val="22"/>
              </w:rPr>
              <w:t>C(2)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6C05D7B"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2CCF15B8" w14:textId="77777777" w:rsidR="002C4E1B" w:rsidRDefault="002C4E1B" w:rsidP="00A27EDC">
            <w:pPr>
              <w:widowControl w:val="0"/>
              <w:spacing w:line="276" w:lineRule="auto"/>
              <w:jc w:val="center"/>
              <w:rPr>
                <w:rFonts w:ascii="Arial" w:eastAsia="Arial" w:hAnsi="Arial" w:cs="Arial"/>
                <w:sz w:val="20"/>
                <w:szCs w:val="20"/>
              </w:rPr>
            </w:pPr>
            <w:r>
              <w:rPr>
                <w:sz w:val="22"/>
                <w:szCs w:val="22"/>
              </w:rPr>
              <w:t>0.03</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F810C1D" w14:textId="77777777" w:rsidR="002C4E1B" w:rsidRDefault="002C4E1B" w:rsidP="00A27EDC">
            <w:pPr>
              <w:widowControl w:val="0"/>
              <w:spacing w:line="276" w:lineRule="auto"/>
              <w:jc w:val="center"/>
              <w:rPr>
                <w:rFonts w:ascii="Arial" w:eastAsia="Arial" w:hAnsi="Arial" w:cs="Arial"/>
                <w:sz w:val="20"/>
                <w:szCs w:val="20"/>
              </w:rPr>
            </w:pPr>
            <w:r>
              <w:rPr>
                <w:sz w:val="22"/>
                <w:szCs w:val="22"/>
              </w:rPr>
              <w:t>0.97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4BA66F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E0CCE92"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7C5DA3C2" w14:textId="77777777" w:rsidR="002C4E1B" w:rsidRDefault="002C4E1B" w:rsidP="00A27EDC">
            <w:pPr>
              <w:widowControl w:val="0"/>
              <w:spacing w:line="276" w:lineRule="auto"/>
              <w:jc w:val="center"/>
              <w:rPr>
                <w:rFonts w:ascii="Arial" w:eastAsia="Arial" w:hAnsi="Arial" w:cs="Arial"/>
                <w:sz w:val="20"/>
                <w:szCs w:val="20"/>
              </w:rPr>
            </w:pPr>
            <w:r>
              <w:rPr>
                <w:sz w:val="22"/>
                <w:szCs w:val="22"/>
              </w:rPr>
              <w:t>0.98</w:t>
            </w:r>
          </w:p>
        </w:tc>
      </w:tr>
      <w:tr w:rsidR="002C4E1B" w14:paraId="794989F7"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97386EE" w14:textId="77777777" w:rsidR="002C4E1B" w:rsidRDefault="002C4E1B" w:rsidP="00A27EDC">
            <w:pPr>
              <w:widowControl w:val="0"/>
              <w:spacing w:line="276" w:lineRule="auto"/>
              <w:rPr>
                <w:rFonts w:ascii="Arial" w:eastAsia="Arial" w:hAnsi="Arial" w:cs="Arial"/>
                <w:sz w:val="20"/>
                <w:szCs w:val="20"/>
              </w:rPr>
            </w:pPr>
            <w:r>
              <w:rPr>
                <w:sz w:val="22"/>
                <w:szCs w:val="22"/>
              </w:rPr>
              <w:t>C(3)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00C14DB"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6A88D878" w14:textId="77777777" w:rsidR="002C4E1B" w:rsidRDefault="002C4E1B" w:rsidP="00A27EDC">
            <w:pPr>
              <w:widowControl w:val="0"/>
              <w:spacing w:line="276" w:lineRule="auto"/>
              <w:jc w:val="center"/>
              <w:rPr>
                <w:rFonts w:ascii="Arial" w:eastAsia="Arial" w:hAnsi="Arial" w:cs="Arial"/>
                <w:sz w:val="20"/>
                <w:szCs w:val="20"/>
              </w:rPr>
            </w:pPr>
            <w:r>
              <w:rPr>
                <w:sz w:val="22"/>
                <w:szCs w:val="22"/>
              </w:rPr>
              <w:t>1.45</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EE5554E" w14:textId="77777777" w:rsidR="002C4E1B" w:rsidRDefault="002C4E1B" w:rsidP="00A27EDC">
            <w:pPr>
              <w:widowControl w:val="0"/>
              <w:spacing w:line="276" w:lineRule="auto"/>
              <w:jc w:val="center"/>
              <w:rPr>
                <w:rFonts w:ascii="Arial" w:eastAsia="Arial" w:hAnsi="Arial" w:cs="Arial"/>
                <w:sz w:val="20"/>
                <w:szCs w:val="20"/>
              </w:rPr>
            </w:pPr>
            <w:r>
              <w:rPr>
                <w:sz w:val="22"/>
                <w:szCs w:val="22"/>
              </w:rPr>
              <w:t>0.15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F064D0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FC6E303" w14:textId="77777777" w:rsidR="002C4E1B" w:rsidRDefault="002C4E1B" w:rsidP="00A27EDC">
            <w:pPr>
              <w:widowControl w:val="0"/>
              <w:spacing w:line="276" w:lineRule="auto"/>
              <w:jc w:val="center"/>
              <w:rPr>
                <w:rFonts w:ascii="Arial" w:eastAsia="Arial" w:hAnsi="Arial" w:cs="Arial"/>
                <w:sz w:val="20"/>
                <w:szCs w:val="20"/>
              </w:rPr>
            </w:pPr>
            <w:r>
              <w:rPr>
                <w:sz w:val="22"/>
                <w:szCs w:val="22"/>
              </w:rPr>
              <w:t>2.55</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5BFFA428" w14:textId="77777777" w:rsidR="002C4E1B" w:rsidRDefault="002C4E1B" w:rsidP="00A27EDC">
            <w:pPr>
              <w:widowControl w:val="0"/>
              <w:spacing w:line="276" w:lineRule="auto"/>
              <w:jc w:val="center"/>
              <w:rPr>
                <w:rFonts w:ascii="Arial" w:eastAsia="Arial" w:hAnsi="Arial" w:cs="Arial"/>
                <w:sz w:val="20"/>
                <w:szCs w:val="20"/>
              </w:rPr>
            </w:pPr>
            <w:r>
              <w:rPr>
                <w:sz w:val="22"/>
                <w:szCs w:val="22"/>
              </w:rPr>
              <w:t>0.01</w:t>
            </w:r>
          </w:p>
        </w:tc>
      </w:tr>
      <w:tr w:rsidR="002C4E1B" w14:paraId="5AAD208F"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53EB71A" w14:textId="77777777" w:rsidR="002C4E1B" w:rsidRDefault="002C4E1B" w:rsidP="00A27EDC">
            <w:pPr>
              <w:widowControl w:val="0"/>
              <w:spacing w:line="276" w:lineRule="auto"/>
              <w:rPr>
                <w:rFonts w:ascii="Arial" w:eastAsia="Arial" w:hAnsi="Arial" w:cs="Arial"/>
                <w:sz w:val="20"/>
                <w:szCs w:val="20"/>
              </w:rPr>
            </w:pPr>
            <w:r>
              <w:rPr>
                <w:sz w:val="22"/>
                <w:szCs w:val="22"/>
              </w:rPr>
              <w:t>C(4)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203295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6E56316B" w14:textId="77777777" w:rsidR="002C4E1B" w:rsidRDefault="002C4E1B" w:rsidP="00A27EDC">
            <w:pPr>
              <w:widowControl w:val="0"/>
              <w:spacing w:line="276" w:lineRule="auto"/>
              <w:jc w:val="center"/>
              <w:rPr>
                <w:rFonts w:ascii="Arial" w:eastAsia="Arial" w:hAnsi="Arial" w:cs="Arial"/>
                <w:sz w:val="20"/>
                <w:szCs w:val="20"/>
              </w:rPr>
            </w:pPr>
            <w:r>
              <w:rPr>
                <w:sz w:val="22"/>
                <w:szCs w:val="22"/>
              </w:rPr>
              <w:t>-2.02</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7BB2B9E6" w14:textId="77777777" w:rsidR="002C4E1B" w:rsidRDefault="002C4E1B" w:rsidP="00A27EDC">
            <w:pPr>
              <w:widowControl w:val="0"/>
              <w:spacing w:line="276" w:lineRule="auto"/>
              <w:jc w:val="center"/>
              <w:rPr>
                <w:rFonts w:ascii="Arial" w:eastAsia="Arial" w:hAnsi="Arial" w:cs="Arial"/>
                <w:sz w:val="20"/>
                <w:szCs w:val="20"/>
              </w:rPr>
            </w:pPr>
            <w:r>
              <w:rPr>
                <w:sz w:val="22"/>
                <w:szCs w:val="22"/>
              </w:rPr>
              <w:t>0.04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292994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D0F01DA" w14:textId="77777777" w:rsidR="002C4E1B" w:rsidRDefault="002C4E1B" w:rsidP="00A27EDC">
            <w:pPr>
              <w:widowControl w:val="0"/>
              <w:spacing w:line="276" w:lineRule="auto"/>
              <w:jc w:val="center"/>
              <w:rPr>
                <w:rFonts w:ascii="Arial" w:eastAsia="Arial" w:hAnsi="Arial" w:cs="Arial"/>
                <w:sz w:val="20"/>
                <w:szCs w:val="20"/>
              </w:rPr>
            </w:pPr>
            <w:r>
              <w:rPr>
                <w:sz w:val="22"/>
                <w:szCs w:val="22"/>
              </w:rPr>
              <w:t>-1.31</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63C6BF7E" w14:textId="77777777" w:rsidR="002C4E1B" w:rsidRDefault="002C4E1B" w:rsidP="00A27EDC">
            <w:pPr>
              <w:widowControl w:val="0"/>
              <w:spacing w:line="276" w:lineRule="auto"/>
              <w:jc w:val="center"/>
              <w:rPr>
                <w:rFonts w:ascii="Arial" w:eastAsia="Arial" w:hAnsi="Arial" w:cs="Arial"/>
                <w:sz w:val="20"/>
                <w:szCs w:val="20"/>
              </w:rPr>
            </w:pPr>
            <w:r>
              <w:rPr>
                <w:sz w:val="22"/>
                <w:szCs w:val="22"/>
              </w:rPr>
              <w:t>0.19</w:t>
            </w:r>
          </w:p>
        </w:tc>
      </w:tr>
      <w:tr w:rsidR="002C4E1B" w14:paraId="35086284"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3EC6FB58" w14:textId="77777777" w:rsidR="002C4E1B" w:rsidRDefault="002C4E1B" w:rsidP="00A27EDC">
            <w:pPr>
              <w:widowControl w:val="0"/>
              <w:spacing w:line="276" w:lineRule="auto"/>
              <w:rPr>
                <w:rFonts w:ascii="Arial" w:eastAsia="Arial" w:hAnsi="Arial" w:cs="Arial"/>
                <w:sz w:val="20"/>
                <w:szCs w:val="20"/>
              </w:rPr>
            </w:pPr>
            <w:r>
              <w:rPr>
                <w:sz w:val="22"/>
                <w:szCs w:val="22"/>
              </w:rPr>
              <w:t>C(5)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2A5404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48A0A1F0" w14:textId="77777777" w:rsidR="002C4E1B" w:rsidRDefault="002C4E1B" w:rsidP="00A27EDC">
            <w:pPr>
              <w:widowControl w:val="0"/>
              <w:spacing w:line="276" w:lineRule="auto"/>
              <w:jc w:val="center"/>
              <w:rPr>
                <w:rFonts w:ascii="Arial" w:eastAsia="Arial" w:hAnsi="Arial" w:cs="Arial"/>
                <w:sz w:val="20"/>
                <w:szCs w:val="20"/>
              </w:rPr>
            </w:pPr>
            <w:r>
              <w:rPr>
                <w:sz w:val="22"/>
                <w:szCs w:val="22"/>
              </w:rPr>
              <w:t>0.13</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5571579E" w14:textId="77777777" w:rsidR="002C4E1B" w:rsidRDefault="002C4E1B" w:rsidP="00A27EDC">
            <w:pPr>
              <w:widowControl w:val="0"/>
              <w:spacing w:line="276" w:lineRule="auto"/>
              <w:jc w:val="center"/>
              <w:rPr>
                <w:rFonts w:ascii="Arial" w:eastAsia="Arial" w:hAnsi="Arial" w:cs="Arial"/>
                <w:sz w:val="20"/>
                <w:szCs w:val="20"/>
              </w:rPr>
            </w:pPr>
            <w:r>
              <w:rPr>
                <w:sz w:val="22"/>
                <w:szCs w:val="22"/>
              </w:rPr>
              <w:t>0.90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83B23A8"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FD3ED61" w14:textId="77777777" w:rsidR="002C4E1B" w:rsidRDefault="002C4E1B" w:rsidP="00A27EDC">
            <w:pPr>
              <w:widowControl w:val="0"/>
              <w:spacing w:line="276" w:lineRule="auto"/>
              <w:jc w:val="center"/>
              <w:rPr>
                <w:rFonts w:ascii="Arial" w:eastAsia="Arial" w:hAnsi="Arial" w:cs="Arial"/>
                <w:sz w:val="20"/>
                <w:szCs w:val="20"/>
              </w:rPr>
            </w:pPr>
            <w:r>
              <w:rPr>
                <w:sz w:val="22"/>
                <w:szCs w:val="22"/>
              </w:rPr>
              <w:t>1.60</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504653C4" w14:textId="77777777" w:rsidR="002C4E1B" w:rsidRDefault="002C4E1B" w:rsidP="00A27EDC">
            <w:pPr>
              <w:widowControl w:val="0"/>
              <w:spacing w:line="276" w:lineRule="auto"/>
              <w:jc w:val="center"/>
              <w:rPr>
                <w:rFonts w:ascii="Arial" w:eastAsia="Arial" w:hAnsi="Arial" w:cs="Arial"/>
                <w:sz w:val="20"/>
                <w:szCs w:val="20"/>
              </w:rPr>
            </w:pPr>
            <w:r>
              <w:rPr>
                <w:sz w:val="22"/>
                <w:szCs w:val="22"/>
              </w:rPr>
              <w:t>0.11</w:t>
            </w:r>
          </w:p>
        </w:tc>
      </w:tr>
      <w:tr w:rsidR="002C4E1B" w14:paraId="362512AC"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DB83367" w14:textId="77777777" w:rsidR="002C4E1B" w:rsidRDefault="002C4E1B" w:rsidP="00A27EDC">
            <w:pPr>
              <w:widowControl w:val="0"/>
              <w:spacing w:line="276" w:lineRule="auto"/>
              <w:rPr>
                <w:rFonts w:ascii="Arial" w:eastAsia="Arial" w:hAnsi="Arial" w:cs="Arial"/>
                <w:sz w:val="20"/>
                <w:szCs w:val="20"/>
              </w:rPr>
            </w:pPr>
            <w:r>
              <w:rPr>
                <w:sz w:val="22"/>
                <w:szCs w:val="22"/>
              </w:rPr>
              <w:t>C(6)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E98BAE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0.04</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4470A83" w14:textId="77777777" w:rsidR="002C4E1B" w:rsidRDefault="002C4E1B" w:rsidP="00A27EDC">
            <w:pPr>
              <w:widowControl w:val="0"/>
              <w:spacing w:line="276" w:lineRule="auto"/>
              <w:jc w:val="center"/>
              <w:rPr>
                <w:rFonts w:ascii="Arial" w:eastAsia="Arial" w:hAnsi="Arial" w:cs="Arial"/>
                <w:sz w:val="20"/>
                <w:szCs w:val="20"/>
              </w:rPr>
            </w:pPr>
            <w:r>
              <w:rPr>
                <w:sz w:val="22"/>
                <w:szCs w:val="22"/>
              </w:rPr>
              <w:t>3.22</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46AE7DB"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44D931B" w14:textId="77777777" w:rsidR="002C4E1B" w:rsidRDefault="002C4E1B" w:rsidP="00A27EDC">
            <w:pPr>
              <w:widowControl w:val="0"/>
              <w:spacing w:line="276" w:lineRule="auto"/>
              <w:jc w:val="center"/>
              <w:rPr>
                <w:rFonts w:ascii="Arial" w:eastAsia="Arial" w:hAnsi="Arial" w:cs="Arial"/>
                <w:sz w:val="20"/>
                <w:szCs w:val="20"/>
              </w:rPr>
            </w:pPr>
            <w:r>
              <w:rPr>
                <w:sz w:val="22"/>
                <w:szCs w:val="22"/>
              </w:rPr>
              <w:t>0.03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F111E6B" w14:textId="77777777" w:rsidR="002C4E1B" w:rsidRDefault="002C4E1B" w:rsidP="00A27EDC">
            <w:pPr>
              <w:widowControl w:val="0"/>
              <w:spacing w:line="276" w:lineRule="auto"/>
              <w:jc w:val="center"/>
              <w:rPr>
                <w:rFonts w:ascii="Arial" w:eastAsia="Arial" w:hAnsi="Arial" w:cs="Arial"/>
                <w:sz w:val="20"/>
                <w:szCs w:val="20"/>
              </w:rPr>
            </w:pPr>
            <w:r>
              <w:rPr>
                <w:sz w:val="22"/>
                <w:szCs w:val="22"/>
              </w:rPr>
              <w:t>2.47</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3EC8BDC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0.01</w:t>
            </w:r>
          </w:p>
        </w:tc>
      </w:tr>
      <w:tr w:rsidR="002C4E1B" w14:paraId="0163998E" w14:textId="77777777" w:rsidTr="00A27EDC">
        <w:trPr>
          <w:trHeight w:val="315"/>
          <w:jc w:val="center"/>
        </w:trPr>
        <w:tc>
          <w:tcPr>
            <w:tcW w:w="5000" w:type="pct"/>
            <w:gridSpan w:val="7"/>
            <w:tcBorders>
              <w:top w:val="nil"/>
              <w:left w:val="nil"/>
              <w:bottom w:val="nil"/>
              <w:right w:val="nil"/>
            </w:tcBorders>
            <w:shd w:val="clear" w:color="auto" w:fill="auto"/>
            <w:tcMar>
              <w:top w:w="40" w:type="dxa"/>
              <w:left w:w="40" w:type="dxa"/>
              <w:bottom w:w="40" w:type="dxa"/>
              <w:right w:w="40" w:type="dxa"/>
            </w:tcMar>
            <w:vAlign w:val="bottom"/>
          </w:tcPr>
          <w:p w14:paraId="474A1DBC" w14:textId="77777777" w:rsidR="002C4E1B" w:rsidRDefault="002C4E1B" w:rsidP="00A27EDC">
            <w:pPr>
              <w:widowControl w:val="0"/>
              <w:spacing w:line="276" w:lineRule="auto"/>
              <w:rPr>
                <w:rFonts w:ascii="Arial" w:eastAsia="Arial" w:hAnsi="Arial" w:cs="Arial"/>
                <w:sz w:val="20"/>
                <w:szCs w:val="20"/>
              </w:rPr>
            </w:pPr>
            <w:r>
              <w:rPr>
                <w:sz w:val="22"/>
                <w:szCs w:val="22"/>
              </w:rPr>
              <w:t>Variance Equation</w:t>
            </w:r>
          </w:p>
        </w:tc>
      </w:tr>
      <w:tr w:rsidR="002C4E1B" w14:paraId="4E271405"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65069169" w14:textId="77777777" w:rsidR="002C4E1B" w:rsidRDefault="002C4E1B" w:rsidP="00A27EDC">
            <w:pPr>
              <w:widowControl w:val="0"/>
              <w:spacing w:line="276" w:lineRule="auto"/>
              <w:rPr>
                <w:rFonts w:ascii="Arial" w:eastAsia="Arial" w:hAnsi="Arial" w:cs="Arial"/>
                <w:sz w:val="20"/>
                <w:szCs w:val="20"/>
              </w:rPr>
            </w:pPr>
            <w:r>
              <w:rPr>
                <w:sz w:val="22"/>
                <w:szCs w:val="22"/>
              </w:rPr>
              <w:t>M(1,1)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8054528"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D3AF6F0" w14:textId="77777777" w:rsidR="002C4E1B" w:rsidRDefault="002C4E1B" w:rsidP="00A27EDC">
            <w:pPr>
              <w:widowControl w:val="0"/>
              <w:spacing w:line="276" w:lineRule="auto"/>
              <w:jc w:val="center"/>
              <w:rPr>
                <w:rFonts w:ascii="Arial" w:eastAsia="Arial" w:hAnsi="Arial" w:cs="Arial"/>
                <w:sz w:val="20"/>
                <w:szCs w:val="20"/>
              </w:rPr>
            </w:pPr>
            <w:r>
              <w:rPr>
                <w:sz w:val="22"/>
                <w:szCs w:val="22"/>
              </w:rPr>
              <w:t>7.65</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2A1FFBC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80AC9A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0E7B728" w14:textId="77777777" w:rsidR="002C4E1B" w:rsidRDefault="002C4E1B" w:rsidP="00A27EDC">
            <w:pPr>
              <w:widowControl w:val="0"/>
              <w:spacing w:line="276" w:lineRule="auto"/>
              <w:jc w:val="center"/>
              <w:rPr>
                <w:rFonts w:ascii="Arial" w:eastAsia="Arial" w:hAnsi="Arial" w:cs="Arial"/>
                <w:sz w:val="20"/>
                <w:szCs w:val="20"/>
              </w:rPr>
            </w:pPr>
            <w:r>
              <w:rPr>
                <w:sz w:val="22"/>
                <w:szCs w:val="22"/>
              </w:rPr>
              <w:t>7.49</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146A540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4D98A257"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C37DE7B" w14:textId="77777777" w:rsidR="002C4E1B" w:rsidRDefault="002C4E1B" w:rsidP="00A27EDC">
            <w:pPr>
              <w:widowControl w:val="0"/>
              <w:spacing w:line="276" w:lineRule="auto"/>
              <w:rPr>
                <w:rFonts w:ascii="Arial" w:eastAsia="Arial" w:hAnsi="Arial" w:cs="Arial"/>
                <w:sz w:val="20"/>
                <w:szCs w:val="20"/>
              </w:rPr>
            </w:pPr>
            <w:r>
              <w:rPr>
                <w:sz w:val="22"/>
                <w:szCs w:val="22"/>
              </w:rPr>
              <w:t>M(1,2)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65EE649"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51B52A94" w14:textId="77777777" w:rsidR="002C4E1B" w:rsidRDefault="002C4E1B" w:rsidP="00A27EDC">
            <w:pPr>
              <w:widowControl w:val="0"/>
              <w:spacing w:line="276" w:lineRule="auto"/>
              <w:jc w:val="center"/>
              <w:rPr>
                <w:rFonts w:ascii="Arial" w:eastAsia="Arial" w:hAnsi="Arial" w:cs="Arial"/>
                <w:sz w:val="20"/>
                <w:szCs w:val="20"/>
              </w:rPr>
            </w:pPr>
            <w:r>
              <w:rPr>
                <w:sz w:val="22"/>
                <w:szCs w:val="22"/>
              </w:rPr>
              <w:t>3.63</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2E2F421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6081DE9"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0706981" w14:textId="77777777" w:rsidR="002C4E1B" w:rsidRDefault="002C4E1B" w:rsidP="00A27EDC">
            <w:pPr>
              <w:widowControl w:val="0"/>
              <w:spacing w:line="276" w:lineRule="auto"/>
              <w:jc w:val="center"/>
              <w:rPr>
                <w:rFonts w:ascii="Arial" w:eastAsia="Arial" w:hAnsi="Arial" w:cs="Arial"/>
                <w:sz w:val="20"/>
                <w:szCs w:val="20"/>
              </w:rPr>
            </w:pPr>
            <w:r>
              <w:rPr>
                <w:sz w:val="22"/>
                <w:szCs w:val="22"/>
              </w:rPr>
              <w:t>3.41</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538C6F5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374A11E6"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7398CADB" w14:textId="77777777" w:rsidR="002C4E1B" w:rsidRDefault="002C4E1B" w:rsidP="00A27EDC">
            <w:pPr>
              <w:widowControl w:val="0"/>
              <w:spacing w:line="276" w:lineRule="auto"/>
              <w:rPr>
                <w:rFonts w:ascii="Arial" w:eastAsia="Arial" w:hAnsi="Arial" w:cs="Arial"/>
                <w:sz w:val="20"/>
                <w:szCs w:val="20"/>
              </w:rPr>
            </w:pPr>
            <w:r>
              <w:rPr>
                <w:sz w:val="22"/>
                <w:szCs w:val="22"/>
              </w:rPr>
              <w:t>M(1,3)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7AB18F0"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9E87FE4" w14:textId="77777777" w:rsidR="002C4E1B" w:rsidRDefault="002C4E1B" w:rsidP="00A27EDC">
            <w:pPr>
              <w:widowControl w:val="0"/>
              <w:spacing w:line="276" w:lineRule="auto"/>
              <w:jc w:val="center"/>
              <w:rPr>
                <w:rFonts w:ascii="Arial" w:eastAsia="Arial" w:hAnsi="Arial" w:cs="Arial"/>
                <w:sz w:val="20"/>
                <w:szCs w:val="20"/>
              </w:rPr>
            </w:pPr>
            <w:r>
              <w:rPr>
                <w:sz w:val="22"/>
                <w:szCs w:val="22"/>
              </w:rPr>
              <w:t>3.25</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77EF2FE"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C3CD7B6"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52C27FF" w14:textId="77777777" w:rsidR="002C4E1B" w:rsidRDefault="002C4E1B" w:rsidP="00A27EDC">
            <w:pPr>
              <w:widowControl w:val="0"/>
              <w:spacing w:line="276" w:lineRule="auto"/>
              <w:jc w:val="center"/>
              <w:rPr>
                <w:rFonts w:ascii="Arial" w:eastAsia="Arial" w:hAnsi="Arial" w:cs="Arial"/>
                <w:sz w:val="20"/>
                <w:szCs w:val="20"/>
              </w:rPr>
            </w:pPr>
            <w:r>
              <w:rPr>
                <w:sz w:val="22"/>
                <w:szCs w:val="22"/>
              </w:rPr>
              <w:t>3.24</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6A075B6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3E7711D9"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2F9D8716" w14:textId="77777777" w:rsidR="002C4E1B" w:rsidRDefault="002C4E1B" w:rsidP="00A27EDC">
            <w:pPr>
              <w:widowControl w:val="0"/>
              <w:spacing w:line="276" w:lineRule="auto"/>
              <w:rPr>
                <w:rFonts w:ascii="Arial" w:eastAsia="Arial" w:hAnsi="Arial" w:cs="Arial"/>
                <w:sz w:val="20"/>
                <w:szCs w:val="20"/>
              </w:rPr>
            </w:pPr>
            <w:r>
              <w:rPr>
                <w:sz w:val="22"/>
                <w:szCs w:val="22"/>
              </w:rPr>
              <w:t>M(2,2)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9542B5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3D10567E" w14:textId="77777777" w:rsidR="002C4E1B" w:rsidRDefault="002C4E1B" w:rsidP="00A27EDC">
            <w:pPr>
              <w:widowControl w:val="0"/>
              <w:spacing w:line="276" w:lineRule="auto"/>
              <w:jc w:val="center"/>
              <w:rPr>
                <w:rFonts w:ascii="Arial" w:eastAsia="Arial" w:hAnsi="Arial" w:cs="Arial"/>
                <w:sz w:val="20"/>
                <w:szCs w:val="20"/>
              </w:rPr>
            </w:pPr>
            <w:r>
              <w:rPr>
                <w:sz w:val="22"/>
                <w:szCs w:val="22"/>
              </w:rPr>
              <w:t>8.31</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6D2F318"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5C4B8F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6F875A7" w14:textId="77777777" w:rsidR="002C4E1B" w:rsidRDefault="002C4E1B" w:rsidP="00A27EDC">
            <w:pPr>
              <w:widowControl w:val="0"/>
              <w:spacing w:line="276" w:lineRule="auto"/>
              <w:jc w:val="center"/>
              <w:rPr>
                <w:rFonts w:ascii="Arial" w:eastAsia="Arial" w:hAnsi="Arial" w:cs="Arial"/>
                <w:sz w:val="20"/>
                <w:szCs w:val="20"/>
              </w:rPr>
            </w:pPr>
            <w:r>
              <w:rPr>
                <w:sz w:val="22"/>
                <w:szCs w:val="22"/>
              </w:rPr>
              <w:t>5.77</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34C6820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1AA15A14"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78F47A5C" w14:textId="77777777" w:rsidR="002C4E1B" w:rsidRDefault="002C4E1B" w:rsidP="00A27EDC">
            <w:pPr>
              <w:widowControl w:val="0"/>
              <w:spacing w:line="276" w:lineRule="auto"/>
              <w:rPr>
                <w:rFonts w:ascii="Arial" w:eastAsia="Arial" w:hAnsi="Arial" w:cs="Arial"/>
                <w:sz w:val="20"/>
                <w:szCs w:val="20"/>
              </w:rPr>
            </w:pPr>
            <w:r>
              <w:rPr>
                <w:sz w:val="22"/>
                <w:szCs w:val="22"/>
              </w:rPr>
              <w:t>M(2,3)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6071508"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68BEA640" w14:textId="77777777" w:rsidR="002C4E1B" w:rsidRDefault="002C4E1B" w:rsidP="00A27EDC">
            <w:pPr>
              <w:widowControl w:val="0"/>
              <w:spacing w:line="276" w:lineRule="auto"/>
              <w:jc w:val="center"/>
              <w:rPr>
                <w:rFonts w:ascii="Arial" w:eastAsia="Arial" w:hAnsi="Arial" w:cs="Arial"/>
                <w:sz w:val="20"/>
                <w:szCs w:val="20"/>
              </w:rPr>
            </w:pPr>
            <w:r>
              <w:rPr>
                <w:sz w:val="22"/>
                <w:szCs w:val="22"/>
              </w:rPr>
              <w:t>2.42</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74FCD6F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2D09DC6"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8418421" w14:textId="77777777" w:rsidR="002C4E1B" w:rsidRDefault="002C4E1B" w:rsidP="00A27EDC">
            <w:pPr>
              <w:widowControl w:val="0"/>
              <w:spacing w:line="276" w:lineRule="auto"/>
              <w:jc w:val="center"/>
              <w:rPr>
                <w:rFonts w:ascii="Arial" w:eastAsia="Arial" w:hAnsi="Arial" w:cs="Arial"/>
                <w:sz w:val="20"/>
                <w:szCs w:val="20"/>
              </w:rPr>
            </w:pPr>
            <w:r>
              <w:rPr>
                <w:sz w:val="22"/>
                <w:szCs w:val="22"/>
              </w:rPr>
              <w:t>2.34</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4476BF9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r>
      <w:tr w:rsidR="002C4E1B" w14:paraId="06DA89B7"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3B0970A8" w14:textId="77777777" w:rsidR="002C4E1B" w:rsidRDefault="002C4E1B" w:rsidP="00A27EDC">
            <w:pPr>
              <w:widowControl w:val="0"/>
              <w:spacing w:line="276" w:lineRule="auto"/>
              <w:rPr>
                <w:rFonts w:ascii="Arial" w:eastAsia="Arial" w:hAnsi="Arial" w:cs="Arial"/>
                <w:sz w:val="20"/>
                <w:szCs w:val="20"/>
              </w:rPr>
            </w:pPr>
            <w:r>
              <w:rPr>
                <w:sz w:val="22"/>
                <w:szCs w:val="22"/>
              </w:rPr>
              <w:t>M(3,3)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433AA21"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7D12B0AA" w14:textId="77777777" w:rsidR="002C4E1B" w:rsidRDefault="002C4E1B" w:rsidP="00A27EDC">
            <w:pPr>
              <w:widowControl w:val="0"/>
              <w:spacing w:line="276" w:lineRule="auto"/>
              <w:jc w:val="center"/>
              <w:rPr>
                <w:rFonts w:ascii="Arial" w:eastAsia="Arial" w:hAnsi="Arial" w:cs="Arial"/>
                <w:sz w:val="20"/>
                <w:szCs w:val="20"/>
              </w:rPr>
            </w:pPr>
            <w:r>
              <w:rPr>
                <w:sz w:val="22"/>
                <w:szCs w:val="22"/>
              </w:rPr>
              <w:t>7.63</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5110738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F2DC38F"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9B42EE7" w14:textId="77777777" w:rsidR="002C4E1B" w:rsidRDefault="002C4E1B" w:rsidP="00A27EDC">
            <w:pPr>
              <w:widowControl w:val="0"/>
              <w:spacing w:line="276" w:lineRule="auto"/>
              <w:jc w:val="center"/>
              <w:rPr>
                <w:rFonts w:ascii="Arial" w:eastAsia="Arial" w:hAnsi="Arial" w:cs="Arial"/>
                <w:sz w:val="20"/>
                <w:szCs w:val="20"/>
              </w:rPr>
            </w:pPr>
            <w:r>
              <w:rPr>
                <w:sz w:val="22"/>
                <w:szCs w:val="22"/>
              </w:rPr>
              <w:t>4.91</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3078016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00F5FF66"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08E1D4ED" w14:textId="77777777" w:rsidR="002C4E1B" w:rsidRDefault="002C4E1B" w:rsidP="00A27EDC">
            <w:pPr>
              <w:widowControl w:val="0"/>
              <w:spacing w:line="276" w:lineRule="auto"/>
              <w:rPr>
                <w:rFonts w:ascii="Arial" w:eastAsia="Arial" w:hAnsi="Arial" w:cs="Arial"/>
                <w:sz w:val="20"/>
                <w:szCs w:val="20"/>
              </w:rPr>
            </w:pPr>
            <w:r>
              <w:rPr>
                <w:sz w:val="22"/>
                <w:szCs w:val="22"/>
              </w:rPr>
              <w:t>A1(1,1)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AB2385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0.03</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228ADA4" w14:textId="77777777" w:rsidR="002C4E1B" w:rsidRDefault="002C4E1B" w:rsidP="00A27EDC">
            <w:pPr>
              <w:widowControl w:val="0"/>
              <w:spacing w:line="276" w:lineRule="auto"/>
              <w:jc w:val="center"/>
              <w:rPr>
                <w:rFonts w:ascii="Arial" w:eastAsia="Arial" w:hAnsi="Arial" w:cs="Arial"/>
                <w:sz w:val="20"/>
                <w:szCs w:val="20"/>
              </w:rPr>
            </w:pPr>
            <w:r>
              <w:rPr>
                <w:sz w:val="22"/>
                <w:szCs w:val="22"/>
              </w:rPr>
              <w:t>33.10</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6D9A10FE"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A8AC4C1" w14:textId="77777777" w:rsidR="002C4E1B" w:rsidRDefault="002C4E1B" w:rsidP="00A27EDC">
            <w:pPr>
              <w:widowControl w:val="0"/>
              <w:spacing w:line="276" w:lineRule="auto"/>
              <w:jc w:val="center"/>
              <w:rPr>
                <w:rFonts w:ascii="Arial" w:eastAsia="Arial" w:hAnsi="Arial" w:cs="Arial"/>
                <w:sz w:val="20"/>
                <w:szCs w:val="20"/>
              </w:rPr>
            </w:pPr>
            <w:r>
              <w:rPr>
                <w:sz w:val="22"/>
                <w:szCs w:val="22"/>
              </w:rPr>
              <w:t>0.06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8AB00D8" w14:textId="77777777" w:rsidR="002C4E1B" w:rsidRDefault="002C4E1B" w:rsidP="00A27EDC">
            <w:pPr>
              <w:widowControl w:val="0"/>
              <w:spacing w:line="276" w:lineRule="auto"/>
              <w:jc w:val="center"/>
              <w:rPr>
                <w:rFonts w:ascii="Arial" w:eastAsia="Arial" w:hAnsi="Arial" w:cs="Arial"/>
                <w:sz w:val="20"/>
                <w:szCs w:val="20"/>
              </w:rPr>
            </w:pPr>
            <w:r>
              <w:rPr>
                <w:sz w:val="22"/>
                <w:szCs w:val="22"/>
              </w:rPr>
              <w:t>12.17</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634C4B6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3744EAFB"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78539004" w14:textId="77777777" w:rsidR="002C4E1B" w:rsidRDefault="002C4E1B" w:rsidP="00A27EDC">
            <w:pPr>
              <w:widowControl w:val="0"/>
              <w:spacing w:line="276" w:lineRule="auto"/>
              <w:rPr>
                <w:rFonts w:ascii="Arial" w:eastAsia="Arial" w:hAnsi="Arial" w:cs="Arial"/>
                <w:sz w:val="20"/>
                <w:szCs w:val="20"/>
              </w:rPr>
            </w:pPr>
            <w:r>
              <w:rPr>
                <w:sz w:val="22"/>
                <w:szCs w:val="22"/>
              </w:rPr>
              <w:t>A1(1,2)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8C8F0D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FCCA2E8" w14:textId="77777777" w:rsidR="002C4E1B" w:rsidRDefault="002C4E1B" w:rsidP="00A27EDC">
            <w:pPr>
              <w:widowControl w:val="0"/>
              <w:spacing w:line="276" w:lineRule="auto"/>
              <w:jc w:val="center"/>
              <w:rPr>
                <w:rFonts w:ascii="Arial" w:eastAsia="Arial" w:hAnsi="Arial" w:cs="Arial"/>
                <w:sz w:val="20"/>
                <w:szCs w:val="20"/>
              </w:rPr>
            </w:pPr>
            <w:r>
              <w:rPr>
                <w:sz w:val="22"/>
                <w:szCs w:val="22"/>
              </w:rPr>
              <w:t>8.80</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8924B3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F5D3C66"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6E2FBB6" w14:textId="77777777" w:rsidR="002C4E1B" w:rsidRDefault="002C4E1B" w:rsidP="00A27EDC">
            <w:pPr>
              <w:widowControl w:val="0"/>
              <w:spacing w:line="276" w:lineRule="auto"/>
              <w:jc w:val="center"/>
              <w:rPr>
                <w:rFonts w:ascii="Arial" w:eastAsia="Arial" w:hAnsi="Arial" w:cs="Arial"/>
                <w:sz w:val="20"/>
                <w:szCs w:val="20"/>
              </w:rPr>
            </w:pPr>
            <w:r>
              <w:rPr>
                <w:sz w:val="22"/>
                <w:szCs w:val="22"/>
              </w:rPr>
              <w:t>5.44</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1CDF22C0"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62BF19D0"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69F760BE" w14:textId="77777777" w:rsidR="002C4E1B" w:rsidRDefault="002C4E1B" w:rsidP="00A27EDC">
            <w:pPr>
              <w:widowControl w:val="0"/>
              <w:spacing w:line="276" w:lineRule="auto"/>
              <w:rPr>
                <w:rFonts w:ascii="Arial" w:eastAsia="Arial" w:hAnsi="Arial" w:cs="Arial"/>
                <w:sz w:val="20"/>
                <w:szCs w:val="20"/>
              </w:rPr>
            </w:pPr>
            <w:r>
              <w:rPr>
                <w:sz w:val="22"/>
                <w:szCs w:val="22"/>
              </w:rPr>
              <w:t>A1(1,3)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24756C1"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5D7FC03" w14:textId="77777777" w:rsidR="002C4E1B" w:rsidRDefault="002C4E1B" w:rsidP="00A27EDC">
            <w:pPr>
              <w:widowControl w:val="0"/>
              <w:spacing w:line="276" w:lineRule="auto"/>
              <w:jc w:val="center"/>
              <w:rPr>
                <w:rFonts w:ascii="Arial" w:eastAsia="Arial" w:hAnsi="Arial" w:cs="Arial"/>
                <w:sz w:val="20"/>
                <w:szCs w:val="20"/>
              </w:rPr>
            </w:pPr>
            <w:r>
              <w:rPr>
                <w:sz w:val="22"/>
                <w:szCs w:val="22"/>
              </w:rPr>
              <w:t>6.75</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9EBC706"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53EF30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AFEB9DF" w14:textId="77777777" w:rsidR="002C4E1B" w:rsidRDefault="002C4E1B" w:rsidP="00A27EDC">
            <w:pPr>
              <w:widowControl w:val="0"/>
              <w:spacing w:line="276" w:lineRule="auto"/>
              <w:jc w:val="center"/>
              <w:rPr>
                <w:rFonts w:ascii="Arial" w:eastAsia="Arial" w:hAnsi="Arial" w:cs="Arial"/>
                <w:sz w:val="20"/>
                <w:szCs w:val="20"/>
              </w:rPr>
            </w:pPr>
            <w:r>
              <w:rPr>
                <w:sz w:val="22"/>
                <w:szCs w:val="22"/>
              </w:rPr>
              <w:t>4.91</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792D87C9"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113CD48D"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584E1AB3" w14:textId="77777777" w:rsidR="002C4E1B" w:rsidRDefault="002C4E1B" w:rsidP="00A27EDC">
            <w:pPr>
              <w:widowControl w:val="0"/>
              <w:spacing w:line="276" w:lineRule="auto"/>
              <w:rPr>
                <w:rFonts w:ascii="Arial" w:eastAsia="Arial" w:hAnsi="Arial" w:cs="Arial"/>
                <w:sz w:val="20"/>
                <w:szCs w:val="20"/>
              </w:rPr>
            </w:pPr>
            <w:r>
              <w:rPr>
                <w:sz w:val="22"/>
                <w:szCs w:val="22"/>
              </w:rPr>
              <w:t>A1(2,2)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7633293" w14:textId="77777777" w:rsidR="002C4E1B" w:rsidRDefault="002C4E1B" w:rsidP="00A27EDC">
            <w:pPr>
              <w:widowControl w:val="0"/>
              <w:spacing w:line="276" w:lineRule="auto"/>
              <w:jc w:val="center"/>
              <w:rPr>
                <w:rFonts w:ascii="Arial" w:eastAsia="Arial" w:hAnsi="Arial" w:cs="Arial"/>
                <w:sz w:val="20"/>
                <w:szCs w:val="20"/>
              </w:rPr>
            </w:pPr>
            <w:r>
              <w:rPr>
                <w:sz w:val="22"/>
                <w:szCs w:val="22"/>
              </w:rPr>
              <w:t>0.07</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4397FA4F" w14:textId="77777777" w:rsidR="002C4E1B" w:rsidRDefault="002C4E1B" w:rsidP="00A27EDC">
            <w:pPr>
              <w:widowControl w:val="0"/>
              <w:spacing w:line="276" w:lineRule="auto"/>
              <w:jc w:val="center"/>
              <w:rPr>
                <w:rFonts w:ascii="Arial" w:eastAsia="Arial" w:hAnsi="Arial" w:cs="Arial"/>
                <w:sz w:val="20"/>
                <w:szCs w:val="20"/>
              </w:rPr>
            </w:pPr>
            <w:r>
              <w:rPr>
                <w:sz w:val="22"/>
                <w:szCs w:val="22"/>
              </w:rPr>
              <w:t>21.98</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86A786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79AAB43" w14:textId="77777777" w:rsidR="002C4E1B" w:rsidRDefault="002C4E1B" w:rsidP="00A27EDC">
            <w:pPr>
              <w:widowControl w:val="0"/>
              <w:spacing w:line="276" w:lineRule="auto"/>
              <w:jc w:val="center"/>
              <w:rPr>
                <w:rFonts w:ascii="Arial" w:eastAsia="Arial" w:hAnsi="Arial" w:cs="Arial"/>
                <w:sz w:val="20"/>
                <w:szCs w:val="20"/>
              </w:rPr>
            </w:pPr>
            <w:r>
              <w:rPr>
                <w:sz w:val="22"/>
                <w:szCs w:val="22"/>
              </w:rPr>
              <w:t>0.07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3A915FD" w14:textId="77777777" w:rsidR="002C4E1B" w:rsidRDefault="002C4E1B" w:rsidP="00A27EDC">
            <w:pPr>
              <w:widowControl w:val="0"/>
              <w:spacing w:line="276" w:lineRule="auto"/>
              <w:jc w:val="center"/>
              <w:rPr>
                <w:rFonts w:ascii="Arial" w:eastAsia="Arial" w:hAnsi="Arial" w:cs="Arial"/>
                <w:sz w:val="20"/>
                <w:szCs w:val="20"/>
              </w:rPr>
            </w:pPr>
            <w:r>
              <w:rPr>
                <w:sz w:val="22"/>
                <w:szCs w:val="22"/>
              </w:rPr>
              <w:t>12.10</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78BD4CEB"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2FA2873F"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65B2DE64" w14:textId="77777777" w:rsidR="002C4E1B" w:rsidRDefault="002C4E1B" w:rsidP="00A27EDC">
            <w:pPr>
              <w:widowControl w:val="0"/>
              <w:spacing w:line="276" w:lineRule="auto"/>
              <w:rPr>
                <w:rFonts w:ascii="Arial" w:eastAsia="Arial" w:hAnsi="Arial" w:cs="Arial"/>
                <w:sz w:val="20"/>
                <w:szCs w:val="20"/>
              </w:rPr>
            </w:pPr>
            <w:r>
              <w:rPr>
                <w:sz w:val="22"/>
                <w:szCs w:val="22"/>
              </w:rPr>
              <w:t>A1(2,3)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A0A92E0"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22B1481C" w14:textId="77777777" w:rsidR="002C4E1B" w:rsidRDefault="002C4E1B" w:rsidP="00A27EDC">
            <w:pPr>
              <w:widowControl w:val="0"/>
              <w:spacing w:line="276" w:lineRule="auto"/>
              <w:jc w:val="center"/>
              <w:rPr>
                <w:rFonts w:ascii="Arial" w:eastAsia="Arial" w:hAnsi="Arial" w:cs="Arial"/>
                <w:sz w:val="20"/>
                <w:szCs w:val="20"/>
              </w:rPr>
            </w:pPr>
            <w:r>
              <w:rPr>
                <w:sz w:val="22"/>
                <w:szCs w:val="22"/>
              </w:rPr>
              <w:t>5.54</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06281E83"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C272DE1"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617E39D" w14:textId="77777777" w:rsidR="002C4E1B" w:rsidRDefault="002C4E1B" w:rsidP="00A27EDC">
            <w:pPr>
              <w:widowControl w:val="0"/>
              <w:spacing w:line="276" w:lineRule="auto"/>
              <w:jc w:val="center"/>
              <w:rPr>
                <w:rFonts w:ascii="Arial" w:eastAsia="Arial" w:hAnsi="Arial" w:cs="Arial"/>
                <w:sz w:val="20"/>
                <w:szCs w:val="20"/>
              </w:rPr>
            </w:pPr>
            <w:r>
              <w:rPr>
                <w:sz w:val="22"/>
                <w:szCs w:val="22"/>
              </w:rPr>
              <w:t>4.50</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2D83AD7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7655A7F7"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092B4DA3" w14:textId="77777777" w:rsidR="002C4E1B" w:rsidRDefault="002C4E1B" w:rsidP="00A27EDC">
            <w:pPr>
              <w:widowControl w:val="0"/>
              <w:spacing w:line="276" w:lineRule="auto"/>
              <w:rPr>
                <w:rFonts w:ascii="Arial" w:eastAsia="Arial" w:hAnsi="Arial" w:cs="Arial"/>
                <w:sz w:val="20"/>
                <w:szCs w:val="20"/>
              </w:rPr>
            </w:pPr>
            <w:r>
              <w:rPr>
                <w:sz w:val="22"/>
                <w:szCs w:val="22"/>
              </w:rPr>
              <w:t>A1(3,3)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D4E203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0.04</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93681B9" w14:textId="77777777" w:rsidR="002C4E1B" w:rsidRDefault="002C4E1B" w:rsidP="00A27EDC">
            <w:pPr>
              <w:widowControl w:val="0"/>
              <w:spacing w:line="276" w:lineRule="auto"/>
              <w:jc w:val="center"/>
              <w:rPr>
                <w:rFonts w:ascii="Arial" w:eastAsia="Arial" w:hAnsi="Arial" w:cs="Arial"/>
                <w:sz w:val="20"/>
                <w:szCs w:val="20"/>
              </w:rPr>
            </w:pPr>
            <w:r>
              <w:rPr>
                <w:sz w:val="22"/>
                <w:szCs w:val="22"/>
              </w:rPr>
              <w:t>11.74</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5B1B625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49845B3" w14:textId="77777777" w:rsidR="002C4E1B" w:rsidRDefault="002C4E1B" w:rsidP="00A27EDC">
            <w:pPr>
              <w:widowControl w:val="0"/>
              <w:spacing w:line="276" w:lineRule="auto"/>
              <w:jc w:val="center"/>
              <w:rPr>
                <w:rFonts w:ascii="Arial" w:eastAsia="Arial" w:hAnsi="Arial" w:cs="Arial"/>
                <w:sz w:val="20"/>
                <w:szCs w:val="20"/>
              </w:rPr>
            </w:pPr>
            <w:r>
              <w:rPr>
                <w:sz w:val="22"/>
                <w:szCs w:val="22"/>
              </w:rPr>
              <w:t>0.03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0B6B04E" w14:textId="77777777" w:rsidR="002C4E1B" w:rsidRDefault="002C4E1B" w:rsidP="00A27EDC">
            <w:pPr>
              <w:widowControl w:val="0"/>
              <w:spacing w:line="276" w:lineRule="auto"/>
              <w:jc w:val="center"/>
              <w:rPr>
                <w:rFonts w:ascii="Arial" w:eastAsia="Arial" w:hAnsi="Arial" w:cs="Arial"/>
                <w:sz w:val="20"/>
                <w:szCs w:val="20"/>
              </w:rPr>
            </w:pPr>
            <w:r>
              <w:rPr>
                <w:sz w:val="22"/>
                <w:szCs w:val="22"/>
              </w:rPr>
              <w:t>7.12</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1B9676BB"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6F67B6EE"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F19AC3C" w14:textId="77777777" w:rsidR="002C4E1B" w:rsidRDefault="002C4E1B" w:rsidP="00A27EDC">
            <w:pPr>
              <w:widowControl w:val="0"/>
              <w:spacing w:line="276" w:lineRule="auto"/>
              <w:rPr>
                <w:rFonts w:ascii="Arial" w:eastAsia="Arial" w:hAnsi="Arial" w:cs="Arial"/>
                <w:sz w:val="20"/>
                <w:szCs w:val="20"/>
              </w:rPr>
            </w:pPr>
            <w:r>
              <w:rPr>
                <w:sz w:val="22"/>
                <w:szCs w:val="22"/>
              </w:rPr>
              <w:t>B1(1,1)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6F15D3B" w14:textId="77777777" w:rsidR="002C4E1B" w:rsidRDefault="002C4E1B" w:rsidP="00A27EDC">
            <w:pPr>
              <w:widowControl w:val="0"/>
              <w:spacing w:line="276" w:lineRule="auto"/>
              <w:jc w:val="center"/>
              <w:rPr>
                <w:rFonts w:ascii="Arial" w:eastAsia="Arial" w:hAnsi="Arial" w:cs="Arial"/>
                <w:sz w:val="20"/>
                <w:szCs w:val="20"/>
              </w:rPr>
            </w:pPr>
            <w:r>
              <w:rPr>
                <w:sz w:val="22"/>
                <w:szCs w:val="22"/>
              </w:rPr>
              <w:t>0.97</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4925556" w14:textId="77777777" w:rsidR="002C4E1B" w:rsidRDefault="002C4E1B" w:rsidP="00A27EDC">
            <w:pPr>
              <w:widowControl w:val="0"/>
              <w:spacing w:line="276" w:lineRule="auto"/>
              <w:jc w:val="center"/>
              <w:rPr>
                <w:rFonts w:ascii="Arial" w:eastAsia="Arial" w:hAnsi="Arial" w:cs="Arial"/>
                <w:sz w:val="20"/>
                <w:szCs w:val="20"/>
              </w:rPr>
            </w:pPr>
            <w:r>
              <w:rPr>
                <w:sz w:val="22"/>
                <w:szCs w:val="22"/>
              </w:rPr>
              <w:t>1721.36</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4CE080D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BBC4FBD" w14:textId="77777777" w:rsidR="002C4E1B" w:rsidRDefault="002C4E1B" w:rsidP="00A27EDC">
            <w:pPr>
              <w:widowControl w:val="0"/>
              <w:spacing w:line="276" w:lineRule="auto"/>
              <w:jc w:val="center"/>
              <w:rPr>
                <w:rFonts w:ascii="Arial" w:eastAsia="Arial" w:hAnsi="Arial" w:cs="Arial"/>
                <w:sz w:val="20"/>
                <w:szCs w:val="20"/>
              </w:rPr>
            </w:pPr>
            <w:r>
              <w:rPr>
                <w:sz w:val="22"/>
                <w:szCs w:val="22"/>
              </w:rPr>
              <w:t>0.92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24BDB00" w14:textId="77777777" w:rsidR="002C4E1B" w:rsidRDefault="002C4E1B" w:rsidP="00A27EDC">
            <w:pPr>
              <w:widowControl w:val="0"/>
              <w:spacing w:line="276" w:lineRule="auto"/>
              <w:jc w:val="center"/>
              <w:rPr>
                <w:rFonts w:ascii="Arial" w:eastAsia="Arial" w:hAnsi="Arial" w:cs="Arial"/>
                <w:sz w:val="20"/>
                <w:szCs w:val="20"/>
              </w:rPr>
            </w:pPr>
            <w:r>
              <w:rPr>
                <w:sz w:val="22"/>
                <w:szCs w:val="22"/>
              </w:rPr>
              <w:t>154.10</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131D8AEF"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7F45DCDF"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78E1CCEE" w14:textId="77777777" w:rsidR="002C4E1B" w:rsidRDefault="002C4E1B" w:rsidP="00A27EDC">
            <w:pPr>
              <w:widowControl w:val="0"/>
              <w:spacing w:line="276" w:lineRule="auto"/>
              <w:rPr>
                <w:rFonts w:ascii="Arial" w:eastAsia="Arial" w:hAnsi="Arial" w:cs="Arial"/>
                <w:sz w:val="20"/>
                <w:szCs w:val="20"/>
              </w:rPr>
            </w:pPr>
            <w:r>
              <w:rPr>
                <w:sz w:val="22"/>
                <w:szCs w:val="22"/>
              </w:rPr>
              <w:t>B1(1,2)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97FCC10" w14:textId="77777777" w:rsidR="002C4E1B" w:rsidRDefault="002C4E1B" w:rsidP="00A27EDC">
            <w:pPr>
              <w:widowControl w:val="0"/>
              <w:spacing w:line="276" w:lineRule="auto"/>
              <w:jc w:val="center"/>
              <w:rPr>
                <w:rFonts w:ascii="Arial" w:eastAsia="Arial" w:hAnsi="Arial" w:cs="Arial"/>
                <w:sz w:val="20"/>
                <w:szCs w:val="20"/>
              </w:rPr>
            </w:pPr>
            <w:r>
              <w:rPr>
                <w:sz w:val="22"/>
                <w:szCs w:val="22"/>
              </w:rPr>
              <w:t>0.96</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6C43032" w14:textId="77777777" w:rsidR="002C4E1B" w:rsidRDefault="002C4E1B" w:rsidP="00A27EDC">
            <w:pPr>
              <w:widowControl w:val="0"/>
              <w:spacing w:line="276" w:lineRule="auto"/>
              <w:jc w:val="center"/>
              <w:rPr>
                <w:rFonts w:ascii="Arial" w:eastAsia="Arial" w:hAnsi="Arial" w:cs="Arial"/>
                <w:sz w:val="20"/>
                <w:szCs w:val="20"/>
              </w:rPr>
            </w:pPr>
            <w:r>
              <w:rPr>
                <w:sz w:val="22"/>
                <w:szCs w:val="22"/>
              </w:rPr>
              <w:t>326.64</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2F79B25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ABBE568" w14:textId="77777777" w:rsidR="002C4E1B" w:rsidRDefault="002C4E1B" w:rsidP="00A27EDC">
            <w:pPr>
              <w:widowControl w:val="0"/>
              <w:spacing w:line="276" w:lineRule="auto"/>
              <w:jc w:val="center"/>
              <w:rPr>
                <w:rFonts w:ascii="Arial" w:eastAsia="Arial" w:hAnsi="Arial" w:cs="Arial"/>
                <w:sz w:val="20"/>
                <w:szCs w:val="20"/>
              </w:rPr>
            </w:pPr>
            <w:r>
              <w:rPr>
                <w:sz w:val="22"/>
                <w:szCs w:val="22"/>
              </w:rPr>
              <w:t>0.95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55CC842" w14:textId="77777777" w:rsidR="002C4E1B" w:rsidRDefault="002C4E1B" w:rsidP="00A27EDC">
            <w:pPr>
              <w:widowControl w:val="0"/>
              <w:spacing w:line="276" w:lineRule="auto"/>
              <w:jc w:val="center"/>
              <w:rPr>
                <w:rFonts w:ascii="Arial" w:eastAsia="Arial" w:hAnsi="Arial" w:cs="Arial"/>
                <w:sz w:val="20"/>
                <w:szCs w:val="20"/>
              </w:rPr>
            </w:pPr>
            <w:r>
              <w:rPr>
                <w:sz w:val="22"/>
                <w:szCs w:val="22"/>
              </w:rPr>
              <w:t>129.10</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137B6106"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3433F3B5"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363751F8" w14:textId="77777777" w:rsidR="002C4E1B" w:rsidRDefault="002C4E1B" w:rsidP="00A27EDC">
            <w:pPr>
              <w:widowControl w:val="0"/>
              <w:spacing w:line="276" w:lineRule="auto"/>
              <w:rPr>
                <w:rFonts w:ascii="Arial" w:eastAsia="Arial" w:hAnsi="Arial" w:cs="Arial"/>
                <w:sz w:val="20"/>
                <w:szCs w:val="20"/>
              </w:rPr>
            </w:pPr>
            <w:r>
              <w:rPr>
                <w:sz w:val="22"/>
                <w:szCs w:val="22"/>
              </w:rPr>
              <w:t>B1(1,3)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35073C9" w14:textId="77777777" w:rsidR="002C4E1B" w:rsidRDefault="002C4E1B" w:rsidP="00A27EDC">
            <w:pPr>
              <w:widowControl w:val="0"/>
              <w:spacing w:line="276" w:lineRule="auto"/>
              <w:jc w:val="center"/>
              <w:rPr>
                <w:rFonts w:ascii="Arial" w:eastAsia="Arial" w:hAnsi="Arial" w:cs="Arial"/>
                <w:sz w:val="20"/>
                <w:szCs w:val="20"/>
              </w:rPr>
            </w:pPr>
            <w:r>
              <w:rPr>
                <w:sz w:val="22"/>
                <w:szCs w:val="22"/>
              </w:rPr>
              <w:t>0.97</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40768D95" w14:textId="77777777" w:rsidR="002C4E1B" w:rsidRDefault="002C4E1B" w:rsidP="00A27EDC">
            <w:pPr>
              <w:widowControl w:val="0"/>
              <w:spacing w:line="276" w:lineRule="auto"/>
              <w:jc w:val="center"/>
              <w:rPr>
                <w:rFonts w:ascii="Arial" w:eastAsia="Arial" w:hAnsi="Arial" w:cs="Arial"/>
                <w:sz w:val="20"/>
                <w:szCs w:val="20"/>
              </w:rPr>
            </w:pPr>
            <w:r>
              <w:rPr>
                <w:sz w:val="22"/>
                <w:szCs w:val="22"/>
              </w:rPr>
              <w:t>262.50</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F226360"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54B26FB" w14:textId="77777777" w:rsidR="002C4E1B" w:rsidRDefault="002C4E1B" w:rsidP="00A27EDC">
            <w:pPr>
              <w:widowControl w:val="0"/>
              <w:spacing w:line="276" w:lineRule="auto"/>
              <w:jc w:val="center"/>
              <w:rPr>
                <w:rFonts w:ascii="Arial" w:eastAsia="Arial" w:hAnsi="Arial" w:cs="Arial"/>
                <w:sz w:val="20"/>
                <w:szCs w:val="20"/>
              </w:rPr>
            </w:pPr>
            <w:r>
              <w:rPr>
                <w:sz w:val="22"/>
                <w:szCs w:val="22"/>
              </w:rPr>
              <w:t>0.95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F231B24" w14:textId="77777777" w:rsidR="002C4E1B" w:rsidRDefault="002C4E1B" w:rsidP="00A27EDC">
            <w:pPr>
              <w:widowControl w:val="0"/>
              <w:spacing w:line="276" w:lineRule="auto"/>
              <w:jc w:val="center"/>
              <w:rPr>
                <w:rFonts w:ascii="Arial" w:eastAsia="Arial" w:hAnsi="Arial" w:cs="Arial"/>
                <w:sz w:val="20"/>
                <w:szCs w:val="20"/>
              </w:rPr>
            </w:pPr>
            <w:r>
              <w:rPr>
                <w:sz w:val="22"/>
                <w:szCs w:val="22"/>
              </w:rPr>
              <w:t>100.32</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70D4F124"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6F2F4BC8"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8192385" w14:textId="77777777" w:rsidR="002C4E1B" w:rsidRDefault="002C4E1B" w:rsidP="00A27EDC">
            <w:pPr>
              <w:widowControl w:val="0"/>
              <w:spacing w:line="276" w:lineRule="auto"/>
              <w:rPr>
                <w:rFonts w:ascii="Arial" w:eastAsia="Arial" w:hAnsi="Arial" w:cs="Arial"/>
                <w:sz w:val="20"/>
                <w:szCs w:val="20"/>
              </w:rPr>
            </w:pPr>
            <w:r>
              <w:rPr>
                <w:sz w:val="22"/>
                <w:szCs w:val="22"/>
              </w:rPr>
              <w:t>B1(2,2)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7748B13" w14:textId="77777777" w:rsidR="002C4E1B" w:rsidRDefault="002C4E1B" w:rsidP="00A27EDC">
            <w:pPr>
              <w:widowControl w:val="0"/>
              <w:spacing w:line="276" w:lineRule="auto"/>
              <w:jc w:val="center"/>
              <w:rPr>
                <w:rFonts w:ascii="Arial" w:eastAsia="Arial" w:hAnsi="Arial" w:cs="Arial"/>
                <w:sz w:val="20"/>
                <w:szCs w:val="20"/>
              </w:rPr>
            </w:pPr>
            <w:r>
              <w:rPr>
                <w:sz w:val="22"/>
                <w:szCs w:val="22"/>
              </w:rPr>
              <w:t>0.92</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D07FEA5" w14:textId="77777777" w:rsidR="002C4E1B" w:rsidRDefault="002C4E1B" w:rsidP="00A27EDC">
            <w:pPr>
              <w:widowControl w:val="0"/>
              <w:spacing w:line="276" w:lineRule="auto"/>
              <w:jc w:val="center"/>
              <w:rPr>
                <w:rFonts w:ascii="Arial" w:eastAsia="Arial" w:hAnsi="Arial" w:cs="Arial"/>
                <w:sz w:val="20"/>
                <w:szCs w:val="20"/>
              </w:rPr>
            </w:pPr>
            <w:r>
              <w:rPr>
                <w:sz w:val="22"/>
                <w:szCs w:val="22"/>
              </w:rPr>
              <w:t>283.73</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56C0AFE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928C79F" w14:textId="77777777" w:rsidR="002C4E1B" w:rsidRDefault="002C4E1B" w:rsidP="00A27EDC">
            <w:pPr>
              <w:widowControl w:val="0"/>
              <w:spacing w:line="276" w:lineRule="auto"/>
              <w:jc w:val="center"/>
              <w:rPr>
                <w:rFonts w:ascii="Arial" w:eastAsia="Arial" w:hAnsi="Arial" w:cs="Arial"/>
                <w:sz w:val="20"/>
                <w:szCs w:val="20"/>
              </w:rPr>
            </w:pPr>
            <w:r>
              <w:rPr>
                <w:sz w:val="22"/>
                <w:szCs w:val="22"/>
              </w:rPr>
              <w:t>0.92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C7EFA06" w14:textId="77777777" w:rsidR="002C4E1B" w:rsidRDefault="002C4E1B" w:rsidP="00A27EDC">
            <w:pPr>
              <w:widowControl w:val="0"/>
              <w:spacing w:line="276" w:lineRule="auto"/>
              <w:jc w:val="center"/>
              <w:rPr>
                <w:rFonts w:ascii="Arial" w:eastAsia="Arial" w:hAnsi="Arial" w:cs="Arial"/>
                <w:sz w:val="20"/>
                <w:szCs w:val="20"/>
              </w:rPr>
            </w:pPr>
            <w:r>
              <w:rPr>
                <w:sz w:val="22"/>
                <w:szCs w:val="22"/>
              </w:rPr>
              <w:t>154.66</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5E4A9B29"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4205573D"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047B3A56" w14:textId="77777777" w:rsidR="002C4E1B" w:rsidRDefault="002C4E1B" w:rsidP="00A27EDC">
            <w:pPr>
              <w:widowControl w:val="0"/>
              <w:spacing w:line="276" w:lineRule="auto"/>
              <w:rPr>
                <w:rFonts w:ascii="Arial" w:eastAsia="Arial" w:hAnsi="Arial" w:cs="Arial"/>
                <w:sz w:val="20"/>
                <w:szCs w:val="20"/>
              </w:rPr>
            </w:pPr>
            <w:r>
              <w:rPr>
                <w:sz w:val="22"/>
                <w:szCs w:val="22"/>
              </w:rPr>
              <w:t>B1(2,3)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679A054" w14:textId="77777777" w:rsidR="002C4E1B" w:rsidRDefault="002C4E1B" w:rsidP="00A27EDC">
            <w:pPr>
              <w:widowControl w:val="0"/>
              <w:spacing w:line="276" w:lineRule="auto"/>
              <w:jc w:val="center"/>
              <w:rPr>
                <w:rFonts w:ascii="Arial" w:eastAsia="Arial" w:hAnsi="Arial" w:cs="Arial"/>
                <w:sz w:val="20"/>
                <w:szCs w:val="20"/>
              </w:rPr>
            </w:pPr>
            <w:r>
              <w:rPr>
                <w:sz w:val="22"/>
                <w:szCs w:val="22"/>
              </w:rPr>
              <w:t>0.97</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3087B01" w14:textId="77777777" w:rsidR="002C4E1B" w:rsidRDefault="002C4E1B" w:rsidP="00A27EDC">
            <w:pPr>
              <w:widowControl w:val="0"/>
              <w:spacing w:line="276" w:lineRule="auto"/>
              <w:jc w:val="center"/>
              <w:rPr>
                <w:rFonts w:ascii="Arial" w:eastAsia="Arial" w:hAnsi="Arial" w:cs="Arial"/>
                <w:sz w:val="20"/>
                <w:szCs w:val="20"/>
              </w:rPr>
            </w:pPr>
            <w:r>
              <w:rPr>
                <w:sz w:val="22"/>
                <w:szCs w:val="22"/>
              </w:rPr>
              <w:t>232.89</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77638996"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0A2307D" w14:textId="77777777" w:rsidR="002C4E1B" w:rsidRDefault="002C4E1B" w:rsidP="00A27EDC">
            <w:pPr>
              <w:widowControl w:val="0"/>
              <w:spacing w:line="276" w:lineRule="auto"/>
              <w:jc w:val="center"/>
              <w:rPr>
                <w:rFonts w:ascii="Arial" w:eastAsia="Arial" w:hAnsi="Arial" w:cs="Arial"/>
                <w:sz w:val="20"/>
                <w:szCs w:val="20"/>
              </w:rPr>
            </w:pPr>
            <w:r>
              <w:rPr>
                <w:sz w:val="22"/>
                <w:szCs w:val="22"/>
              </w:rPr>
              <w:t>0.97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92AF2AB" w14:textId="77777777" w:rsidR="002C4E1B" w:rsidRDefault="002C4E1B" w:rsidP="00A27EDC">
            <w:pPr>
              <w:widowControl w:val="0"/>
              <w:spacing w:line="276" w:lineRule="auto"/>
              <w:jc w:val="center"/>
              <w:rPr>
                <w:rFonts w:ascii="Arial" w:eastAsia="Arial" w:hAnsi="Arial" w:cs="Arial"/>
                <w:sz w:val="20"/>
                <w:szCs w:val="20"/>
              </w:rPr>
            </w:pPr>
            <w:r>
              <w:rPr>
                <w:sz w:val="22"/>
                <w:szCs w:val="22"/>
              </w:rPr>
              <w:t>152.00</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6FAC59FE"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4495A57D" w14:textId="77777777" w:rsidTr="005E56FE">
        <w:trPr>
          <w:trHeight w:val="330"/>
          <w:jc w:val="center"/>
        </w:trPr>
        <w:tc>
          <w:tcPr>
            <w:tcW w:w="761"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1F0A3A3" w14:textId="77777777" w:rsidR="002C4E1B" w:rsidRDefault="002C4E1B" w:rsidP="00A27EDC">
            <w:pPr>
              <w:widowControl w:val="0"/>
              <w:spacing w:line="276" w:lineRule="auto"/>
              <w:rPr>
                <w:rFonts w:ascii="Arial" w:eastAsia="Arial" w:hAnsi="Arial" w:cs="Arial"/>
                <w:sz w:val="20"/>
                <w:szCs w:val="20"/>
              </w:rPr>
            </w:pPr>
            <w:r>
              <w:rPr>
                <w:sz w:val="22"/>
                <w:szCs w:val="22"/>
              </w:rPr>
              <w:t>B1(3,3)</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7C2944E" w14:textId="77777777" w:rsidR="002C4E1B" w:rsidRDefault="002C4E1B" w:rsidP="00A27EDC">
            <w:pPr>
              <w:widowControl w:val="0"/>
              <w:spacing w:line="276" w:lineRule="auto"/>
              <w:jc w:val="center"/>
              <w:rPr>
                <w:rFonts w:ascii="Arial" w:eastAsia="Arial" w:hAnsi="Arial" w:cs="Arial"/>
                <w:sz w:val="20"/>
                <w:szCs w:val="20"/>
              </w:rPr>
            </w:pPr>
            <w:r>
              <w:rPr>
                <w:sz w:val="22"/>
                <w:szCs w:val="22"/>
              </w:rPr>
              <w:t>0.94</w:t>
            </w:r>
          </w:p>
        </w:tc>
        <w:tc>
          <w:tcPr>
            <w:tcW w:w="790"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2EC06A59" w14:textId="77777777" w:rsidR="002C4E1B" w:rsidRDefault="002C4E1B" w:rsidP="00A27EDC">
            <w:pPr>
              <w:widowControl w:val="0"/>
              <w:spacing w:line="276" w:lineRule="auto"/>
              <w:jc w:val="center"/>
              <w:rPr>
                <w:rFonts w:ascii="Arial" w:eastAsia="Arial" w:hAnsi="Arial" w:cs="Arial"/>
                <w:sz w:val="20"/>
                <w:szCs w:val="20"/>
              </w:rPr>
            </w:pPr>
            <w:r>
              <w:rPr>
                <w:sz w:val="22"/>
                <w:szCs w:val="22"/>
              </w:rPr>
              <w:t>188.95</w:t>
            </w:r>
          </w:p>
        </w:tc>
        <w:tc>
          <w:tcPr>
            <w:tcW w:w="747"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26BCB56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3087AE19" w14:textId="77777777" w:rsidR="002C4E1B" w:rsidRDefault="002C4E1B" w:rsidP="00A27EDC">
            <w:pPr>
              <w:widowControl w:val="0"/>
              <w:spacing w:line="276" w:lineRule="auto"/>
              <w:jc w:val="center"/>
              <w:rPr>
                <w:rFonts w:ascii="Arial" w:eastAsia="Arial" w:hAnsi="Arial" w:cs="Arial"/>
                <w:sz w:val="20"/>
                <w:szCs w:val="20"/>
              </w:rPr>
            </w:pPr>
            <w:r>
              <w:rPr>
                <w:sz w:val="22"/>
                <w:szCs w:val="22"/>
              </w:rPr>
              <w:t>0.94</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02EB6B8" w14:textId="77777777" w:rsidR="002C4E1B" w:rsidRDefault="002C4E1B" w:rsidP="00A27EDC">
            <w:pPr>
              <w:widowControl w:val="0"/>
              <w:spacing w:line="276" w:lineRule="auto"/>
              <w:jc w:val="center"/>
              <w:rPr>
                <w:rFonts w:ascii="Arial" w:eastAsia="Arial" w:hAnsi="Arial" w:cs="Arial"/>
                <w:sz w:val="20"/>
                <w:szCs w:val="20"/>
              </w:rPr>
            </w:pPr>
            <w:r>
              <w:rPr>
                <w:sz w:val="22"/>
                <w:szCs w:val="22"/>
              </w:rPr>
              <w:t>110.27</w:t>
            </w:r>
          </w:p>
        </w:tc>
        <w:tc>
          <w:tcPr>
            <w:tcW w:w="677"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7B248F2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bl>
    <w:p w14:paraId="126234EE" w14:textId="77777777" w:rsidR="002C4E1B" w:rsidRDefault="002C4E1B" w:rsidP="002C4E1B">
      <w:r>
        <w:br w:type="page"/>
      </w:r>
    </w:p>
    <w:p w14:paraId="5C953E7D" w14:textId="475C9E73" w:rsidR="002C4E1B" w:rsidRDefault="002C4E1B" w:rsidP="006B5F97">
      <w:pPr>
        <w:spacing w:after="240"/>
        <w:jc w:val="center"/>
      </w:pPr>
      <w:r>
        <w:t xml:space="preserve">Table </w:t>
      </w:r>
      <w:r w:rsidR="00EF7F89">
        <w:t>B2</w:t>
      </w:r>
      <w:r>
        <w:t>: Diagonal BEKK</w:t>
      </w:r>
    </w:p>
    <w:tbl>
      <w:tblPr>
        <w:tblStyle w:val="a6"/>
        <w:tblW w:w="5000" w:type="pct"/>
        <w:tblBorders>
          <w:top w:val="nil"/>
          <w:left w:val="nil"/>
          <w:bottom w:val="nil"/>
          <w:right w:val="nil"/>
          <w:insideH w:val="nil"/>
          <w:insideV w:val="nil"/>
        </w:tblBorders>
        <w:tblLook w:val="0600" w:firstRow="0" w:lastRow="0" w:firstColumn="0" w:lastColumn="0" w:noHBand="1" w:noVBand="1"/>
      </w:tblPr>
      <w:tblGrid>
        <w:gridCol w:w="1424"/>
        <w:gridCol w:w="1264"/>
        <w:gridCol w:w="1479"/>
        <w:gridCol w:w="1398"/>
        <w:gridCol w:w="1264"/>
        <w:gridCol w:w="1264"/>
        <w:gridCol w:w="1267"/>
      </w:tblGrid>
      <w:tr w:rsidR="002C4E1B" w14:paraId="334D5189" w14:textId="77777777" w:rsidTr="00A27EDC">
        <w:trPr>
          <w:trHeight w:val="345"/>
        </w:trPr>
        <w:tc>
          <w:tcPr>
            <w:tcW w:w="761"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648B2BCE" w14:textId="77777777" w:rsidR="002C4E1B" w:rsidRDefault="002C4E1B" w:rsidP="00A27EDC">
            <w:pPr>
              <w:widowControl w:val="0"/>
              <w:spacing w:line="276" w:lineRule="auto"/>
              <w:rPr>
                <w:rFonts w:ascii="Arial" w:eastAsia="Arial" w:hAnsi="Arial" w:cs="Arial"/>
                <w:sz w:val="20"/>
                <w:szCs w:val="20"/>
              </w:rPr>
            </w:pP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4A1C7B57" w14:textId="77777777" w:rsidR="002C4E1B" w:rsidRDefault="002C4E1B" w:rsidP="00A27EDC">
            <w:pPr>
              <w:widowControl w:val="0"/>
              <w:spacing w:line="276" w:lineRule="auto"/>
              <w:jc w:val="center"/>
              <w:rPr>
                <w:rFonts w:ascii="Arial" w:eastAsia="Arial" w:hAnsi="Arial" w:cs="Arial"/>
                <w:sz w:val="20"/>
                <w:szCs w:val="20"/>
              </w:rPr>
            </w:pPr>
            <w:r>
              <w:rPr>
                <w:b/>
                <w:sz w:val="22"/>
                <w:szCs w:val="22"/>
              </w:rPr>
              <w:t>Norm</w:t>
            </w:r>
          </w:p>
        </w:tc>
        <w:tc>
          <w:tcPr>
            <w:tcW w:w="790"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41B49BF6" w14:textId="77777777" w:rsidR="002C4E1B" w:rsidRDefault="002C4E1B" w:rsidP="00A27EDC">
            <w:pPr>
              <w:widowControl w:val="0"/>
              <w:spacing w:line="276" w:lineRule="auto"/>
              <w:jc w:val="center"/>
              <w:rPr>
                <w:rFonts w:ascii="Arial" w:eastAsia="Arial" w:hAnsi="Arial" w:cs="Arial"/>
                <w:sz w:val="20"/>
                <w:szCs w:val="20"/>
              </w:rPr>
            </w:pPr>
          </w:p>
        </w:tc>
        <w:tc>
          <w:tcPr>
            <w:tcW w:w="747"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48D000A9" w14:textId="77777777" w:rsidR="002C4E1B" w:rsidRDefault="002C4E1B" w:rsidP="00A27EDC">
            <w:pPr>
              <w:widowControl w:val="0"/>
              <w:spacing w:line="276" w:lineRule="auto"/>
              <w:jc w:val="center"/>
              <w:rPr>
                <w:rFonts w:ascii="Arial" w:eastAsia="Arial" w:hAnsi="Arial" w:cs="Arial"/>
                <w:sz w:val="20"/>
                <w:szCs w:val="20"/>
              </w:rPr>
            </w:pP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6EB63A7E" w14:textId="77777777" w:rsidR="002C4E1B" w:rsidRDefault="002C4E1B" w:rsidP="00A27EDC">
            <w:pPr>
              <w:widowControl w:val="0"/>
              <w:spacing w:line="276" w:lineRule="auto"/>
              <w:jc w:val="center"/>
              <w:rPr>
                <w:rFonts w:ascii="Arial" w:eastAsia="Arial" w:hAnsi="Arial" w:cs="Arial"/>
                <w:sz w:val="20"/>
                <w:szCs w:val="20"/>
              </w:rPr>
            </w:pPr>
            <w:r>
              <w:rPr>
                <w:b/>
                <w:sz w:val="22"/>
                <w:szCs w:val="22"/>
              </w:rPr>
              <w:t>T</w:t>
            </w: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5FEEF194" w14:textId="77777777" w:rsidR="002C4E1B" w:rsidRDefault="002C4E1B" w:rsidP="00A27EDC">
            <w:pPr>
              <w:widowControl w:val="0"/>
              <w:spacing w:line="276" w:lineRule="auto"/>
              <w:jc w:val="center"/>
              <w:rPr>
                <w:rFonts w:ascii="Arial" w:eastAsia="Arial" w:hAnsi="Arial" w:cs="Arial"/>
                <w:sz w:val="20"/>
                <w:szCs w:val="20"/>
              </w:rPr>
            </w:pP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6CB693B4" w14:textId="77777777" w:rsidR="002C4E1B" w:rsidRDefault="002C4E1B" w:rsidP="00A27EDC">
            <w:pPr>
              <w:widowControl w:val="0"/>
              <w:spacing w:line="276" w:lineRule="auto"/>
              <w:jc w:val="center"/>
              <w:rPr>
                <w:rFonts w:ascii="Arial" w:eastAsia="Arial" w:hAnsi="Arial" w:cs="Arial"/>
                <w:sz w:val="20"/>
                <w:szCs w:val="20"/>
              </w:rPr>
            </w:pPr>
          </w:p>
        </w:tc>
      </w:tr>
      <w:tr w:rsidR="002C4E1B" w14:paraId="6D3BB080" w14:textId="77777777" w:rsidTr="00A27EDC">
        <w:trPr>
          <w:trHeight w:val="585"/>
        </w:trPr>
        <w:tc>
          <w:tcPr>
            <w:tcW w:w="761" w:type="pct"/>
            <w:tcBorders>
              <w:top w:val="nil"/>
              <w:left w:val="nil"/>
              <w:bottom w:val="nil"/>
              <w:right w:val="nil"/>
            </w:tcBorders>
            <w:tcMar>
              <w:top w:w="40" w:type="dxa"/>
              <w:left w:w="40" w:type="dxa"/>
              <w:bottom w:w="40" w:type="dxa"/>
              <w:right w:w="40" w:type="dxa"/>
            </w:tcMar>
            <w:vAlign w:val="bottom"/>
          </w:tcPr>
          <w:p w14:paraId="383DB309" w14:textId="77777777" w:rsidR="002C4E1B" w:rsidRDefault="002C4E1B" w:rsidP="00A27EDC">
            <w:pPr>
              <w:widowControl w:val="0"/>
              <w:spacing w:line="276" w:lineRule="auto"/>
              <w:rPr>
                <w:rFonts w:ascii="Arial" w:eastAsia="Arial" w:hAnsi="Arial" w:cs="Arial"/>
                <w:sz w:val="20"/>
                <w:szCs w:val="20"/>
              </w:rPr>
            </w:pPr>
          </w:p>
        </w:tc>
        <w:tc>
          <w:tcPr>
            <w:tcW w:w="675" w:type="pct"/>
            <w:tcBorders>
              <w:top w:val="nil"/>
              <w:left w:val="nil"/>
              <w:bottom w:val="nil"/>
              <w:right w:val="nil"/>
            </w:tcBorders>
            <w:tcMar>
              <w:top w:w="40" w:type="dxa"/>
              <w:left w:w="40" w:type="dxa"/>
              <w:bottom w:w="40" w:type="dxa"/>
              <w:right w:w="40" w:type="dxa"/>
            </w:tcMar>
            <w:vAlign w:val="bottom"/>
          </w:tcPr>
          <w:p w14:paraId="320A37F0" w14:textId="77777777" w:rsidR="002C4E1B" w:rsidRDefault="002C4E1B" w:rsidP="00A27EDC">
            <w:pPr>
              <w:widowControl w:val="0"/>
              <w:spacing w:line="276" w:lineRule="auto"/>
              <w:jc w:val="center"/>
              <w:rPr>
                <w:rFonts w:ascii="Arial" w:eastAsia="Arial" w:hAnsi="Arial" w:cs="Arial"/>
                <w:sz w:val="20"/>
                <w:szCs w:val="20"/>
              </w:rPr>
            </w:pPr>
            <w:r>
              <w:rPr>
                <w:sz w:val="22"/>
                <w:szCs w:val="22"/>
              </w:rPr>
              <w:t>Coef</w:t>
            </w:r>
          </w:p>
        </w:tc>
        <w:tc>
          <w:tcPr>
            <w:tcW w:w="790" w:type="pct"/>
            <w:tcBorders>
              <w:top w:val="nil"/>
              <w:left w:val="nil"/>
              <w:bottom w:val="nil"/>
              <w:right w:val="nil"/>
            </w:tcBorders>
            <w:tcMar>
              <w:top w:w="40" w:type="dxa"/>
              <w:left w:w="40" w:type="dxa"/>
              <w:bottom w:w="40" w:type="dxa"/>
              <w:right w:w="40" w:type="dxa"/>
            </w:tcMar>
            <w:vAlign w:val="bottom"/>
          </w:tcPr>
          <w:p w14:paraId="4D10B998" w14:textId="77777777" w:rsidR="002C4E1B" w:rsidRDefault="002C4E1B" w:rsidP="00A27EDC">
            <w:pPr>
              <w:widowControl w:val="0"/>
              <w:spacing w:line="276" w:lineRule="auto"/>
              <w:jc w:val="center"/>
              <w:rPr>
                <w:rFonts w:ascii="Arial" w:eastAsia="Arial" w:hAnsi="Arial" w:cs="Arial"/>
                <w:sz w:val="20"/>
                <w:szCs w:val="20"/>
              </w:rPr>
            </w:pPr>
            <w:r>
              <w:rPr>
                <w:sz w:val="22"/>
                <w:szCs w:val="22"/>
              </w:rPr>
              <w:t>z-Stat</w:t>
            </w:r>
          </w:p>
        </w:tc>
        <w:tc>
          <w:tcPr>
            <w:tcW w:w="747" w:type="pct"/>
            <w:tcBorders>
              <w:top w:val="nil"/>
              <w:left w:val="nil"/>
              <w:bottom w:val="nil"/>
              <w:right w:val="nil"/>
            </w:tcBorders>
            <w:tcMar>
              <w:top w:w="40" w:type="dxa"/>
              <w:left w:w="40" w:type="dxa"/>
              <w:bottom w:w="40" w:type="dxa"/>
              <w:right w:w="40" w:type="dxa"/>
            </w:tcMar>
            <w:vAlign w:val="bottom"/>
          </w:tcPr>
          <w:p w14:paraId="15ACDA08" w14:textId="77777777" w:rsidR="002C4E1B" w:rsidRDefault="002C4E1B" w:rsidP="00A27EDC">
            <w:pPr>
              <w:widowControl w:val="0"/>
              <w:spacing w:line="276" w:lineRule="auto"/>
              <w:jc w:val="center"/>
              <w:rPr>
                <w:rFonts w:ascii="Arial" w:eastAsia="Arial" w:hAnsi="Arial" w:cs="Arial"/>
                <w:sz w:val="20"/>
                <w:szCs w:val="20"/>
              </w:rPr>
            </w:pPr>
            <w:r>
              <w:rPr>
                <w:sz w:val="22"/>
                <w:szCs w:val="22"/>
              </w:rPr>
              <w:t>P-value</w:t>
            </w:r>
          </w:p>
        </w:tc>
        <w:tc>
          <w:tcPr>
            <w:tcW w:w="675" w:type="pct"/>
            <w:tcBorders>
              <w:top w:val="nil"/>
              <w:left w:val="nil"/>
              <w:bottom w:val="nil"/>
              <w:right w:val="nil"/>
            </w:tcBorders>
            <w:tcMar>
              <w:top w:w="40" w:type="dxa"/>
              <w:left w:w="40" w:type="dxa"/>
              <w:bottom w:w="40" w:type="dxa"/>
              <w:right w:w="40" w:type="dxa"/>
            </w:tcMar>
            <w:vAlign w:val="bottom"/>
          </w:tcPr>
          <w:p w14:paraId="23352845" w14:textId="77777777" w:rsidR="002C4E1B" w:rsidRDefault="002C4E1B" w:rsidP="00A27EDC">
            <w:pPr>
              <w:widowControl w:val="0"/>
              <w:spacing w:line="276" w:lineRule="auto"/>
              <w:jc w:val="center"/>
              <w:rPr>
                <w:rFonts w:ascii="Arial" w:eastAsia="Arial" w:hAnsi="Arial" w:cs="Arial"/>
                <w:sz w:val="20"/>
                <w:szCs w:val="20"/>
              </w:rPr>
            </w:pPr>
            <w:r>
              <w:rPr>
                <w:sz w:val="22"/>
                <w:szCs w:val="22"/>
              </w:rPr>
              <w:t>Coef</w:t>
            </w:r>
          </w:p>
        </w:tc>
        <w:tc>
          <w:tcPr>
            <w:tcW w:w="675" w:type="pct"/>
            <w:tcBorders>
              <w:top w:val="nil"/>
              <w:left w:val="nil"/>
              <w:bottom w:val="nil"/>
              <w:right w:val="nil"/>
            </w:tcBorders>
            <w:tcMar>
              <w:top w:w="40" w:type="dxa"/>
              <w:left w:w="40" w:type="dxa"/>
              <w:bottom w:w="40" w:type="dxa"/>
              <w:right w:w="40" w:type="dxa"/>
            </w:tcMar>
            <w:vAlign w:val="bottom"/>
          </w:tcPr>
          <w:p w14:paraId="49569DDB" w14:textId="77777777" w:rsidR="002C4E1B" w:rsidRDefault="002C4E1B" w:rsidP="00A27EDC">
            <w:pPr>
              <w:widowControl w:val="0"/>
              <w:spacing w:line="276" w:lineRule="auto"/>
              <w:jc w:val="center"/>
              <w:rPr>
                <w:rFonts w:ascii="Arial" w:eastAsia="Arial" w:hAnsi="Arial" w:cs="Arial"/>
                <w:sz w:val="20"/>
                <w:szCs w:val="20"/>
              </w:rPr>
            </w:pPr>
            <w:r>
              <w:rPr>
                <w:sz w:val="22"/>
                <w:szCs w:val="22"/>
              </w:rPr>
              <w:t>z-Stat</w:t>
            </w:r>
          </w:p>
        </w:tc>
        <w:tc>
          <w:tcPr>
            <w:tcW w:w="675" w:type="pct"/>
            <w:tcBorders>
              <w:top w:val="nil"/>
              <w:left w:val="nil"/>
              <w:bottom w:val="nil"/>
              <w:right w:val="nil"/>
            </w:tcBorders>
            <w:tcMar>
              <w:top w:w="40" w:type="dxa"/>
              <w:left w:w="40" w:type="dxa"/>
              <w:bottom w:w="40" w:type="dxa"/>
              <w:right w:w="40" w:type="dxa"/>
            </w:tcMar>
            <w:vAlign w:val="bottom"/>
          </w:tcPr>
          <w:p w14:paraId="1AF2BCA4" w14:textId="77777777" w:rsidR="002C4E1B" w:rsidRDefault="002C4E1B" w:rsidP="00A27EDC">
            <w:pPr>
              <w:widowControl w:val="0"/>
              <w:spacing w:line="276" w:lineRule="auto"/>
              <w:jc w:val="center"/>
              <w:rPr>
                <w:rFonts w:ascii="Arial" w:eastAsia="Arial" w:hAnsi="Arial" w:cs="Arial"/>
                <w:sz w:val="20"/>
                <w:szCs w:val="20"/>
              </w:rPr>
            </w:pPr>
            <w:r>
              <w:rPr>
                <w:sz w:val="22"/>
                <w:szCs w:val="22"/>
              </w:rPr>
              <w:t>P-value</w:t>
            </w:r>
          </w:p>
        </w:tc>
      </w:tr>
      <w:tr w:rsidR="002C4E1B" w14:paraId="5CB6E7F8" w14:textId="77777777" w:rsidTr="00A27EDC">
        <w:trPr>
          <w:trHeight w:val="315"/>
        </w:trPr>
        <w:tc>
          <w:tcPr>
            <w:tcW w:w="5000" w:type="pct"/>
            <w:gridSpan w:val="7"/>
            <w:tcBorders>
              <w:top w:val="nil"/>
              <w:left w:val="nil"/>
              <w:bottom w:val="nil"/>
              <w:right w:val="nil"/>
            </w:tcBorders>
            <w:tcMar>
              <w:top w:w="40" w:type="dxa"/>
              <w:left w:w="40" w:type="dxa"/>
              <w:bottom w:w="40" w:type="dxa"/>
              <w:right w:w="40" w:type="dxa"/>
            </w:tcMar>
            <w:vAlign w:val="bottom"/>
          </w:tcPr>
          <w:p w14:paraId="25EEFEEF" w14:textId="77777777" w:rsidR="002C4E1B" w:rsidRDefault="002C4E1B" w:rsidP="00A27EDC">
            <w:pPr>
              <w:widowControl w:val="0"/>
              <w:spacing w:line="276" w:lineRule="auto"/>
              <w:rPr>
                <w:rFonts w:ascii="Arial" w:eastAsia="Arial" w:hAnsi="Arial" w:cs="Arial"/>
                <w:sz w:val="20"/>
                <w:szCs w:val="20"/>
              </w:rPr>
            </w:pPr>
            <w:r>
              <w:rPr>
                <w:sz w:val="22"/>
                <w:szCs w:val="22"/>
              </w:rPr>
              <w:t>Mean Equation</w:t>
            </w:r>
          </w:p>
        </w:tc>
      </w:tr>
      <w:tr w:rsidR="002C4E1B" w14:paraId="178FB1B3"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6FEE0A6E" w14:textId="77777777" w:rsidR="002C4E1B" w:rsidRDefault="002C4E1B" w:rsidP="00A27EDC">
            <w:pPr>
              <w:widowControl w:val="0"/>
              <w:spacing w:line="276" w:lineRule="auto"/>
              <w:rPr>
                <w:rFonts w:ascii="Arial" w:eastAsia="Arial" w:hAnsi="Arial" w:cs="Arial"/>
                <w:sz w:val="20"/>
                <w:szCs w:val="20"/>
              </w:rPr>
            </w:pPr>
            <w:r>
              <w:rPr>
                <w:sz w:val="22"/>
                <w:szCs w:val="22"/>
              </w:rPr>
              <w:t>C(1)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A130909"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674E6779" w14:textId="77777777" w:rsidR="002C4E1B" w:rsidRDefault="002C4E1B" w:rsidP="00A27EDC">
            <w:pPr>
              <w:widowControl w:val="0"/>
              <w:spacing w:line="276" w:lineRule="auto"/>
              <w:jc w:val="center"/>
              <w:rPr>
                <w:rFonts w:ascii="Arial" w:eastAsia="Arial" w:hAnsi="Arial" w:cs="Arial"/>
                <w:sz w:val="20"/>
                <w:szCs w:val="20"/>
              </w:rPr>
            </w:pPr>
            <w:r>
              <w:rPr>
                <w:sz w:val="22"/>
                <w:szCs w:val="22"/>
              </w:rPr>
              <w:t>0.81</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45E4788E" w14:textId="77777777" w:rsidR="002C4E1B" w:rsidRDefault="002C4E1B" w:rsidP="00A27EDC">
            <w:pPr>
              <w:widowControl w:val="0"/>
              <w:spacing w:line="276" w:lineRule="auto"/>
              <w:jc w:val="center"/>
              <w:rPr>
                <w:rFonts w:ascii="Arial" w:eastAsia="Arial" w:hAnsi="Arial" w:cs="Arial"/>
                <w:sz w:val="20"/>
                <w:szCs w:val="20"/>
              </w:rPr>
            </w:pPr>
            <w:r>
              <w:rPr>
                <w:sz w:val="22"/>
                <w:szCs w:val="22"/>
              </w:rPr>
              <w:t>0.42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8F1B321"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B71E723" w14:textId="77777777" w:rsidR="002C4E1B" w:rsidRDefault="002C4E1B" w:rsidP="00A27EDC">
            <w:pPr>
              <w:widowControl w:val="0"/>
              <w:spacing w:line="276" w:lineRule="auto"/>
              <w:jc w:val="center"/>
              <w:rPr>
                <w:rFonts w:ascii="Arial" w:eastAsia="Arial" w:hAnsi="Arial" w:cs="Arial"/>
                <w:sz w:val="20"/>
                <w:szCs w:val="20"/>
              </w:rPr>
            </w:pPr>
            <w:r>
              <w:rPr>
                <w:sz w:val="22"/>
                <w:szCs w:val="22"/>
              </w:rPr>
              <w:t>2.46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BBCDDA3" w14:textId="77777777" w:rsidR="002C4E1B" w:rsidRDefault="002C4E1B" w:rsidP="00A27EDC">
            <w:pPr>
              <w:widowControl w:val="0"/>
              <w:spacing w:line="276" w:lineRule="auto"/>
              <w:jc w:val="center"/>
              <w:rPr>
                <w:rFonts w:ascii="Arial" w:eastAsia="Arial" w:hAnsi="Arial" w:cs="Arial"/>
                <w:sz w:val="20"/>
                <w:szCs w:val="20"/>
              </w:rPr>
            </w:pPr>
            <w:r>
              <w:rPr>
                <w:sz w:val="22"/>
                <w:szCs w:val="22"/>
              </w:rPr>
              <w:t>0.01</w:t>
            </w:r>
          </w:p>
        </w:tc>
      </w:tr>
      <w:tr w:rsidR="002C4E1B" w14:paraId="7A1A95A2"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7EA0E0B0" w14:textId="77777777" w:rsidR="002C4E1B" w:rsidRDefault="002C4E1B" w:rsidP="00A27EDC">
            <w:pPr>
              <w:widowControl w:val="0"/>
              <w:spacing w:line="276" w:lineRule="auto"/>
              <w:rPr>
                <w:rFonts w:ascii="Arial" w:eastAsia="Arial" w:hAnsi="Arial" w:cs="Arial"/>
                <w:sz w:val="20"/>
                <w:szCs w:val="20"/>
              </w:rPr>
            </w:pPr>
            <w:r>
              <w:rPr>
                <w:sz w:val="22"/>
                <w:szCs w:val="22"/>
              </w:rPr>
              <w:t>C(2)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CD8B6C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20E8A711" w14:textId="77777777" w:rsidR="002C4E1B" w:rsidRDefault="002C4E1B" w:rsidP="00A27EDC">
            <w:pPr>
              <w:widowControl w:val="0"/>
              <w:spacing w:line="276" w:lineRule="auto"/>
              <w:jc w:val="center"/>
              <w:rPr>
                <w:rFonts w:ascii="Arial" w:eastAsia="Arial" w:hAnsi="Arial" w:cs="Arial"/>
                <w:sz w:val="20"/>
                <w:szCs w:val="20"/>
              </w:rPr>
            </w:pPr>
            <w:r>
              <w:rPr>
                <w:sz w:val="22"/>
                <w:szCs w:val="22"/>
              </w:rPr>
              <w:t>-0.06</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85E08A0" w14:textId="77777777" w:rsidR="002C4E1B" w:rsidRDefault="002C4E1B" w:rsidP="00A27EDC">
            <w:pPr>
              <w:widowControl w:val="0"/>
              <w:spacing w:line="276" w:lineRule="auto"/>
              <w:jc w:val="center"/>
              <w:rPr>
                <w:rFonts w:ascii="Arial" w:eastAsia="Arial" w:hAnsi="Arial" w:cs="Arial"/>
                <w:sz w:val="20"/>
                <w:szCs w:val="20"/>
              </w:rPr>
            </w:pPr>
            <w:r>
              <w:rPr>
                <w:sz w:val="22"/>
                <w:szCs w:val="22"/>
              </w:rPr>
              <w:t>0.95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A7DA69B" w14:textId="77777777" w:rsidR="002C4E1B" w:rsidRDefault="002C4E1B" w:rsidP="00A27EDC">
            <w:pPr>
              <w:widowControl w:val="0"/>
              <w:spacing w:line="276" w:lineRule="auto"/>
              <w:jc w:val="center"/>
              <w:rPr>
                <w:rFonts w:ascii="Arial" w:eastAsia="Arial" w:hAnsi="Arial" w:cs="Arial"/>
                <w:sz w:val="20"/>
                <w:szCs w:val="20"/>
              </w:rPr>
            </w:pPr>
            <w:r>
              <w:rPr>
                <w:sz w:val="22"/>
                <w:szCs w:val="22"/>
              </w:rPr>
              <w:t>-0.01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16D8942" w14:textId="77777777" w:rsidR="002C4E1B" w:rsidRDefault="002C4E1B" w:rsidP="00A27EDC">
            <w:pPr>
              <w:widowControl w:val="0"/>
              <w:spacing w:line="276" w:lineRule="auto"/>
              <w:jc w:val="center"/>
              <w:rPr>
                <w:rFonts w:ascii="Arial" w:eastAsia="Arial" w:hAnsi="Arial" w:cs="Arial"/>
                <w:sz w:val="20"/>
                <w:szCs w:val="20"/>
              </w:rPr>
            </w:pPr>
            <w:r>
              <w:rPr>
                <w:sz w:val="22"/>
                <w:szCs w:val="22"/>
              </w:rPr>
              <w:t>-0.50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23799F9" w14:textId="77777777" w:rsidR="002C4E1B" w:rsidRDefault="002C4E1B" w:rsidP="00A27EDC">
            <w:pPr>
              <w:widowControl w:val="0"/>
              <w:spacing w:line="276" w:lineRule="auto"/>
              <w:jc w:val="center"/>
              <w:rPr>
                <w:rFonts w:ascii="Arial" w:eastAsia="Arial" w:hAnsi="Arial" w:cs="Arial"/>
                <w:sz w:val="20"/>
                <w:szCs w:val="20"/>
              </w:rPr>
            </w:pPr>
            <w:r>
              <w:rPr>
                <w:sz w:val="22"/>
                <w:szCs w:val="22"/>
              </w:rPr>
              <w:t>0.62</w:t>
            </w:r>
          </w:p>
        </w:tc>
      </w:tr>
      <w:tr w:rsidR="002C4E1B" w14:paraId="0C179BF1"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68EB602F" w14:textId="77777777" w:rsidR="002C4E1B" w:rsidRDefault="002C4E1B" w:rsidP="00A27EDC">
            <w:pPr>
              <w:widowControl w:val="0"/>
              <w:spacing w:line="276" w:lineRule="auto"/>
              <w:rPr>
                <w:rFonts w:ascii="Arial" w:eastAsia="Arial" w:hAnsi="Arial" w:cs="Arial"/>
                <w:sz w:val="20"/>
                <w:szCs w:val="20"/>
              </w:rPr>
            </w:pPr>
            <w:r>
              <w:rPr>
                <w:sz w:val="22"/>
                <w:szCs w:val="22"/>
              </w:rPr>
              <w:t>C(3)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8D5E07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3011E717" w14:textId="77777777" w:rsidR="002C4E1B" w:rsidRDefault="002C4E1B" w:rsidP="00A27EDC">
            <w:pPr>
              <w:widowControl w:val="0"/>
              <w:spacing w:line="276" w:lineRule="auto"/>
              <w:jc w:val="center"/>
              <w:rPr>
                <w:rFonts w:ascii="Arial" w:eastAsia="Arial" w:hAnsi="Arial" w:cs="Arial"/>
                <w:sz w:val="20"/>
                <w:szCs w:val="20"/>
              </w:rPr>
            </w:pPr>
            <w:r>
              <w:rPr>
                <w:sz w:val="22"/>
                <w:szCs w:val="22"/>
              </w:rPr>
              <w:t>1.38</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9DB225D" w14:textId="77777777" w:rsidR="002C4E1B" w:rsidRDefault="002C4E1B" w:rsidP="00A27EDC">
            <w:pPr>
              <w:widowControl w:val="0"/>
              <w:spacing w:line="276" w:lineRule="auto"/>
              <w:jc w:val="center"/>
              <w:rPr>
                <w:rFonts w:ascii="Arial" w:eastAsia="Arial" w:hAnsi="Arial" w:cs="Arial"/>
                <w:sz w:val="20"/>
                <w:szCs w:val="20"/>
              </w:rPr>
            </w:pPr>
            <w:r>
              <w:rPr>
                <w:sz w:val="22"/>
                <w:szCs w:val="22"/>
              </w:rPr>
              <w:t>0.17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6C22EC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289CF88" w14:textId="77777777" w:rsidR="002C4E1B" w:rsidRDefault="002C4E1B" w:rsidP="00A27EDC">
            <w:pPr>
              <w:widowControl w:val="0"/>
              <w:spacing w:line="276" w:lineRule="auto"/>
              <w:jc w:val="center"/>
              <w:rPr>
                <w:rFonts w:ascii="Arial" w:eastAsia="Arial" w:hAnsi="Arial" w:cs="Arial"/>
                <w:sz w:val="20"/>
                <w:szCs w:val="20"/>
              </w:rPr>
            </w:pPr>
            <w:r>
              <w:rPr>
                <w:sz w:val="22"/>
                <w:szCs w:val="22"/>
              </w:rPr>
              <w:t>2.45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BEB4734" w14:textId="77777777" w:rsidR="002C4E1B" w:rsidRDefault="002C4E1B" w:rsidP="00A27EDC">
            <w:pPr>
              <w:widowControl w:val="0"/>
              <w:spacing w:line="276" w:lineRule="auto"/>
              <w:jc w:val="center"/>
              <w:rPr>
                <w:rFonts w:ascii="Arial" w:eastAsia="Arial" w:hAnsi="Arial" w:cs="Arial"/>
                <w:sz w:val="20"/>
                <w:szCs w:val="20"/>
              </w:rPr>
            </w:pPr>
            <w:r>
              <w:rPr>
                <w:sz w:val="22"/>
                <w:szCs w:val="22"/>
              </w:rPr>
              <w:t>0.01</w:t>
            </w:r>
          </w:p>
        </w:tc>
      </w:tr>
      <w:tr w:rsidR="002C4E1B" w14:paraId="6C17900F"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00C6354F" w14:textId="77777777" w:rsidR="002C4E1B" w:rsidRDefault="002C4E1B" w:rsidP="00A27EDC">
            <w:pPr>
              <w:widowControl w:val="0"/>
              <w:spacing w:line="276" w:lineRule="auto"/>
              <w:rPr>
                <w:rFonts w:ascii="Arial" w:eastAsia="Arial" w:hAnsi="Arial" w:cs="Arial"/>
                <w:sz w:val="20"/>
                <w:szCs w:val="20"/>
              </w:rPr>
            </w:pPr>
            <w:r>
              <w:rPr>
                <w:sz w:val="22"/>
                <w:szCs w:val="22"/>
              </w:rPr>
              <w:t>C(4)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EF7D97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55F5653" w14:textId="77777777" w:rsidR="002C4E1B" w:rsidRDefault="002C4E1B" w:rsidP="00A27EDC">
            <w:pPr>
              <w:widowControl w:val="0"/>
              <w:spacing w:line="276" w:lineRule="auto"/>
              <w:jc w:val="center"/>
              <w:rPr>
                <w:rFonts w:ascii="Arial" w:eastAsia="Arial" w:hAnsi="Arial" w:cs="Arial"/>
                <w:sz w:val="20"/>
                <w:szCs w:val="20"/>
              </w:rPr>
            </w:pPr>
            <w:r>
              <w:rPr>
                <w:sz w:val="22"/>
                <w:szCs w:val="22"/>
              </w:rPr>
              <w:t>-1.91</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057F58C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17DFE6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996422F" w14:textId="77777777" w:rsidR="002C4E1B" w:rsidRDefault="002C4E1B" w:rsidP="00A27EDC">
            <w:pPr>
              <w:widowControl w:val="0"/>
              <w:spacing w:line="276" w:lineRule="auto"/>
              <w:jc w:val="center"/>
              <w:rPr>
                <w:rFonts w:ascii="Arial" w:eastAsia="Arial" w:hAnsi="Arial" w:cs="Arial"/>
                <w:sz w:val="20"/>
                <w:szCs w:val="20"/>
              </w:rPr>
            </w:pPr>
            <w:r>
              <w:rPr>
                <w:sz w:val="22"/>
                <w:szCs w:val="22"/>
              </w:rPr>
              <w:t>-1.38</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475F3D1" w14:textId="77777777" w:rsidR="002C4E1B" w:rsidRDefault="002C4E1B" w:rsidP="00A27EDC">
            <w:pPr>
              <w:widowControl w:val="0"/>
              <w:spacing w:line="276" w:lineRule="auto"/>
              <w:jc w:val="center"/>
              <w:rPr>
                <w:rFonts w:ascii="Arial" w:eastAsia="Arial" w:hAnsi="Arial" w:cs="Arial"/>
                <w:sz w:val="20"/>
                <w:szCs w:val="20"/>
              </w:rPr>
            </w:pPr>
            <w:r>
              <w:rPr>
                <w:sz w:val="22"/>
                <w:szCs w:val="22"/>
              </w:rPr>
              <w:t>0.17</w:t>
            </w:r>
          </w:p>
        </w:tc>
      </w:tr>
      <w:tr w:rsidR="002C4E1B" w14:paraId="0C6D20BD"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5EFE8875" w14:textId="77777777" w:rsidR="002C4E1B" w:rsidRDefault="002C4E1B" w:rsidP="00A27EDC">
            <w:pPr>
              <w:widowControl w:val="0"/>
              <w:spacing w:line="276" w:lineRule="auto"/>
              <w:rPr>
                <w:rFonts w:ascii="Arial" w:eastAsia="Arial" w:hAnsi="Arial" w:cs="Arial"/>
                <w:sz w:val="20"/>
                <w:szCs w:val="20"/>
              </w:rPr>
            </w:pPr>
            <w:r>
              <w:rPr>
                <w:sz w:val="22"/>
                <w:szCs w:val="22"/>
              </w:rPr>
              <w:t>C(5)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5C5D7D4"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71F5CC5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-0.04</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7DADD849" w14:textId="77777777" w:rsidR="002C4E1B" w:rsidRDefault="002C4E1B" w:rsidP="00A27EDC">
            <w:pPr>
              <w:widowControl w:val="0"/>
              <w:spacing w:line="276" w:lineRule="auto"/>
              <w:jc w:val="center"/>
              <w:rPr>
                <w:rFonts w:ascii="Arial" w:eastAsia="Arial" w:hAnsi="Arial" w:cs="Arial"/>
                <w:sz w:val="20"/>
                <w:szCs w:val="20"/>
              </w:rPr>
            </w:pPr>
            <w:r>
              <w:rPr>
                <w:sz w:val="22"/>
                <w:szCs w:val="22"/>
              </w:rPr>
              <w:t>0.97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14F53E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B5236E8" w14:textId="77777777" w:rsidR="002C4E1B" w:rsidRDefault="002C4E1B" w:rsidP="00A27EDC">
            <w:pPr>
              <w:widowControl w:val="0"/>
              <w:spacing w:line="276" w:lineRule="auto"/>
              <w:jc w:val="center"/>
              <w:rPr>
                <w:rFonts w:ascii="Arial" w:eastAsia="Arial" w:hAnsi="Arial" w:cs="Arial"/>
                <w:sz w:val="20"/>
                <w:szCs w:val="20"/>
              </w:rPr>
            </w:pPr>
            <w:r>
              <w:rPr>
                <w:sz w:val="22"/>
                <w:szCs w:val="22"/>
              </w:rPr>
              <w:t>1.60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C113D66" w14:textId="77777777" w:rsidR="002C4E1B" w:rsidRDefault="002C4E1B" w:rsidP="00A27EDC">
            <w:pPr>
              <w:widowControl w:val="0"/>
              <w:spacing w:line="276" w:lineRule="auto"/>
              <w:jc w:val="center"/>
              <w:rPr>
                <w:rFonts w:ascii="Arial" w:eastAsia="Arial" w:hAnsi="Arial" w:cs="Arial"/>
                <w:sz w:val="20"/>
                <w:szCs w:val="20"/>
              </w:rPr>
            </w:pPr>
            <w:r>
              <w:rPr>
                <w:sz w:val="22"/>
                <w:szCs w:val="22"/>
              </w:rPr>
              <w:t>0.11</w:t>
            </w:r>
          </w:p>
        </w:tc>
      </w:tr>
      <w:tr w:rsidR="002C4E1B" w14:paraId="436B8BC4"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518DAC5B" w14:textId="77777777" w:rsidR="002C4E1B" w:rsidRDefault="002C4E1B" w:rsidP="00A27EDC">
            <w:pPr>
              <w:widowControl w:val="0"/>
              <w:spacing w:line="276" w:lineRule="auto"/>
              <w:rPr>
                <w:rFonts w:ascii="Arial" w:eastAsia="Arial" w:hAnsi="Arial" w:cs="Arial"/>
                <w:sz w:val="20"/>
                <w:szCs w:val="20"/>
              </w:rPr>
            </w:pPr>
            <w:r>
              <w:rPr>
                <w:sz w:val="22"/>
                <w:szCs w:val="22"/>
              </w:rPr>
              <w:t>C(6)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319F3A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0.04</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55A52A47" w14:textId="77777777" w:rsidR="002C4E1B" w:rsidRDefault="002C4E1B" w:rsidP="00A27EDC">
            <w:pPr>
              <w:widowControl w:val="0"/>
              <w:spacing w:line="276" w:lineRule="auto"/>
              <w:jc w:val="center"/>
              <w:rPr>
                <w:rFonts w:ascii="Arial" w:eastAsia="Arial" w:hAnsi="Arial" w:cs="Arial"/>
                <w:sz w:val="20"/>
                <w:szCs w:val="20"/>
              </w:rPr>
            </w:pPr>
            <w:r>
              <w:rPr>
                <w:sz w:val="22"/>
                <w:szCs w:val="22"/>
              </w:rPr>
              <w:t>3.27</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C53D31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6D6D9E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B7228A5" w14:textId="77777777" w:rsidR="002C4E1B" w:rsidRDefault="002C4E1B" w:rsidP="00A27EDC">
            <w:pPr>
              <w:widowControl w:val="0"/>
              <w:spacing w:line="276" w:lineRule="auto"/>
              <w:jc w:val="center"/>
              <w:rPr>
                <w:rFonts w:ascii="Arial" w:eastAsia="Arial" w:hAnsi="Arial" w:cs="Arial"/>
                <w:sz w:val="20"/>
                <w:szCs w:val="20"/>
              </w:rPr>
            </w:pPr>
            <w:r>
              <w:rPr>
                <w:sz w:val="22"/>
                <w:szCs w:val="22"/>
              </w:rPr>
              <w:t>2.45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58DFE8F" w14:textId="77777777" w:rsidR="002C4E1B" w:rsidRDefault="002C4E1B" w:rsidP="00A27EDC">
            <w:pPr>
              <w:widowControl w:val="0"/>
              <w:spacing w:line="276" w:lineRule="auto"/>
              <w:jc w:val="center"/>
              <w:rPr>
                <w:rFonts w:ascii="Arial" w:eastAsia="Arial" w:hAnsi="Arial" w:cs="Arial"/>
                <w:sz w:val="20"/>
                <w:szCs w:val="20"/>
              </w:rPr>
            </w:pPr>
            <w:r>
              <w:rPr>
                <w:sz w:val="22"/>
                <w:szCs w:val="22"/>
              </w:rPr>
              <w:t>0.01</w:t>
            </w:r>
          </w:p>
        </w:tc>
      </w:tr>
      <w:tr w:rsidR="002C4E1B" w14:paraId="473DD76D" w14:textId="77777777" w:rsidTr="00A27EDC">
        <w:trPr>
          <w:trHeight w:val="315"/>
        </w:trPr>
        <w:tc>
          <w:tcPr>
            <w:tcW w:w="5000" w:type="pct"/>
            <w:gridSpan w:val="7"/>
            <w:tcBorders>
              <w:top w:val="nil"/>
              <w:left w:val="nil"/>
              <w:bottom w:val="nil"/>
              <w:right w:val="nil"/>
            </w:tcBorders>
            <w:shd w:val="clear" w:color="auto" w:fill="auto"/>
            <w:tcMar>
              <w:top w:w="40" w:type="dxa"/>
              <w:left w:w="40" w:type="dxa"/>
              <w:bottom w:w="40" w:type="dxa"/>
              <w:right w:w="40" w:type="dxa"/>
            </w:tcMar>
            <w:vAlign w:val="bottom"/>
          </w:tcPr>
          <w:p w14:paraId="0FDDB38D" w14:textId="77777777" w:rsidR="002C4E1B" w:rsidRDefault="002C4E1B" w:rsidP="00A27EDC">
            <w:pPr>
              <w:widowControl w:val="0"/>
              <w:spacing w:line="276" w:lineRule="auto"/>
              <w:rPr>
                <w:rFonts w:ascii="Arial" w:eastAsia="Arial" w:hAnsi="Arial" w:cs="Arial"/>
                <w:sz w:val="20"/>
                <w:szCs w:val="20"/>
              </w:rPr>
            </w:pPr>
            <w:r>
              <w:rPr>
                <w:sz w:val="22"/>
                <w:szCs w:val="22"/>
              </w:rPr>
              <w:t>Variance Equation</w:t>
            </w:r>
          </w:p>
        </w:tc>
      </w:tr>
      <w:tr w:rsidR="002C4E1B" w14:paraId="0EDCCD87"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2A7E5B13" w14:textId="77777777" w:rsidR="002C4E1B" w:rsidRDefault="002C4E1B" w:rsidP="00A27EDC">
            <w:pPr>
              <w:widowControl w:val="0"/>
              <w:spacing w:line="276" w:lineRule="auto"/>
              <w:rPr>
                <w:rFonts w:ascii="Arial" w:eastAsia="Arial" w:hAnsi="Arial" w:cs="Arial"/>
                <w:sz w:val="20"/>
                <w:szCs w:val="20"/>
              </w:rPr>
            </w:pPr>
            <w:r>
              <w:rPr>
                <w:sz w:val="22"/>
                <w:szCs w:val="22"/>
              </w:rPr>
              <w:t>M(1,1)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C789FA6"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4A91828A" w14:textId="77777777" w:rsidR="002C4E1B" w:rsidRDefault="002C4E1B" w:rsidP="00A27EDC">
            <w:pPr>
              <w:widowControl w:val="0"/>
              <w:spacing w:line="276" w:lineRule="auto"/>
              <w:jc w:val="center"/>
              <w:rPr>
                <w:rFonts w:ascii="Arial" w:eastAsia="Arial" w:hAnsi="Arial" w:cs="Arial"/>
                <w:sz w:val="20"/>
                <w:szCs w:val="20"/>
              </w:rPr>
            </w:pPr>
            <w:r>
              <w:rPr>
                <w:sz w:val="22"/>
                <w:szCs w:val="22"/>
              </w:rPr>
              <w:t>8.61</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4B49BCC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6DCE80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3BF23EC" w14:textId="77777777" w:rsidR="002C4E1B" w:rsidRDefault="002C4E1B" w:rsidP="00A27EDC">
            <w:pPr>
              <w:widowControl w:val="0"/>
              <w:spacing w:line="276" w:lineRule="auto"/>
              <w:jc w:val="center"/>
              <w:rPr>
                <w:rFonts w:ascii="Arial" w:eastAsia="Arial" w:hAnsi="Arial" w:cs="Arial"/>
                <w:sz w:val="20"/>
                <w:szCs w:val="20"/>
              </w:rPr>
            </w:pPr>
            <w:r>
              <w:rPr>
                <w:sz w:val="22"/>
                <w:szCs w:val="22"/>
              </w:rPr>
              <w:t>7.30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6D1EF7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1A12D7BC"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7C55BFB" w14:textId="77777777" w:rsidR="002C4E1B" w:rsidRDefault="002C4E1B" w:rsidP="00A27EDC">
            <w:pPr>
              <w:widowControl w:val="0"/>
              <w:spacing w:line="276" w:lineRule="auto"/>
              <w:rPr>
                <w:rFonts w:ascii="Arial" w:eastAsia="Arial" w:hAnsi="Arial" w:cs="Arial"/>
                <w:sz w:val="20"/>
                <w:szCs w:val="20"/>
              </w:rPr>
            </w:pPr>
            <w:r>
              <w:rPr>
                <w:sz w:val="22"/>
                <w:szCs w:val="22"/>
              </w:rPr>
              <w:t>M(1,2)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9667EE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6C1F5223" w14:textId="77777777" w:rsidR="002C4E1B" w:rsidRDefault="002C4E1B" w:rsidP="00A27EDC">
            <w:pPr>
              <w:widowControl w:val="0"/>
              <w:spacing w:line="276" w:lineRule="auto"/>
              <w:jc w:val="center"/>
              <w:rPr>
                <w:rFonts w:ascii="Arial" w:eastAsia="Arial" w:hAnsi="Arial" w:cs="Arial"/>
                <w:sz w:val="20"/>
                <w:szCs w:val="20"/>
              </w:rPr>
            </w:pPr>
            <w:r>
              <w:rPr>
                <w:sz w:val="22"/>
                <w:szCs w:val="22"/>
              </w:rPr>
              <w:t>3.47</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089EEA0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385A666"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94D814E" w14:textId="77777777" w:rsidR="002C4E1B" w:rsidRDefault="002C4E1B" w:rsidP="00A27EDC">
            <w:pPr>
              <w:widowControl w:val="0"/>
              <w:spacing w:line="276" w:lineRule="auto"/>
              <w:jc w:val="center"/>
              <w:rPr>
                <w:rFonts w:ascii="Arial" w:eastAsia="Arial" w:hAnsi="Arial" w:cs="Arial"/>
                <w:sz w:val="20"/>
                <w:szCs w:val="20"/>
              </w:rPr>
            </w:pPr>
            <w:r>
              <w:rPr>
                <w:sz w:val="22"/>
                <w:szCs w:val="22"/>
              </w:rPr>
              <w:t>2.78</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D66568B" w14:textId="77777777" w:rsidR="002C4E1B" w:rsidRDefault="002C4E1B" w:rsidP="00A27EDC">
            <w:pPr>
              <w:widowControl w:val="0"/>
              <w:spacing w:line="276" w:lineRule="auto"/>
              <w:jc w:val="center"/>
              <w:rPr>
                <w:rFonts w:ascii="Arial" w:eastAsia="Arial" w:hAnsi="Arial" w:cs="Arial"/>
                <w:sz w:val="20"/>
                <w:szCs w:val="20"/>
              </w:rPr>
            </w:pPr>
            <w:r>
              <w:rPr>
                <w:sz w:val="22"/>
                <w:szCs w:val="22"/>
              </w:rPr>
              <w:t>0.01</w:t>
            </w:r>
          </w:p>
        </w:tc>
      </w:tr>
      <w:tr w:rsidR="002C4E1B" w14:paraId="33751C1C"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5FEAF47A" w14:textId="77777777" w:rsidR="002C4E1B" w:rsidRDefault="002C4E1B" w:rsidP="00A27EDC">
            <w:pPr>
              <w:widowControl w:val="0"/>
              <w:spacing w:line="276" w:lineRule="auto"/>
              <w:rPr>
                <w:rFonts w:ascii="Arial" w:eastAsia="Arial" w:hAnsi="Arial" w:cs="Arial"/>
                <w:sz w:val="20"/>
                <w:szCs w:val="20"/>
              </w:rPr>
            </w:pPr>
            <w:r>
              <w:rPr>
                <w:sz w:val="22"/>
                <w:szCs w:val="22"/>
              </w:rPr>
              <w:t>M(1,3)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3B1DA7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6916E184" w14:textId="77777777" w:rsidR="002C4E1B" w:rsidRDefault="002C4E1B" w:rsidP="00A27EDC">
            <w:pPr>
              <w:widowControl w:val="0"/>
              <w:spacing w:line="276" w:lineRule="auto"/>
              <w:jc w:val="center"/>
              <w:rPr>
                <w:rFonts w:ascii="Arial" w:eastAsia="Arial" w:hAnsi="Arial" w:cs="Arial"/>
                <w:sz w:val="20"/>
                <w:szCs w:val="20"/>
              </w:rPr>
            </w:pPr>
            <w:r>
              <w:rPr>
                <w:sz w:val="22"/>
                <w:szCs w:val="22"/>
              </w:rPr>
              <w:t>4.28</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2DD68070"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90A095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115922B" w14:textId="77777777" w:rsidR="002C4E1B" w:rsidRDefault="002C4E1B" w:rsidP="00A27EDC">
            <w:pPr>
              <w:widowControl w:val="0"/>
              <w:spacing w:line="276" w:lineRule="auto"/>
              <w:jc w:val="center"/>
              <w:rPr>
                <w:rFonts w:ascii="Arial" w:eastAsia="Arial" w:hAnsi="Arial" w:cs="Arial"/>
                <w:sz w:val="20"/>
                <w:szCs w:val="20"/>
              </w:rPr>
            </w:pPr>
            <w:r>
              <w:rPr>
                <w:sz w:val="22"/>
                <w:szCs w:val="22"/>
              </w:rPr>
              <w:t>3.93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395589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2568AB43"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2EC423EE" w14:textId="77777777" w:rsidR="002C4E1B" w:rsidRDefault="002C4E1B" w:rsidP="00A27EDC">
            <w:pPr>
              <w:widowControl w:val="0"/>
              <w:spacing w:line="276" w:lineRule="auto"/>
              <w:rPr>
                <w:rFonts w:ascii="Arial" w:eastAsia="Arial" w:hAnsi="Arial" w:cs="Arial"/>
                <w:sz w:val="20"/>
                <w:szCs w:val="20"/>
              </w:rPr>
            </w:pPr>
            <w:r>
              <w:rPr>
                <w:sz w:val="22"/>
                <w:szCs w:val="22"/>
              </w:rPr>
              <w:t>M(2,2)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5A33F6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52C4E388" w14:textId="77777777" w:rsidR="002C4E1B" w:rsidRDefault="002C4E1B" w:rsidP="00A27EDC">
            <w:pPr>
              <w:widowControl w:val="0"/>
              <w:spacing w:line="276" w:lineRule="auto"/>
              <w:jc w:val="center"/>
              <w:rPr>
                <w:rFonts w:ascii="Arial" w:eastAsia="Arial" w:hAnsi="Arial" w:cs="Arial"/>
                <w:sz w:val="20"/>
                <w:szCs w:val="20"/>
              </w:rPr>
            </w:pPr>
            <w:r>
              <w:rPr>
                <w:sz w:val="22"/>
                <w:szCs w:val="22"/>
              </w:rPr>
              <w:t>8.52</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6659B551"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A8DC742"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C21F8DB" w14:textId="77777777" w:rsidR="002C4E1B" w:rsidRDefault="002C4E1B" w:rsidP="00A27EDC">
            <w:pPr>
              <w:widowControl w:val="0"/>
              <w:spacing w:line="276" w:lineRule="auto"/>
              <w:jc w:val="center"/>
              <w:rPr>
                <w:rFonts w:ascii="Arial" w:eastAsia="Arial" w:hAnsi="Arial" w:cs="Arial"/>
                <w:sz w:val="20"/>
                <w:szCs w:val="20"/>
              </w:rPr>
            </w:pPr>
            <w:r>
              <w:rPr>
                <w:sz w:val="22"/>
                <w:szCs w:val="22"/>
              </w:rPr>
              <w:t>6.44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E54C72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589CA724"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3B7EF47E" w14:textId="77777777" w:rsidR="002C4E1B" w:rsidRDefault="002C4E1B" w:rsidP="00A27EDC">
            <w:pPr>
              <w:widowControl w:val="0"/>
              <w:spacing w:line="276" w:lineRule="auto"/>
              <w:rPr>
                <w:rFonts w:ascii="Arial" w:eastAsia="Arial" w:hAnsi="Arial" w:cs="Arial"/>
                <w:sz w:val="20"/>
                <w:szCs w:val="20"/>
              </w:rPr>
            </w:pPr>
            <w:r>
              <w:rPr>
                <w:sz w:val="22"/>
                <w:szCs w:val="22"/>
              </w:rPr>
              <w:t>M(2,3)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07666B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294FEF6C" w14:textId="77777777" w:rsidR="002C4E1B" w:rsidRDefault="002C4E1B" w:rsidP="00A27EDC">
            <w:pPr>
              <w:widowControl w:val="0"/>
              <w:spacing w:line="276" w:lineRule="auto"/>
              <w:jc w:val="center"/>
              <w:rPr>
                <w:rFonts w:ascii="Arial" w:eastAsia="Arial" w:hAnsi="Arial" w:cs="Arial"/>
                <w:sz w:val="20"/>
                <w:szCs w:val="20"/>
              </w:rPr>
            </w:pPr>
            <w:r>
              <w:rPr>
                <w:sz w:val="22"/>
                <w:szCs w:val="22"/>
              </w:rPr>
              <w:t>3.46</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7AA0D3C1"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6E884EF"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1407501" w14:textId="77777777" w:rsidR="002C4E1B" w:rsidRDefault="002C4E1B" w:rsidP="00A27EDC">
            <w:pPr>
              <w:widowControl w:val="0"/>
              <w:spacing w:line="276" w:lineRule="auto"/>
              <w:jc w:val="center"/>
              <w:rPr>
                <w:rFonts w:ascii="Arial" w:eastAsia="Arial" w:hAnsi="Arial" w:cs="Arial"/>
                <w:sz w:val="20"/>
                <w:szCs w:val="20"/>
              </w:rPr>
            </w:pPr>
            <w:r>
              <w:rPr>
                <w:sz w:val="22"/>
                <w:szCs w:val="22"/>
              </w:rPr>
              <w:t>3.45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0D57956"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7D255808"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0CC4F430" w14:textId="77777777" w:rsidR="002C4E1B" w:rsidRDefault="002C4E1B" w:rsidP="00A27EDC">
            <w:pPr>
              <w:widowControl w:val="0"/>
              <w:spacing w:line="276" w:lineRule="auto"/>
              <w:rPr>
                <w:rFonts w:ascii="Arial" w:eastAsia="Arial" w:hAnsi="Arial" w:cs="Arial"/>
                <w:sz w:val="20"/>
                <w:szCs w:val="20"/>
              </w:rPr>
            </w:pPr>
            <w:r>
              <w:rPr>
                <w:sz w:val="22"/>
                <w:szCs w:val="22"/>
              </w:rPr>
              <w:t>M(3,3)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AD87C52"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5E266068" w14:textId="77777777" w:rsidR="002C4E1B" w:rsidRDefault="002C4E1B" w:rsidP="00A27EDC">
            <w:pPr>
              <w:widowControl w:val="0"/>
              <w:spacing w:line="276" w:lineRule="auto"/>
              <w:jc w:val="center"/>
              <w:rPr>
                <w:rFonts w:ascii="Arial" w:eastAsia="Arial" w:hAnsi="Arial" w:cs="Arial"/>
                <w:sz w:val="20"/>
                <w:szCs w:val="20"/>
              </w:rPr>
            </w:pPr>
            <w:r>
              <w:rPr>
                <w:sz w:val="22"/>
                <w:szCs w:val="22"/>
              </w:rPr>
              <w:t>7.55</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014D511F"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E2DD5D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F71B988" w14:textId="77777777" w:rsidR="002C4E1B" w:rsidRDefault="002C4E1B" w:rsidP="00A27EDC">
            <w:pPr>
              <w:widowControl w:val="0"/>
              <w:spacing w:line="276" w:lineRule="auto"/>
              <w:jc w:val="center"/>
              <w:rPr>
                <w:rFonts w:ascii="Arial" w:eastAsia="Arial" w:hAnsi="Arial" w:cs="Arial"/>
                <w:sz w:val="20"/>
                <w:szCs w:val="20"/>
              </w:rPr>
            </w:pPr>
            <w:r>
              <w:rPr>
                <w:sz w:val="22"/>
                <w:szCs w:val="22"/>
              </w:rPr>
              <w:t>4.91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8E75144"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4E50DF07"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CAF278D" w14:textId="77777777" w:rsidR="002C4E1B" w:rsidRDefault="002C4E1B" w:rsidP="00A27EDC">
            <w:pPr>
              <w:widowControl w:val="0"/>
              <w:spacing w:line="276" w:lineRule="auto"/>
              <w:rPr>
                <w:rFonts w:ascii="Arial" w:eastAsia="Arial" w:hAnsi="Arial" w:cs="Arial"/>
                <w:sz w:val="20"/>
                <w:szCs w:val="20"/>
              </w:rPr>
            </w:pPr>
            <w:r>
              <w:rPr>
                <w:sz w:val="22"/>
                <w:szCs w:val="22"/>
              </w:rPr>
              <w:t>A1(1,1)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68D1907" w14:textId="77777777" w:rsidR="002C4E1B" w:rsidRDefault="002C4E1B" w:rsidP="00A27EDC">
            <w:pPr>
              <w:widowControl w:val="0"/>
              <w:spacing w:line="276" w:lineRule="auto"/>
              <w:jc w:val="center"/>
              <w:rPr>
                <w:rFonts w:ascii="Arial" w:eastAsia="Arial" w:hAnsi="Arial" w:cs="Arial"/>
                <w:sz w:val="20"/>
                <w:szCs w:val="20"/>
              </w:rPr>
            </w:pPr>
            <w:r>
              <w:rPr>
                <w:sz w:val="22"/>
                <w:szCs w:val="22"/>
              </w:rPr>
              <w:t>0.16</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6E05DBFC" w14:textId="77777777" w:rsidR="002C4E1B" w:rsidRDefault="002C4E1B" w:rsidP="00A27EDC">
            <w:pPr>
              <w:widowControl w:val="0"/>
              <w:spacing w:line="276" w:lineRule="auto"/>
              <w:jc w:val="center"/>
              <w:rPr>
                <w:rFonts w:ascii="Arial" w:eastAsia="Arial" w:hAnsi="Arial" w:cs="Arial"/>
                <w:sz w:val="20"/>
                <w:szCs w:val="20"/>
              </w:rPr>
            </w:pPr>
            <w:r>
              <w:rPr>
                <w:sz w:val="22"/>
                <w:szCs w:val="22"/>
              </w:rPr>
              <w:t>67.16</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71D5467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DFCF6B5" w14:textId="77777777" w:rsidR="002C4E1B" w:rsidRDefault="002C4E1B" w:rsidP="00A27EDC">
            <w:pPr>
              <w:widowControl w:val="0"/>
              <w:spacing w:line="276" w:lineRule="auto"/>
              <w:jc w:val="center"/>
              <w:rPr>
                <w:rFonts w:ascii="Arial" w:eastAsia="Arial" w:hAnsi="Arial" w:cs="Arial"/>
                <w:sz w:val="20"/>
                <w:szCs w:val="20"/>
              </w:rPr>
            </w:pPr>
            <w:r>
              <w:rPr>
                <w:sz w:val="22"/>
                <w:szCs w:val="22"/>
              </w:rPr>
              <w:t>0.17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C914F81" w14:textId="77777777" w:rsidR="002C4E1B" w:rsidRDefault="002C4E1B" w:rsidP="00A27EDC">
            <w:pPr>
              <w:widowControl w:val="0"/>
              <w:spacing w:line="276" w:lineRule="auto"/>
              <w:jc w:val="center"/>
              <w:rPr>
                <w:rFonts w:ascii="Arial" w:eastAsia="Arial" w:hAnsi="Arial" w:cs="Arial"/>
                <w:sz w:val="20"/>
                <w:szCs w:val="20"/>
              </w:rPr>
            </w:pPr>
            <w:r>
              <w:rPr>
                <w:sz w:val="22"/>
                <w:szCs w:val="22"/>
              </w:rPr>
              <w:t>25.41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DA3C1D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1AFBF385"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0F88DBAC" w14:textId="77777777" w:rsidR="002C4E1B" w:rsidRDefault="002C4E1B" w:rsidP="00A27EDC">
            <w:pPr>
              <w:widowControl w:val="0"/>
              <w:spacing w:line="276" w:lineRule="auto"/>
              <w:rPr>
                <w:rFonts w:ascii="Arial" w:eastAsia="Arial" w:hAnsi="Arial" w:cs="Arial"/>
                <w:sz w:val="20"/>
                <w:szCs w:val="20"/>
              </w:rPr>
            </w:pPr>
            <w:r>
              <w:rPr>
                <w:sz w:val="22"/>
                <w:szCs w:val="22"/>
              </w:rPr>
              <w:t>A1(2,2)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0601DF1" w14:textId="77777777" w:rsidR="002C4E1B" w:rsidRDefault="002C4E1B" w:rsidP="00A27EDC">
            <w:pPr>
              <w:widowControl w:val="0"/>
              <w:spacing w:line="276" w:lineRule="auto"/>
              <w:jc w:val="center"/>
              <w:rPr>
                <w:rFonts w:ascii="Arial" w:eastAsia="Arial" w:hAnsi="Arial" w:cs="Arial"/>
                <w:sz w:val="20"/>
                <w:szCs w:val="20"/>
              </w:rPr>
            </w:pPr>
            <w:r>
              <w:rPr>
                <w:sz w:val="22"/>
                <w:szCs w:val="22"/>
              </w:rPr>
              <w:t>0.25</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526972D4" w14:textId="77777777" w:rsidR="002C4E1B" w:rsidRDefault="002C4E1B" w:rsidP="00A27EDC">
            <w:pPr>
              <w:widowControl w:val="0"/>
              <w:spacing w:line="276" w:lineRule="auto"/>
              <w:jc w:val="center"/>
              <w:rPr>
                <w:rFonts w:ascii="Arial" w:eastAsia="Arial" w:hAnsi="Arial" w:cs="Arial"/>
                <w:sz w:val="20"/>
                <w:szCs w:val="20"/>
              </w:rPr>
            </w:pPr>
            <w:r>
              <w:rPr>
                <w:sz w:val="22"/>
                <w:szCs w:val="22"/>
              </w:rPr>
              <w:t>45.60</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2670569"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547512E" w14:textId="77777777" w:rsidR="002C4E1B" w:rsidRDefault="002C4E1B" w:rsidP="00A27EDC">
            <w:pPr>
              <w:widowControl w:val="0"/>
              <w:spacing w:line="276" w:lineRule="auto"/>
              <w:jc w:val="center"/>
              <w:rPr>
                <w:rFonts w:ascii="Arial" w:eastAsia="Arial" w:hAnsi="Arial" w:cs="Arial"/>
                <w:sz w:val="20"/>
                <w:szCs w:val="20"/>
              </w:rPr>
            </w:pPr>
            <w:r>
              <w:rPr>
                <w:sz w:val="22"/>
                <w:szCs w:val="22"/>
              </w:rPr>
              <w:t>0.25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C0228DB" w14:textId="77777777" w:rsidR="002C4E1B" w:rsidRDefault="002C4E1B" w:rsidP="00A27EDC">
            <w:pPr>
              <w:widowControl w:val="0"/>
              <w:spacing w:line="276" w:lineRule="auto"/>
              <w:jc w:val="center"/>
              <w:rPr>
                <w:rFonts w:ascii="Arial" w:eastAsia="Arial" w:hAnsi="Arial" w:cs="Arial"/>
                <w:sz w:val="20"/>
                <w:szCs w:val="20"/>
              </w:rPr>
            </w:pPr>
            <w:r>
              <w:rPr>
                <w:sz w:val="22"/>
                <w:szCs w:val="22"/>
              </w:rPr>
              <w:t>24.67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9E6168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7C5D7A72"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EB9F60E" w14:textId="77777777" w:rsidR="002C4E1B" w:rsidRDefault="002C4E1B" w:rsidP="00A27EDC">
            <w:pPr>
              <w:widowControl w:val="0"/>
              <w:spacing w:line="276" w:lineRule="auto"/>
              <w:rPr>
                <w:rFonts w:ascii="Arial" w:eastAsia="Arial" w:hAnsi="Arial" w:cs="Arial"/>
                <w:sz w:val="20"/>
                <w:szCs w:val="20"/>
              </w:rPr>
            </w:pPr>
            <w:r>
              <w:rPr>
                <w:sz w:val="22"/>
                <w:szCs w:val="22"/>
              </w:rPr>
              <w:t>A1(3,3)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F214E87" w14:textId="77777777" w:rsidR="002C4E1B" w:rsidRDefault="002C4E1B" w:rsidP="00A27EDC">
            <w:pPr>
              <w:widowControl w:val="0"/>
              <w:spacing w:line="276" w:lineRule="auto"/>
              <w:jc w:val="center"/>
              <w:rPr>
                <w:rFonts w:ascii="Arial" w:eastAsia="Arial" w:hAnsi="Arial" w:cs="Arial"/>
                <w:sz w:val="20"/>
                <w:szCs w:val="20"/>
              </w:rPr>
            </w:pPr>
            <w:r>
              <w:rPr>
                <w:sz w:val="22"/>
                <w:szCs w:val="22"/>
              </w:rPr>
              <w:t>0.16</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4BCE69E8" w14:textId="77777777" w:rsidR="002C4E1B" w:rsidRDefault="002C4E1B" w:rsidP="00A27EDC">
            <w:pPr>
              <w:widowControl w:val="0"/>
              <w:spacing w:line="276" w:lineRule="auto"/>
              <w:jc w:val="center"/>
              <w:rPr>
                <w:rFonts w:ascii="Arial" w:eastAsia="Arial" w:hAnsi="Arial" w:cs="Arial"/>
                <w:sz w:val="20"/>
                <w:szCs w:val="20"/>
              </w:rPr>
            </w:pPr>
            <w:r>
              <w:rPr>
                <w:sz w:val="22"/>
                <w:szCs w:val="22"/>
              </w:rPr>
              <w:t>22.67</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48C1D374"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ED9F1BD" w14:textId="77777777" w:rsidR="002C4E1B" w:rsidRDefault="002C4E1B" w:rsidP="00A27EDC">
            <w:pPr>
              <w:widowControl w:val="0"/>
              <w:spacing w:line="276" w:lineRule="auto"/>
              <w:jc w:val="center"/>
              <w:rPr>
                <w:rFonts w:ascii="Arial" w:eastAsia="Arial" w:hAnsi="Arial" w:cs="Arial"/>
                <w:sz w:val="20"/>
                <w:szCs w:val="20"/>
              </w:rPr>
            </w:pPr>
            <w:r>
              <w:rPr>
                <w:sz w:val="22"/>
                <w:szCs w:val="22"/>
              </w:rPr>
              <w:t>0.15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A1BCF62" w14:textId="77777777" w:rsidR="002C4E1B" w:rsidRDefault="002C4E1B" w:rsidP="00A27EDC">
            <w:pPr>
              <w:widowControl w:val="0"/>
              <w:spacing w:line="276" w:lineRule="auto"/>
              <w:jc w:val="center"/>
              <w:rPr>
                <w:rFonts w:ascii="Arial" w:eastAsia="Arial" w:hAnsi="Arial" w:cs="Arial"/>
                <w:sz w:val="20"/>
                <w:szCs w:val="20"/>
              </w:rPr>
            </w:pPr>
            <w:r>
              <w:rPr>
                <w:sz w:val="22"/>
                <w:szCs w:val="22"/>
              </w:rPr>
              <w:t>14.33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7EF8F69"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411ADE6D"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292F564F" w14:textId="77777777" w:rsidR="002C4E1B" w:rsidRDefault="002C4E1B" w:rsidP="00A27EDC">
            <w:pPr>
              <w:widowControl w:val="0"/>
              <w:spacing w:line="276" w:lineRule="auto"/>
              <w:rPr>
                <w:rFonts w:ascii="Arial" w:eastAsia="Arial" w:hAnsi="Arial" w:cs="Arial"/>
                <w:sz w:val="20"/>
                <w:szCs w:val="20"/>
              </w:rPr>
            </w:pPr>
            <w:r>
              <w:rPr>
                <w:sz w:val="22"/>
                <w:szCs w:val="22"/>
              </w:rPr>
              <w:t>B1(1,1)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80EE7F3" w14:textId="77777777" w:rsidR="002C4E1B" w:rsidRDefault="002C4E1B" w:rsidP="00A27EDC">
            <w:pPr>
              <w:widowControl w:val="0"/>
              <w:spacing w:line="276" w:lineRule="auto"/>
              <w:jc w:val="center"/>
              <w:rPr>
                <w:rFonts w:ascii="Arial" w:eastAsia="Arial" w:hAnsi="Arial" w:cs="Arial"/>
                <w:sz w:val="20"/>
                <w:szCs w:val="20"/>
              </w:rPr>
            </w:pPr>
            <w:r>
              <w:rPr>
                <w:sz w:val="22"/>
                <w:szCs w:val="22"/>
              </w:rPr>
              <w:t>0.99</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EE50130" w14:textId="77777777" w:rsidR="002C4E1B" w:rsidRDefault="002C4E1B" w:rsidP="00A27EDC">
            <w:pPr>
              <w:widowControl w:val="0"/>
              <w:spacing w:line="276" w:lineRule="auto"/>
              <w:jc w:val="center"/>
              <w:rPr>
                <w:rFonts w:ascii="Arial" w:eastAsia="Arial" w:hAnsi="Arial" w:cs="Arial"/>
                <w:sz w:val="20"/>
                <w:szCs w:val="20"/>
              </w:rPr>
            </w:pPr>
            <w:r>
              <w:rPr>
                <w:sz w:val="22"/>
                <w:szCs w:val="22"/>
              </w:rPr>
              <w:t>3671.72</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026B52D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A562273" w14:textId="77777777" w:rsidR="002C4E1B" w:rsidRDefault="002C4E1B" w:rsidP="00A27EDC">
            <w:pPr>
              <w:widowControl w:val="0"/>
              <w:spacing w:line="276" w:lineRule="auto"/>
              <w:jc w:val="center"/>
              <w:rPr>
                <w:rFonts w:ascii="Arial" w:eastAsia="Arial" w:hAnsi="Arial" w:cs="Arial"/>
                <w:sz w:val="20"/>
                <w:szCs w:val="20"/>
              </w:rPr>
            </w:pPr>
            <w:r>
              <w:rPr>
                <w:sz w:val="22"/>
                <w:szCs w:val="22"/>
              </w:rPr>
              <w:t>0.98</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5748AE6" w14:textId="77777777" w:rsidR="002C4E1B" w:rsidRDefault="002C4E1B" w:rsidP="00A27EDC">
            <w:pPr>
              <w:widowControl w:val="0"/>
              <w:spacing w:line="276" w:lineRule="auto"/>
              <w:jc w:val="center"/>
              <w:rPr>
                <w:rFonts w:ascii="Arial" w:eastAsia="Arial" w:hAnsi="Arial" w:cs="Arial"/>
                <w:sz w:val="20"/>
                <w:szCs w:val="20"/>
              </w:rPr>
            </w:pPr>
            <w:r>
              <w:rPr>
                <w:sz w:val="22"/>
                <w:szCs w:val="22"/>
              </w:rPr>
              <w:t>642.66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30139FF"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14C0D0D5"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3ED3DFED" w14:textId="77777777" w:rsidR="002C4E1B" w:rsidRDefault="002C4E1B" w:rsidP="00A27EDC">
            <w:pPr>
              <w:widowControl w:val="0"/>
              <w:spacing w:line="276" w:lineRule="auto"/>
              <w:rPr>
                <w:rFonts w:ascii="Arial" w:eastAsia="Arial" w:hAnsi="Arial" w:cs="Arial"/>
                <w:sz w:val="20"/>
                <w:szCs w:val="20"/>
              </w:rPr>
            </w:pPr>
            <w:r>
              <w:rPr>
                <w:sz w:val="22"/>
                <w:szCs w:val="22"/>
              </w:rPr>
              <w:t>B1(2,2)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1426941" w14:textId="77777777" w:rsidR="002C4E1B" w:rsidRDefault="002C4E1B" w:rsidP="00A27EDC">
            <w:pPr>
              <w:widowControl w:val="0"/>
              <w:spacing w:line="276" w:lineRule="auto"/>
              <w:jc w:val="center"/>
              <w:rPr>
                <w:rFonts w:ascii="Arial" w:eastAsia="Arial" w:hAnsi="Arial" w:cs="Arial"/>
                <w:sz w:val="20"/>
                <w:szCs w:val="20"/>
              </w:rPr>
            </w:pPr>
            <w:r>
              <w:rPr>
                <w:sz w:val="22"/>
                <w:szCs w:val="22"/>
              </w:rPr>
              <w:t>0.96</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4BCCBA81" w14:textId="77777777" w:rsidR="002C4E1B" w:rsidRDefault="002C4E1B" w:rsidP="00A27EDC">
            <w:pPr>
              <w:widowControl w:val="0"/>
              <w:spacing w:line="276" w:lineRule="auto"/>
              <w:jc w:val="center"/>
              <w:rPr>
                <w:rFonts w:ascii="Arial" w:eastAsia="Arial" w:hAnsi="Arial" w:cs="Arial"/>
                <w:sz w:val="20"/>
                <w:szCs w:val="20"/>
              </w:rPr>
            </w:pPr>
            <w:r>
              <w:rPr>
                <w:sz w:val="22"/>
                <w:szCs w:val="22"/>
              </w:rPr>
              <w:t>596.12</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081BC32E"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C1B66CC" w14:textId="77777777" w:rsidR="002C4E1B" w:rsidRDefault="002C4E1B" w:rsidP="00A27EDC">
            <w:pPr>
              <w:widowControl w:val="0"/>
              <w:spacing w:line="276" w:lineRule="auto"/>
              <w:jc w:val="center"/>
              <w:rPr>
                <w:rFonts w:ascii="Arial" w:eastAsia="Arial" w:hAnsi="Arial" w:cs="Arial"/>
                <w:sz w:val="20"/>
                <w:szCs w:val="20"/>
              </w:rPr>
            </w:pPr>
            <w:r>
              <w:rPr>
                <w:sz w:val="22"/>
                <w:szCs w:val="22"/>
              </w:rPr>
              <w:t>0.96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2436498" w14:textId="77777777" w:rsidR="002C4E1B" w:rsidRDefault="002C4E1B" w:rsidP="00A27EDC">
            <w:pPr>
              <w:widowControl w:val="0"/>
              <w:spacing w:line="276" w:lineRule="auto"/>
              <w:jc w:val="center"/>
              <w:rPr>
                <w:rFonts w:ascii="Arial" w:eastAsia="Arial" w:hAnsi="Arial" w:cs="Arial"/>
                <w:sz w:val="20"/>
                <w:szCs w:val="20"/>
              </w:rPr>
            </w:pPr>
            <w:r>
              <w:rPr>
                <w:sz w:val="22"/>
                <w:szCs w:val="22"/>
              </w:rPr>
              <w:t>345.57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E76F5CE"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0A1D0954" w14:textId="77777777" w:rsidTr="00A27EDC">
        <w:trPr>
          <w:trHeight w:val="330"/>
        </w:trPr>
        <w:tc>
          <w:tcPr>
            <w:tcW w:w="761"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44182B8F" w14:textId="77777777" w:rsidR="002C4E1B" w:rsidRDefault="002C4E1B" w:rsidP="00A27EDC">
            <w:pPr>
              <w:widowControl w:val="0"/>
              <w:spacing w:line="276" w:lineRule="auto"/>
              <w:rPr>
                <w:rFonts w:ascii="Arial" w:eastAsia="Arial" w:hAnsi="Arial" w:cs="Arial"/>
                <w:sz w:val="20"/>
                <w:szCs w:val="20"/>
              </w:rPr>
            </w:pPr>
            <w:r>
              <w:rPr>
                <w:sz w:val="22"/>
                <w:szCs w:val="22"/>
              </w:rPr>
              <w:t>B1(3,3)</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E4BDEEB" w14:textId="77777777" w:rsidR="002C4E1B" w:rsidRDefault="002C4E1B" w:rsidP="00A27EDC">
            <w:pPr>
              <w:widowControl w:val="0"/>
              <w:spacing w:line="276" w:lineRule="auto"/>
              <w:jc w:val="center"/>
              <w:rPr>
                <w:rFonts w:ascii="Arial" w:eastAsia="Arial" w:hAnsi="Arial" w:cs="Arial"/>
                <w:sz w:val="20"/>
                <w:szCs w:val="20"/>
              </w:rPr>
            </w:pPr>
            <w:r>
              <w:rPr>
                <w:sz w:val="22"/>
                <w:szCs w:val="22"/>
              </w:rPr>
              <w:t>0.98</w:t>
            </w:r>
          </w:p>
        </w:tc>
        <w:tc>
          <w:tcPr>
            <w:tcW w:w="790"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FB3D2A2" w14:textId="77777777" w:rsidR="002C4E1B" w:rsidRDefault="002C4E1B" w:rsidP="00A27EDC">
            <w:pPr>
              <w:widowControl w:val="0"/>
              <w:spacing w:line="276" w:lineRule="auto"/>
              <w:jc w:val="center"/>
              <w:rPr>
                <w:rFonts w:ascii="Arial" w:eastAsia="Arial" w:hAnsi="Arial" w:cs="Arial"/>
                <w:sz w:val="20"/>
                <w:szCs w:val="20"/>
              </w:rPr>
            </w:pPr>
            <w:r>
              <w:rPr>
                <w:sz w:val="22"/>
                <w:szCs w:val="22"/>
              </w:rPr>
              <w:t>426.52</w:t>
            </w:r>
          </w:p>
        </w:tc>
        <w:tc>
          <w:tcPr>
            <w:tcW w:w="747"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0A4750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202A8834" w14:textId="77777777" w:rsidR="002C4E1B" w:rsidRDefault="002C4E1B" w:rsidP="00A27EDC">
            <w:pPr>
              <w:widowControl w:val="0"/>
              <w:spacing w:line="276" w:lineRule="auto"/>
              <w:jc w:val="center"/>
              <w:rPr>
                <w:rFonts w:ascii="Arial" w:eastAsia="Arial" w:hAnsi="Arial" w:cs="Arial"/>
                <w:sz w:val="20"/>
                <w:szCs w:val="20"/>
              </w:rPr>
            </w:pPr>
            <w:r>
              <w:rPr>
                <w:sz w:val="22"/>
                <w:szCs w:val="22"/>
              </w:rPr>
              <w:t>0.98</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1AB7F3A2" w14:textId="77777777" w:rsidR="002C4E1B" w:rsidRDefault="002C4E1B" w:rsidP="00A27EDC">
            <w:pPr>
              <w:widowControl w:val="0"/>
              <w:spacing w:line="276" w:lineRule="auto"/>
              <w:jc w:val="center"/>
              <w:rPr>
                <w:rFonts w:ascii="Arial" w:eastAsia="Arial" w:hAnsi="Arial" w:cs="Arial"/>
                <w:sz w:val="20"/>
                <w:szCs w:val="20"/>
              </w:rPr>
            </w:pPr>
            <w:r>
              <w:rPr>
                <w:sz w:val="22"/>
                <w:szCs w:val="22"/>
              </w:rPr>
              <w:t>260.19</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1E0A3EEF"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bl>
    <w:p w14:paraId="16FB9F54" w14:textId="77777777" w:rsidR="002C4E1B" w:rsidRDefault="002C4E1B" w:rsidP="002C4E1B">
      <w:pPr>
        <w:jc w:val="both"/>
      </w:pPr>
    </w:p>
    <w:p w14:paraId="4E1C1BC0" w14:textId="77777777" w:rsidR="002C4E1B" w:rsidRDefault="002C4E1B" w:rsidP="002C4E1B">
      <w:r>
        <w:br w:type="page"/>
      </w:r>
    </w:p>
    <w:p w14:paraId="27618478" w14:textId="7D67AD4C" w:rsidR="002C4E1B" w:rsidRDefault="002C4E1B" w:rsidP="006C34A1">
      <w:pPr>
        <w:spacing w:after="240"/>
        <w:jc w:val="center"/>
      </w:pPr>
      <w:r>
        <w:t xml:space="preserve">Table </w:t>
      </w:r>
      <w:r w:rsidR="00CF5FC4">
        <w:t>B3</w:t>
      </w:r>
      <w:r>
        <w:t>: CCC</w:t>
      </w:r>
    </w:p>
    <w:tbl>
      <w:tblPr>
        <w:tblStyle w:val="a7"/>
        <w:tblW w:w="5000" w:type="pct"/>
        <w:tblBorders>
          <w:top w:val="nil"/>
          <w:left w:val="nil"/>
          <w:bottom w:val="nil"/>
          <w:right w:val="nil"/>
          <w:insideH w:val="nil"/>
          <w:insideV w:val="nil"/>
        </w:tblBorders>
        <w:tblLook w:val="0600" w:firstRow="0" w:lastRow="0" w:firstColumn="0" w:lastColumn="0" w:noHBand="1" w:noVBand="1"/>
      </w:tblPr>
      <w:tblGrid>
        <w:gridCol w:w="1424"/>
        <w:gridCol w:w="1264"/>
        <w:gridCol w:w="1479"/>
        <w:gridCol w:w="1398"/>
        <w:gridCol w:w="1264"/>
        <w:gridCol w:w="1264"/>
        <w:gridCol w:w="1267"/>
      </w:tblGrid>
      <w:tr w:rsidR="002C4E1B" w14:paraId="6D18B639" w14:textId="77777777" w:rsidTr="00A27EDC">
        <w:trPr>
          <w:trHeight w:val="345"/>
        </w:trPr>
        <w:tc>
          <w:tcPr>
            <w:tcW w:w="761"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6323C2C3" w14:textId="77777777" w:rsidR="002C4E1B" w:rsidRDefault="002C4E1B" w:rsidP="00A27EDC">
            <w:pPr>
              <w:widowControl w:val="0"/>
              <w:spacing w:line="276" w:lineRule="auto"/>
              <w:rPr>
                <w:rFonts w:ascii="Arial" w:eastAsia="Arial" w:hAnsi="Arial" w:cs="Arial"/>
                <w:sz w:val="20"/>
                <w:szCs w:val="20"/>
              </w:rPr>
            </w:pP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6DF3A481" w14:textId="77777777" w:rsidR="002C4E1B" w:rsidRDefault="002C4E1B" w:rsidP="00442192">
            <w:pPr>
              <w:widowControl w:val="0"/>
              <w:spacing w:line="276" w:lineRule="auto"/>
              <w:jc w:val="center"/>
              <w:rPr>
                <w:rFonts w:ascii="Arial" w:eastAsia="Arial" w:hAnsi="Arial" w:cs="Arial"/>
                <w:sz w:val="20"/>
                <w:szCs w:val="20"/>
              </w:rPr>
            </w:pPr>
            <w:r>
              <w:rPr>
                <w:b/>
                <w:sz w:val="22"/>
                <w:szCs w:val="22"/>
              </w:rPr>
              <w:t>Norm</w:t>
            </w:r>
          </w:p>
        </w:tc>
        <w:tc>
          <w:tcPr>
            <w:tcW w:w="790"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36FAD7C2" w14:textId="77777777" w:rsidR="002C4E1B" w:rsidRDefault="002C4E1B" w:rsidP="00442192">
            <w:pPr>
              <w:widowControl w:val="0"/>
              <w:spacing w:line="276" w:lineRule="auto"/>
              <w:jc w:val="center"/>
              <w:rPr>
                <w:rFonts w:ascii="Arial" w:eastAsia="Arial" w:hAnsi="Arial" w:cs="Arial"/>
                <w:sz w:val="20"/>
                <w:szCs w:val="20"/>
              </w:rPr>
            </w:pPr>
          </w:p>
        </w:tc>
        <w:tc>
          <w:tcPr>
            <w:tcW w:w="747"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503400B9" w14:textId="77777777" w:rsidR="002C4E1B" w:rsidRDefault="002C4E1B" w:rsidP="00442192">
            <w:pPr>
              <w:widowControl w:val="0"/>
              <w:spacing w:line="276" w:lineRule="auto"/>
              <w:jc w:val="center"/>
              <w:rPr>
                <w:rFonts w:ascii="Arial" w:eastAsia="Arial" w:hAnsi="Arial" w:cs="Arial"/>
                <w:sz w:val="20"/>
                <w:szCs w:val="20"/>
              </w:rPr>
            </w:pP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760C8B7A" w14:textId="77777777" w:rsidR="002C4E1B" w:rsidRDefault="002C4E1B" w:rsidP="00442192">
            <w:pPr>
              <w:widowControl w:val="0"/>
              <w:spacing w:line="276" w:lineRule="auto"/>
              <w:jc w:val="center"/>
              <w:rPr>
                <w:rFonts w:ascii="Arial" w:eastAsia="Arial" w:hAnsi="Arial" w:cs="Arial"/>
                <w:sz w:val="20"/>
                <w:szCs w:val="20"/>
              </w:rPr>
            </w:pPr>
            <w:r>
              <w:rPr>
                <w:b/>
                <w:sz w:val="22"/>
                <w:szCs w:val="22"/>
              </w:rPr>
              <w:t>T</w:t>
            </w: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5A4FB218" w14:textId="77777777" w:rsidR="002C4E1B" w:rsidRDefault="002C4E1B" w:rsidP="00442192">
            <w:pPr>
              <w:widowControl w:val="0"/>
              <w:spacing w:line="276" w:lineRule="auto"/>
              <w:jc w:val="center"/>
              <w:rPr>
                <w:rFonts w:ascii="Arial" w:eastAsia="Arial" w:hAnsi="Arial" w:cs="Arial"/>
                <w:sz w:val="20"/>
                <w:szCs w:val="20"/>
              </w:rPr>
            </w:pP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3E70166A" w14:textId="77777777" w:rsidR="002C4E1B" w:rsidRDefault="002C4E1B" w:rsidP="00442192">
            <w:pPr>
              <w:widowControl w:val="0"/>
              <w:spacing w:line="276" w:lineRule="auto"/>
              <w:jc w:val="center"/>
              <w:rPr>
                <w:rFonts w:ascii="Arial" w:eastAsia="Arial" w:hAnsi="Arial" w:cs="Arial"/>
                <w:sz w:val="20"/>
                <w:szCs w:val="20"/>
              </w:rPr>
            </w:pPr>
          </w:p>
        </w:tc>
      </w:tr>
      <w:tr w:rsidR="002C4E1B" w14:paraId="36E36FAC" w14:textId="77777777" w:rsidTr="00A27EDC">
        <w:trPr>
          <w:trHeight w:val="585"/>
        </w:trPr>
        <w:tc>
          <w:tcPr>
            <w:tcW w:w="761" w:type="pct"/>
            <w:tcBorders>
              <w:top w:val="nil"/>
              <w:left w:val="nil"/>
              <w:bottom w:val="nil"/>
              <w:right w:val="nil"/>
            </w:tcBorders>
            <w:tcMar>
              <w:top w:w="40" w:type="dxa"/>
              <w:left w:w="40" w:type="dxa"/>
              <w:bottom w:w="40" w:type="dxa"/>
              <w:right w:w="40" w:type="dxa"/>
            </w:tcMar>
            <w:vAlign w:val="bottom"/>
          </w:tcPr>
          <w:p w14:paraId="6813A11D" w14:textId="77777777" w:rsidR="002C4E1B" w:rsidRDefault="002C4E1B" w:rsidP="00A27EDC">
            <w:pPr>
              <w:widowControl w:val="0"/>
              <w:spacing w:line="276" w:lineRule="auto"/>
              <w:rPr>
                <w:rFonts w:ascii="Arial" w:eastAsia="Arial" w:hAnsi="Arial" w:cs="Arial"/>
                <w:sz w:val="20"/>
                <w:szCs w:val="20"/>
              </w:rPr>
            </w:pPr>
          </w:p>
        </w:tc>
        <w:tc>
          <w:tcPr>
            <w:tcW w:w="675" w:type="pct"/>
            <w:tcBorders>
              <w:top w:val="nil"/>
              <w:left w:val="nil"/>
              <w:bottom w:val="nil"/>
              <w:right w:val="nil"/>
            </w:tcBorders>
            <w:tcMar>
              <w:top w:w="40" w:type="dxa"/>
              <w:left w:w="40" w:type="dxa"/>
              <w:bottom w:w="40" w:type="dxa"/>
              <w:right w:w="40" w:type="dxa"/>
            </w:tcMar>
            <w:vAlign w:val="bottom"/>
          </w:tcPr>
          <w:p w14:paraId="5418D1D7" w14:textId="77777777" w:rsidR="002C4E1B" w:rsidRDefault="002C4E1B" w:rsidP="00442192">
            <w:pPr>
              <w:widowControl w:val="0"/>
              <w:spacing w:line="276" w:lineRule="auto"/>
              <w:jc w:val="center"/>
              <w:rPr>
                <w:rFonts w:ascii="Arial" w:eastAsia="Arial" w:hAnsi="Arial" w:cs="Arial"/>
                <w:sz w:val="20"/>
                <w:szCs w:val="20"/>
              </w:rPr>
            </w:pPr>
            <w:r>
              <w:rPr>
                <w:sz w:val="22"/>
                <w:szCs w:val="22"/>
              </w:rPr>
              <w:t>Coef</w:t>
            </w:r>
          </w:p>
        </w:tc>
        <w:tc>
          <w:tcPr>
            <w:tcW w:w="790" w:type="pct"/>
            <w:tcBorders>
              <w:top w:val="nil"/>
              <w:left w:val="nil"/>
              <w:bottom w:val="nil"/>
              <w:right w:val="nil"/>
            </w:tcBorders>
            <w:tcMar>
              <w:top w:w="40" w:type="dxa"/>
              <w:left w:w="40" w:type="dxa"/>
              <w:bottom w:w="40" w:type="dxa"/>
              <w:right w:w="40" w:type="dxa"/>
            </w:tcMar>
            <w:vAlign w:val="bottom"/>
          </w:tcPr>
          <w:p w14:paraId="57370C0E" w14:textId="77777777" w:rsidR="002C4E1B" w:rsidRDefault="002C4E1B" w:rsidP="00442192">
            <w:pPr>
              <w:widowControl w:val="0"/>
              <w:spacing w:line="276" w:lineRule="auto"/>
              <w:jc w:val="center"/>
              <w:rPr>
                <w:rFonts w:ascii="Arial" w:eastAsia="Arial" w:hAnsi="Arial" w:cs="Arial"/>
                <w:sz w:val="20"/>
                <w:szCs w:val="20"/>
              </w:rPr>
            </w:pPr>
            <w:r>
              <w:rPr>
                <w:sz w:val="22"/>
                <w:szCs w:val="22"/>
              </w:rPr>
              <w:t>z-Stat</w:t>
            </w:r>
          </w:p>
        </w:tc>
        <w:tc>
          <w:tcPr>
            <w:tcW w:w="747" w:type="pct"/>
            <w:tcBorders>
              <w:top w:val="nil"/>
              <w:left w:val="nil"/>
              <w:bottom w:val="nil"/>
              <w:right w:val="nil"/>
            </w:tcBorders>
            <w:tcMar>
              <w:top w:w="40" w:type="dxa"/>
              <w:left w:w="40" w:type="dxa"/>
              <w:bottom w:w="40" w:type="dxa"/>
              <w:right w:w="40" w:type="dxa"/>
            </w:tcMar>
            <w:vAlign w:val="bottom"/>
          </w:tcPr>
          <w:p w14:paraId="75D664F3" w14:textId="77777777" w:rsidR="002C4E1B" w:rsidRDefault="002C4E1B" w:rsidP="00442192">
            <w:pPr>
              <w:widowControl w:val="0"/>
              <w:spacing w:line="276" w:lineRule="auto"/>
              <w:jc w:val="center"/>
              <w:rPr>
                <w:rFonts w:ascii="Arial" w:eastAsia="Arial" w:hAnsi="Arial" w:cs="Arial"/>
                <w:sz w:val="20"/>
                <w:szCs w:val="20"/>
              </w:rPr>
            </w:pPr>
            <w:r>
              <w:rPr>
                <w:sz w:val="22"/>
                <w:szCs w:val="22"/>
              </w:rPr>
              <w:t>P-value</w:t>
            </w:r>
          </w:p>
        </w:tc>
        <w:tc>
          <w:tcPr>
            <w:tcW w:w="675" w:type="pct"/>
            <w:tcBorders>
              <w:top w:val="nil"/>
              <w:left w:val="nil"/>
              <w:bottom w:val="nil"/>
              <w:right w:val="nil"/>
            </w:tcBorders>
            <w:tcMar>
              <w:top w:w="40" w:type="dxa"/>
              <w:left w:w="40" w:type="dxa"/>
              <w:bottom w:w="40" w:type="dxa"/>
              <w:right w:w="40" w:type="dxa"/>
            </w:tcMar>
            <w:vAlign w:val="bottom"/>
          </w:tcPr>
          <w:p w14:paraId="3CEBC5C0" w14:textId="77777777" w:rsidR="002C4E1B" w:rsidRDefault="002C4E1B" w:rsidP="00442192">
            <w:pPr>
              <w:widowControl w:val="0"/>
              <w:spacing w:line="276" w:lineRule="auto"/>
              <w:jc w:val="center"/>
              <w:rPr>
                <w:rFonts w:ascii="Arial" w:eastAsia="Arial" w:hAnsi="Arial" w:cs="Arial"/>
                <w:sz w:val="20"/>
                <w:szCs w:val="20"/>
              </w:rPr>
            </w:pPr>
            <w:r>
              <w:rPr>
                <w:sz w:val="22"/>
                <w:szCs w:val="22"/>
              </w:rPr>
              <w:t>Coef</w:t>
            </w:r>
          </w:p>
        </w:tc>
        <w:tc>
          <w:tcPr>
            <w:tcW w:w="675" w:type="pct"/>
            <w:tcBorders>
              <w:top w:val="nil"/>
              <w:left w:val="nil"/>
              <w:bottom w:val="nil"/>
              <w:right w:val="nil"/>
            </w:tcBorders>
            <w:tcMar>
              <w:top w:w="40" w:type="dxa"/>
              <w:left w:w="40" w:type="dxa"/>
              <w:bottom w:w="40" w:type="dxa"/>
              <w:right w:w="40" w:type="dxa"/>
            </w:tcMar>
            <w:vAlign w:val="bottom"/>
          </w:tcPr>
          <w:p w14:paraId="3C0E19D0" w14:textId="77777777" w:rsidR="002C4E1B" w:rsidRDefault="002C4E1B" w:rsidP="00442192">
            <w:pPr>
              <w:widowControl w:val="0"/>
              <w:spacing w:line="276" w:lineRule="auto"/>
              <w:jc w:val="center"/>
              <w:rPr>
                <w:rFonts w:ascii="Arial" w:eastAsia="Arial" w:hAnsi="Arial" w:cs="Arial"/>
                <w:sz w:val="20"/>
                <w:szCs w:val="20"/>
              </w:rPr>
            </w:pPr>
            <w:r>
              <w:rPr>
                <w:sz w:val="22"/>
                <w:szCs w:val="22"/>
              </w:rPr>
              <w:t>z-Stat</w:t>
            </w:r>
          </w:p>
        </w:tc>
        <w:tc>
          <w:tcPr>
            <w:tcW w:w="675" w:type="pct"/>
            <w:tcBorders>
              <w:top w:val="nil"/>
              <w:left w:val="nil"/>
              <w:bottom w:val="nil"/>
              <w:right w:val="nil"/>
            </w:tcBorders>
            <w:tcMar>
              <w:top w:w="40" w:type="dxa"/>
              <w:left w:w="40" w:type="dxa"/>
              <w:bottom w:w="40" w:type="dxa"/>
              <w:right w:w="40" w:type="dxa"/>
            </w:tcMar>
            <w:vAlign w:val="bottom"/>
          </w:tcPr>
          <w:p w14:paraId="040109D9" w14:textId="77777777" w:rsidR="002C4E1B" w:rsidRDefault="002C4E1B" w:rsidP="00442192">
            <w:pPr>
              <w:widowControl w:val="0"/>
              <w:spacing w:line="276" w:lineRule="auto"/>
              <w:jc w:val="center"/>
              <w:rPr>
                <w:rFonts w:ascii="Arial" w:eastAsia="Arial" w:hAnsi="Arial" w:cs="Arial"/>
                <w:sz w:val="20"/>
                <w:szCs w:val="20"/>
              </w:rPr>
            </w:pPr>
            <w:r>
              <w:rPr>
                <w:sz w:val="22"/>
                <w:szCs w:val="22"/>
              </w:rPr>
              <w:t>P-value</w:t>
            </w:r>
          </w:p>
        </w:tc>
      </w:tr>
      <w:tr w:rsidR="002C4E1B" w14:paraId="04D6FACE" w14:textId="77777777" w:rsidTr="00A27EDC">
        <w:trPr>
          <w:trHeight w:val="315"/>
        </w:trPr>
        <w:tc>
          <w:tcPr>
            <w:tcW w:w="5000" w:type="pct"/>
            <w:gridSpan w:val="7"/>
            <w:tcBorders>
              <w:top w:val="nil"/>
              <w:left w:val="nil"/>
              <w:bottom w:val="nil"/>
              <w:right w:val="nil"/>
            </w:tcBorders>
            <w:tcMar>
              <w:top w:w="40" w:type="dxa"/>
              <w:left w:w="40" w:type="dxa"/>
              <w:bottom w:w="40" w:type="dxa"/>
              <w:right w:w="40" w:type="dxa"/>
            </w:tcMar>
            <w:vAlign w:val="bottom"/>
          </w:tcPr>
          <w:p w14:paraId="4E3FE8E8" w14:textId="77777777" w:rsidR="002C4E1B" w:rsidRDefault="002C4E1B" w:rsidP="00442192">
            <w:pPr>
              <w:widowControl w:val="0"/>
              <w:spacing w:line="276" w:lineRule="auto"/>
              <w:rPr>
                <w:rFonts w:ascii="Arial" w:eastAsia="Arial" w:hAnsi="Arial" w:cs="Arial"/>
                <w:sz w:val="20"/>
                <w:szCs w:val="20"/>
              </w:rPr>
            </w:pPr>
            <w:r>
              <w:rPr>
                <w:sz w:val="22"/>
                <w:szCs w:val="22"/>
              </w:rPr>
              <w:t>Mean Equation</w:t>
            </w:r>
          </w:p>
        </w:tc>
      </w:tr>
      <w:tr w:rsidR="002C4E1B" w14:paraId="42E00016"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660613D" w14:textId="77777777" w:rsidR="002C4E1B" w:rsidRDefault="002C4E1B" w:rsidP="00A27EDC">
            <w:pPr>
              <w:widowControl w:val="0"/>
              <w:spacing w:line="276" w:lineRule="auto"/>
              <w:rPr>
                <w:rFonts w:ascii="Arial" w:eastAsia="Arial" w:hAnsi="Arial" w:cs="Arial"/>
                <w:sz w:val="20"/>
                <w:szCs w:val="20"/>
              </w:rPr>
            </w:pPr>
            <w:r>
              <w:rPr>
                <w:sz w:val="22"/>
                <w:szCs w:val="22"/>
              </w:rPr>
              <w:t>C(1)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A7F4809"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7FFB6A2A" w14:textId="77777777" w:rsidR="002C4E1B" w:rsidRDefault="002C4E1B" w:rsidP="00442192">
            <w:pPr>
              <w:widowControl w:val="0"/>
              <w:spacing w:line="276" w:lineRule="auto"/>
              <w:jc w:val="center"/>
              <w:rPr>
                <w:rFonts w:ascii="Arial" w:eastAsia="Arial" w:hAnsi="Arial" w:cs="Arial"/>
                <w:sz w:val="20"/>
                <w:szCs w:val="20"/>
              </w:rPr>
            </w:pPr>
            <w:r>
              <w:rPr>
                <w:sz w:val="22"/>
                <w:szCs w:val="22"/>
              </w:rPr>
              <w:t>0.75</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6B24D8D9" w14:textId="77777777" w:rsidR="002C4E1B" w:rsidRDefault="002C4E1B" w:rsidP="00442192">
            <w:pPr>
              <w:widowControl w:val="0"/>
              <w:spacing w:line="276" w:lineRule="auto"/>
              <w:jc w:val="center"/>
              <w:rPr>
                <w:rFonts w:ascii="Arial" w:eastAsia="Arial" w:hAnsi="Arial" w:cs="Arial"/>
                <w:sz w:val="20"/>
                <w:szCs w:val="20"/>
              </w:rPr>
            </w:pPr>
            <w:r>
              <w:rPr>
                <w:sz w:val="22"/>
                <w:szCs w:val="22"/>
              </w:rPr>
              <w:t>0.46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F9FE5F4"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445BBDA" w14:textId="77777777" w:rsidR="002C4E1B" w:rsidRDefault="002C4E1B" w:rsidP="00442192">
            <w:pPr>
              <w:widowControl w:val="0"/>
              <w:spacing w:line="276" w:lineRule="auto"/>
              <w:jc w:val="center"/>
              <w:rPr>
                <w:rFonts w:ascii="Arial" w:eastAsia="Arial" w:hAnsi="Arial" w:cs="Arial"/>
                <w:sz w:val="20"/>
                <w:szCs w:val="20"/>
              </w:rPr>
            </w:pPr>
            <w:r>
              <w:rPr>
                <w:sz w:val="22"/>
                <w:szCs w:val="22"/>
              </w:rPr>
              <w:t>2.41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244578F" w14:textId="77777777" w:rsidR="002C4E1B" w:rsidRDefault="002C4E1B" w:rsidP="00442192">
            <w:pPr>
              <w:widowControl w:val="0"/>
              <w:spacing w:line="276" w:lineRule="auto"/>
              <w:jc w:val="center"/>
              <w:rPr>
                <w:rFonts w:ascii="Arial" w:eastAsia="Arial" w:hAnsi="Arial" w:cs="Arial"/>
                <w:sz w:val="20"/>
                <w:szCs w:val="20"/>
              </w:rPr>
            </w:pPr>
            <w:r>
              <w:rPr>
                <w:sz w:val="22"/>
                <w:szCs w:val="22"/>
              </w:rPr>
              <w:t>0.02</w:t>
            </w:r>
          </w:p>
        </w:tc>
      </w:tr>
      <w:tr w:rsidR="002C4E1B" w14:paraId="7E6F2A55"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26701EA4" w14:textId="77777777" w:rsidR="002C4E1B" w:rsidRDefault="002C4E1B" w:rsidP="00A27EDC">
            <w:pPr>
              <w:widowControl w:val="0"/>
              <w:spacing w:line="276" w:lineRule="auto"/>
              <w:rPr>
                <w:rFonts w:ascii="Arial" w:eastAsia="Arial" w:hAnsi="Arial" w:cs="Arial"/>
                <w:sz w:val="20"/>
                <w:szCs w:val="20"/>
              </w:rPr>
            </w:pPr>
            <w:r>
              <w:rPr>
                <w:sz w:val="22"/>
                <w:szCs w:val="22"/>
              </w:rPr>
              <w:t>C(2)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6543A78"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5853CC9B" w14:textId="77777777" w:rsidR="002C4E1B" w:rsidRDefault="002C4E1B" w:rsidP="00442192">
            <w:pPr>
              <w:widowControl w:val="0"/>
              <w:spacing w:line="276" w:lineRule="auto"/>
              <w:jc w:val="center"/>
              <w:rPr>
                <w:rFonts w:ascii="Arial" w:eastAsia="Arial" w:hAnsi="Arial" w:cs="Arial"/>
                <w:sz w:val="20"/>
                <w:szCs w:val="20"/>
              </w:rPr>
            </w:pPr>
            <w:r>
              <w:rPr>
                <w:sz w:val="22"/>
                <w:szCs w:val="22"/>
              </w:rPr>
              <w:t>0.02</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21DD4D4C" w14:textId="77777777" w:rsidR="002C4E1B" w:rsidRDefault="002C4E1B" w:rsidP="00442192">
            <w:pPr>
              <w:widowControl w:val="0"/>
              <w:spacing w:line="276" w:lineRule="auto"/>
              <w:jc w:val="center"/>
              <w:rPr>
                <w:rFonts w:ascii="Arial" w:eastAsia="Arial" w:hAnsi="Arial" w:cs="Arial"/>
                <w:sz w:val="20"/>
                <w:szCs w:val="20"/>
              </w:rPr>
            </w:pPr>
            <w:r>
              <w:rPr>
                <w:sz w:val="22"/>
                <w:szCs w:val="22"/>
              </w:rPr>
              <w:t>0.98</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1EB212B"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464502D" w14:textId="77777777" w:rsidR="002C4E1B" w:rsidRDefault="002C4E1B" w:rsidP="00442192">
            <w:pPr>
              <w:widowControl w:val="0"/>
              <w:spacing w:line="276" w:lineRule="auto"/>
              <w:jc w:val="center"/>
              <w:rPr>
                <w:rFonts w:ascii="Arial" w:eastAsia="Arial" w:hAnsi="Arial" w:cs="Arial"/>
                <w:sz w:val="20"/>
                <w:szCs w:val="20"/>
              </w:rPr>
            </w:pPr>
            <w:r>
              <w:rPr>
                <w:sz w:val="22"/>
                <w:szCs w:val="22"/>
              </w:rPr>
              <w:t>0.19</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764BB38" w14:textId="77777777" w:rsidR="002C4E1B" w:rsidRDefault="002C4E1B" w:rsidP="00442192">
            <w:pPr>
              <w:widowControl w:val="0"/>
              <w:spacing w:line="276" w:lineRule="auto"/>
              <w:jc w:val="center"/>
              <w:rPr>
                <w:rFonts w:ascii="Arial" w:eastAsia="Arial" w:hAnsi="Arial" w:cs="Arial"/>
                <w:sz w:val="20"/>
                <w:szCs w:val="20"/>
              </w:rPr>
            </w:pPr>
            <w:r>
              <w:rPr>
                <w:sz w:val="22"/>
                <w:szCs w:val="22"/>
              </w:rPr>
              <w:t>0.85</w:t>
            </w:r>
          </w:p>
        </w:tc>
      </w:tr>
      <w:tr w:rsidR="002C4E1B" w14:paraId="15E74947"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09B7FAAA" w14:textId="77777777" w:rsidR="002C4E1B" w:rsidRDefault="002C4E1B" w:rsidP="00A27EDC">
            <w:pPr>
              <w:widowControl w:val="0"/>
              <w:spacing w:line="276" w:lineRule="auto"/>
              <w:rPr>
                <w:rFonts w:ascii="Arial" w:eastAsia="Arial" w:hAnsi="Arial" w:cs="Arial"/>
                <w:sz w:val="20"/>
                <w:szCs w:val="20"/>
              </w:rPr>
            </w:pPr>
            <w:r>
              <w:rPr>
                <w:sz w:val="22"/>
                <w:szCs w:val="22"/>
              </w:rPr>
              <w:t>C(3)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21801EE"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E0EEDD1" w14:textId="77777777" w:rsidR="002C4E1B" w:rsidRDefault="002C4E1B" w:rsidP="00442192">
            <w:pPr>
              <w:widowControl w:val="0"/>
              <w:spacing w:line="276" w:lineRule="auto"/>
              <w:jc w:val="center"/>
              <w:rPr>
                <w:rFonts w:ascii="Arial" w:eastAsia="Arial" w:hAnsi="Arial" w:cs="Arial"/>
                <w:sz w:val="20"/>
                <w:szCs w:val="20"/>
              </w:rPr>
            </w:pPr>
            <w:r>
              <w:rPr>
                <w:sz w:val="22"/>
                <w:szCs w:val="22"/>
              </w:rPr>
              <w:t>1.57</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DC62333" w14:textId="77777777" w:rsidR="002C4E1B" w:rsidRDefault="002C4E1B" w:rsidP="00442192">
            <w:pPr>
              <w:widowControl w:val="0"/>
              <w:spacing w:line="276" w:lineRule="auto"/>
              <w:jc w:val="center"/>
              <w:rPr>
                <w:rFonts w:ascii="Arial" w:eastAsia="Arial" w:hAnsi="Arial" w:cs="Arial"/>
                <w:sz w:val="20"/>
                <w:szCs w:val="20"/>
              </w:rPr>
            </w:pPr>
            <w:r>
              <w:rPr>
                <w:sz w:val="22"/>
                <w:szCs w:val="22"/>
              </w:rPr>
              <w:t>0.12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5411ECF"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E47EFBF" w14:textId="77777777" w:rsidR="002C4E1B" w:rsidRDefault="002C4E1B" w:rsidP="00442192">
            <w:pPr>
              <w:widowControl w:val="0"/>
              <w:spacing w:line="276" w:lineRule="auto"/>
              <w:jc w:val="center"/>
              <w:rPr>
                <w:rFonts w:ascii="Arial" w:eastAsia="Arial" w:hAnsi="Arial" w:cs="Arial"/>
                <w:sz w:val="20"/>
                <w:szCs w:val="20"/>
              </w:rPr>
            </w:pPr>
            <w:r>
              <w:rPr>
                <w:sz w:val="22"/>
                <w:szCs w:val="22"/>
              </w:rPr>
              <w:t>2.64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8C558AB" w14:textId="77777777" w:rsidR="002C4E1B" w:rsidRDefault="002C4E1B" w:rsidP="00442192">
            <w:pPr>
              <w:widowControl w:val="0"/>
              <w:spacing w:line="276" w:lineRule="auto"/>
              <w:jc w:val="center"/>
              <w:rPr>
                <w:rFonts w:ascii="Arial" w:eastAsia="Arial" w:hAnsi="Arial" w:cs="Arial"/>
                <w:sz w:val="20"/>
                <w:szCs w:val="20"/>
              </w:rPr>
            </w:pPr>
            <w:r>
              <w:rPr>
                <w:sz w:val="22"/>
                <w:szCs w:val="22"/>
              </w:rPr>
              <w:t>0.01</w:t>
            </w:r>
          </w:p>
        </w:tc>
      </w:tr>
      <w:tr w:rsidR="002C4E1B" w14:paraId="384153A8"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64F2E243" w14:textId="77777777" w:rsidR="002C4E1B" w:rsidRDefault="002C4E1B" w:rsidP="00A27EDC">
            <w:pPr>
              <w:widowControl w:val="0"/>
              <w:spacing w:line="276" w:lineRule="auto"/>
              <w:rPr>
                <w:rFonts w:ascii="Arial" w:eastAsia="Arial" w:hAnsi="Arial" w:cs="Arial"/>
                <w:sz w:val="20"/>
                <w:szCs w:val="20"/>
              </w:rPr>
            </w:pPr>
            <w:r>
              <w:rPr>
                <w:sz w:val="22"/>
                <w:szCs w:val="22"/>
              </w:rPr>
              <w:t>C(4)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4DF0A64" w14:textId="77777777" w:rsidR="002C4E1B" w:rsidRDefault="002C4E1B" w:rsidP="00442192">
            <w:pPr>
              <w:widowControl w:val="0"/>
              <w:spacing w:line="276" w:lineRule="auto"/>
              <w:jc w:val="center"/>
              <w:rPr>
                <w:rFonts w:ascii="Arial" w:eastAsia="Arial" w:hAnsi="Arial" w:cs="Arial"/>
                <w:sz w:val="20"/>
                <w:szCs w:val="20"/>
              </w:rPr>
            </w:pPr>
            <w:r>
              <w:rPr>
                <w:sz w:val="22"/>
                <w:szCs w:val="22"/>
              </w:rPr>
              <w:t>-0.02</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B9E874E" w14:textId="77777777" w:rsidR="002C4E1B" w:rsidRDefault="002C4E1B" w:rsidP="00442192">
            <w:pPr>
              <w:widowControl w:val="0"/>
              <w:spacing w:line="276" w:lineRule="auto"/>
              <w:jc w:val="center"/>
              <w:rPr>
                <w:rFonts w:ascii="Arial" w:eastAsia="Arial" w:hAnsi="Arial" w:cs="Arial"/>
                <w:sz w:val="20"/>
                <w:szCs w:val="20"/>
              </w:rPr>
            </w:pPr>
            <w:r>
              <w:rPr>
                <w:sz w:val="22"/>
                <w:szCs w:val="22"/>
              </w:rPr>
              <w:t>-1.36</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5BB9812B" w14:textId="77777777" w:rsidR="002C4E1B" w:rsidRDefault="002C4E1B" w:rsidP="00442192">
            <w:pPr>
              <w:widowControl w:val="0"/>
              <w:spacing w:line="276" w:lineRule="auto"/>
              <w:jc w:val="center"/>
              <w:rPr>
                <w:rFonts w:ascii="Arial" w:eastAsia="Arial" w:hAnsi="Arial" w:cs="Arial"/>
                <w:sz w:val="20"/>
                <w:szCs w:val="20"/>
              </w:rPr>
            </w:pPr>
            <w:r>
              <w:rPr>
                <w:sz w:val="22"/>
                <w:szCs w:val="22"/>
              </w:rPr>
              <w:t>0.17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69D338C" w14:textId="77777777" w:rsidR="002C4E1B" w:rsidRDefault="002C4E1B" w:rsidP="00442192">
            <w:pPr>
              <w:widowControl w:val="0"/>
              <w:spacing w:line="276" w:lineRule="auto"/>
              <w:jc w:val="center"/>
              <w:rPr>
                <w:rFonts w:ascii="Arial" w:eastAsia="Arial" w:hAnsi="Arial" w:cs="Arial"/>
                <w:sz w:val="20"/>
                <w:szCs w:val="20"/>
              </w:rPr>
            </w:pPr>
            <w:r>
              <w:rPr>
                <w:sz w:val="22"/>
                <w:szCs w:val="22"/>
              </w:rPr>
              <w:t>-0.01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7CF7567" w14:textId="77777777" w:rsidR="002C4E1B" w:rsidRDefault="002C4E1B" w:rsidP="00442192">
            <w:pPr>
              <w:widowControl w:val="0"/>
              <w:spacing w:line="276" w:lineRule="auto"/>
              <w:jc w:val="center"/>
              <w:rPr>
                <w:rFonts w:ascii="Arial" w:eastAsia="Arial" w:hAnsi="Arial" w:cs="Arial"/>
                <w:sz w:val="20"/>
                <w:szCs w:val="20"/>
              </w:rPr>
            </w:pPr>
            <w:r>
              <w:rPr>
                <w:sz w:val="22"/>
                <w:szCs w:val="22"/>
              </w:rPr>
              <w:t>-1.01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CD7A77E" w14:textId="77777777" w:rsidR="002C4E1B" w:rsidRDefault="002C4E1B" w:rsidP="00442192">
            <w:pPr>
              <w:widowControl w:val="0"/>
              <w:spacing w:line="276" w:lineRule="auto"/>
              <w:jc w:val="center"/>
              <w:rPr>
                <w:rFonts w:ascii="Arial" w:eastAsia="Arial" w:hAnsi="Arial" w:cs="Arial"/>
                <w:sz w:val="20"/>
                <w:szCs w:val="20"/>
              </w:rPr>
            </w:pPr>
            <w:r>
              <w:rPr>
                <w:sz w:val="22"/>
                <w:szCs w:val="22"/>
              </w:rPr>
              <w:t>0.31</w:t>
            </w:r>
          </w:p>
        </w:tc>
      </w:tr>
      <w:tr w:rsidR="002C4E1B" w14:paraId="202781AF"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3D33276D" w14:textId="77777777" w:rsidR="002C4E1B" w:rsidRDefault="002C4E1B" w:rsidP="00A27EDC">
            <w:pPr>
              <w:widowControl w:val="0"/>
              <w:spacing w:line="276" w:lineRule="auto"/>
              <w:rPr>
                <w:rFonts w:ascii="Arial" w:eastAsia="Arial" w:hAnsi="Arial" w:cs="Arial"/>
                <w:sz w:val="20"/>
                <w:szCs w:val="20"/>
              </w:rPr>
            </w:pPr>
            <w:r>
              <w:rPr>
                <w:sz w:val="22"/>
                <w:szCs w:val="22"/>
              </w:rPr>
              <w:t>C(5)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E7C60CE"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349AA15E" w14:textId="77777777" w:rsidR="002C4E1B" w:rsidRDefault="002C4E1B" w:rsidP="00442192">
            <w:pPr>
              <w:widowControl w:val="0"/>
              <w:spacing w:line="276" w:lineRule="auto"/>
              <w:jc w:val="center"/>
              <w:rPr>
                <w:rFonts w:ascii="Arial" w:eastAsia="Arial" w:hAnsi="Arial" w:cs="Arial"/>
                <w:sz w:val="20"/>
                <w:szCs w:val="20"/>
              </w:rPr>
            </w:pPr>
            <w:r>
              <w:rPr>
                <w:sz w:val="22"/>
                <w:szCs w:val="22"/>
              </w:rPr>
              <w:t>-0.03</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2B2D6798" w14:textId="77777777" w:rsidR="002C4E1B" w:rsidRDefault="002C4E1B" w:rsidP="00442192">
            <w:pPr>
              <w:widowControl w:val="0"/>
              <w:spacing w:line="276" w:lineRule="auto"/>
              <w:jc w:val="center"/>
              <w:rPr>
                <w:rFonts w:ascii="Arial" w:eastAsia="Arial" w:hAnsi="Arial" w:cs="Arial"/>
                <w:sz w:val="20"/>
                <w:szCs w:val="20"/>
              </w:rPr>
            </w:pPr>
            <w:r>
              <w:rPr>
                <w:sz w:val="22"/>
                <w:szCs w:val="22"/>
              </w:rPr>
              <w:t>0.98</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7EC00E6"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3EB2065" w14:textId="77777777" w:rsidR="002C4E1B" w:rsidRDefault="002C4E1B" w:rsidP="00442192">
            <w:pPr>
              <w:widowControl w:val="0"/>
              <w:spacing w:line="276" w:lineRule="auto"/>
              <w:jc w:val="center"/>
              <w:rPr>
                <w:rFonts w:ascii="Arial" w:eastAsia="Arial" w:hAnsi="Arial" w:cs="Arial"/>
                <w:sz w:val="20"/>
                <w:szCs w:val="20"/>
              </w:rPr>
            </w:pPr>
            <w:r>
              <w:rPr>
                <w:sz w:val="22"/>
                <w:szCs w:val="22"/>
              </w:rPr>
              <w:t>1.49</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E4675F1" w14:textId="77777777" w:rsidR="002C4E1B" w:rsidRDefault="002C4E1B" w:rsidP="00442192">
            <w:pPr>
              <w:widowControl w:val="0"/>
              <w:spacing w:line="276" w:lineRule="auto"/>
              <w:jc w:val="center"/>
              <w:rPr>
                <w:rFonts w:ascii="Arial" w:eastAsia="Arial" w:hAnsi="Arial" w:cs="Arial"/>
                <w:sz w:val="20"/>
                <w:szCs w:val="20"/>
              </w:rPr>
            </w:pPr>
            <w:r>
              <w:rPr>
                <w:sz w:val="22"/>
                <w:szCs w:val="22"/>
              </w:rPr>
              <w:t>0.14</w:t>
            </w:r>
          </w:p>
        </w:tc>
      </w:tr>
      <w:tr w:rsidR="002C4E1B" w14:paraId="034A96EA"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26A6D60A" w14:textId="77777777" w:rsidR="002C4E1B" w:rsidRDefault="002C4E1B" w:rsidP="00A27EDC">
            <w:pPr>
              <w:widowControl w:val="0"/>
              <w:spacing w:line="276" w:lineRule="auto"/>
              <w:rPr>
                <w:rFonts w:ascii="Arial" w:eastAsia="Arial" w:hAnsi="Arial" w:cs="Arial"/>
                <w:sz w:val="20"/>
                <w:szCs w:val="20"/>
              </w:rPr>
            </w:pPr>
            <w:r>
              <w:rPr>
                <w:sz w:val="22"/>
                <w:szCs w:val="22"/>
              </w:rPr>
              <w:t>C(6)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96E11B3" w14:textId="77777777" w:rsidR="002C4E1B" w:rsidRDefault="002C4E1B" w:rsidP="00442192">
            <w:pPr>
              <w:widowControl w:val="0"/>
              <w:spacing w:line="276" w:lineRule="auto"/>
              <w:jc w:val="center"/>
              <w:rPr>
                <w:rFonts w:ascii="Arial" w:eastAsia="Arial" w:hAnsi="Arial" w:cs="Arial"/>
                <w:sz w:val="20"/>
                <w:szCs w:val="20"/>
              </w:rPr>
            </w:pPr>
            <w:r>
              <w:rPr>
                <w:sz w:val="22"/>
                <w:szCs w:val="22"/>
              </w:rPr>
              <w:t>0.04</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3EA9F896" w14:textId="77777777" w:rsidR="002C4E1B" w:rsidRDefault="002C4E1B" w:rsidP="00442192">
            <w:pPr>
              <w:widowControl w:val="0"/>
              <w:spacing w:line="276" w:lineRule="auto"/>
              <w:jc w:val="center"/>
              <w:rPr>
                <w:rFonts w:ascii="Arial" w:eastAsia="Arial" w:hAnsi="Arial" w:cs="Arial"/>
                <w:sz w:val="20"/>
                <w:szCs w:val="20"/>
              </w:rPr>
            </w:pPr>
            <w:r>
              <w:rPr>
                <w:sz w:val="22"/>
                <w:szCs w:val="22"/>
              </w:rPr>
              <w:t>3.40</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9B2764D"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E711959" w14:textId="77777777" w:rsidR="002C4E1B" w:rsidRDefault="002C4E1B" w:rsidP="00442192">
            <w:pPr>
              <w:widowControl w:val="0"/>
              <w:spacing w:line="276" w:lineRule="auto"/>
              <w:jc w:val="center"/>
              <w:rPr>
                <w:rFonts w:ascii="Arial" w:eastAsia="Arial" w:hAnsi="Arial" w:cs="Arial"/>
                <w:sz w:val="20"/>
                <w:szCs w:val="20"/>
              </w:rPr>
            </w:pPr>
            <w:r>
              <w:rPr>
                <w:sz w:val="22"/>
                <w:szCs w:val="22"/>
              </w:rPr>
              <w:t>0.03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3E66013" w14:textId="77777777" w:rsidR="002C4E1B" w:rsidRDefault="002C4E1B" w:rsidP="00442192">
            <w:pPr>
              <w:widowControl w:val="0"/>
              <w:spacing w:line="276" w:lineRule="auto"/>
              <w:jc w:val="center"/>
              <w:rPr>
                <w:rFonts w:ascii="Arial" w:eastAsia="Arial" w:hAnsi="Arial" w:cs="Arial"/>
                <w:sz w:val="20"/>
                <w:szCs w:val="20"/>
              </w:rPr>
            </w:pPr>
            <w:r>
              <w:rPr>
                <w:sz w:val="22"/>
                <w:szCs w:val="22"/>
              </w:rPr>
              <w:t>2.53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8006C61" w14:textId="77777777" w:rsidR="002C4E1B" w:rsidRDefault="002C4E1B" w:rsidP="00442192">
            <w:pPr>
              <w:widowControl w:val="0"/>
              <w:spacing w:line="276" w:lineRule="auto"/>
              <w:jc w:val="center"/>
              <w:rPr>
                <w:rFonts w:ascii="Arial" w:eastAsia="Arial" w:hAnsi="Arial" w:cs="Arial"/>
                <w:sz w:val="20"/>
                <w:szCs w:val="20"/>
              </w:rPr>
            </w:pPr>
            <w:r>
              <w:rPr>
                <w:sz w:val="22"/>
                <w:szCs w:val="22"/>
              </w:rPr>
              <w:t>0.01</w:t>
            </w:r>
          </w:p>
        </w:tc>
      </w:tr>
      <w:tr w:rsidR="002C4E1B" w14:paraId="22CE2180" w14:textId="77777777" w:rsidTr="00A27EDC">
        <w:trPr>
          <w:trHeight w:val="315"/>
        </w:trPr>
        <w:tc>
          <w:tcPr>
            <w:tcW w:w="5000" w:type="pct"/>
            <w:gridSpan w:val="7"/>
            <w:tcBorders>
              <w:top w:val="nil"/>
              <w:left w:val="nil"/>
              <w:bottom w:val="nil"/>
              <w:right w:val="nil"/>
            </w:tcBorders>
            <w:shd w:val="clear" w:color="auto" w:fill="auto"/>
            <w:tcMar>
              <w:top w:w="40" w:type="dxa"/>
              <w:left w:w="40" w:type="dxa"/>
              <w:bottom w:w="40" w:type="dxa"/>
              <w:right w:w="40" w:type="dxa"/>
            </w:tcMar>
            <w:vAlign w:val="bottom"/>
          </w:tcPr>
          <w:p w14:paraId="5F8C4208" w14:textId="77777777" w:rsidR="002C4E1B" w:rsidRDefault="002C4E1B" w:rsidP="00442192">
            <w:pPr>
              <w:widowControl w:val="0"/>
              <w:spacing w:line="276" w:lineRule="auto"/>
              <w:rPr>
                <w:rFonts w:ascii="Arial" w:eastAsia="Arial" w:hAnsi="Arial" w:cs="Arial"/>
                <w:sz w:val="20"/>
                <w:szCs w:val="20"/>
              </w:rPr>
            </w:pPr>
            <w:r>
              <w:rPr>
                <w:sz w:val="22"/>
                <w:szCs w:val="22"/>
              </w:rPr>
              <w:t>Variance Equation</w:t>
            </w:r>
          </w:p>
        </w:tc>
      </w:tr>
      <w:tr w:rsidR="002C4E1B" w14:paraId="1E0DFFC4"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58E7E7E4" w14:textId="77777777" w:rsidR="002C4E1B" w:rsidRDefault="002C4E1B" w:rsidP="00A27EDC">
            <w:pPr>
              <w:widowControl w:val="0"/>
              <w:spacing w:line="276" w:lineRule="auto"/>
              <w:rPr>
                <w:rFonts w:ascii="Arial" w:eastAsia="Arial" w:hAnsi="Arial" w:cs="Arial"/>
                <w:sz w:val="20"/>
                <w:szCs w:val="20"/>
              </w:rPr>
            </w:pPr>
            <w:r>
              <w:rPr>
                <w:sz w:val="22"/>
                <w:szCs w:val="22"/>
              </w:rPr>
              <w:t>M(1)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3B7FF1A"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54C26A27" w14:textId="77777777" w:rsidR="002C4E1B" w:rsidRDefault="002C4E1B" w:rsidP="00442192">
            <w:pPr>
              <w:widowControl w:val="0"/>
              <w:spacing w:line="276" w:lineRule="auto"/>
              <w:jc w:val="center"/>
              <w:rPr>
                <w:rFonts w:ascii="Arial" w:eastAsia="Arial" w:hAnsi="Arial" w:cs="Arial"/>
                <w:sz w:val="20"/>
                <w:szCs w:val="20"/>
              </w:rPr>
            </w:pPr>
            <w:r>
              <w:rPr>
                <w:sz w:val="22"/>
                <w:szCs w:val="22"/>
              </w:rPr>
              <w:t>7.56</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416F2E9D"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15C0BB5"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33A1452" w14:textId="77777777" w:rsidR="002C4E1B" w:rsidRDefault="002C4E1B" w:rsidP="00442192">
            <w:pPr>
              <w:widowControl w:val="0"/>
              <w:spacing w:line="276" w:lineRule="auto"/>
              <w:jc w:val="center"/>
              <w:rPr>
                <w:rFonts w:ascii="Arial" w:eastAsia="Arial" w:hAnsi="Arial" w:cs="Arial"/>
                <w:sz w:val="20"/>
                <w:szCs w:val="20"/>
              </w:rPr>
            </w:pPr>
            <w:r>
              <w:rPr>
                <w:sz w:val="22"/>
                <w:szCs w:val="22"/>
              </w:rPr>
              <w:t>7.52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62A410B"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40D92D74"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A19C198" w14:textId="77777777" w:rsidR="002C4E1B" w:rsidRDefault="002C4E1B" w:rsidP="00A27EDC">
            <w:pPr>
              <w:widowControl w:val="0"/>
              <w:spacing w:line="276" w:lineRule="auto"/>
              <w:rPr>
                <w:rFonts w:ascii="Arial" w:eastAsia="Arial" w:hAnsi="Arial" w:cs="Arial"/>
                <w:sz w:val="20"/>
                <w:szCs w:val="20"/>
              </w:rPr>
            </w:pPr>
            <w:r>
              <w:rPr>
                <w:sz w:val="22"/>
                <w:szCs w:val="22"/>
              </w:rPr>
              <w:t>A1(1)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924B151" w14:textId="77777777" w:rsidR="002C4E1B" w:rsidRDefault="002C4E1B" w:rsidP="00442192">
            <w:pPr>
              <w:widowControl w:val="0"/>
              <w:spacing w:line="276" w:lineRule="auto"/>
              <w:jc w:val="center"/>
              <w:rPr>
                <w:rFonts w:ascii="Arial" w:eastAsia="Arial" w:hAnsi="Arial" w:cs="Arial"/>
                <w:sz w:val="20"/>
                <w:szCs w:val="20"/>
              </w:rPr>
            </w:pPr>
            <w:r>
              <w:rPr>
                <w:sz w:val="22"/>
                <w:szCs w:val="22"/>
              </w:rPr>
              <w:t>0.03</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3FB36D1B" w14:textId="77777777" w:rsidR="002C4E1B" w:rsidRDefault="002C4E1B" w:rsidP="00442192">
            <w:pPr>
              <w:widowControl w:val="0"/>
              <w:spacing w:line="276" w:lineRule="auto"/>
              <w:jc w:val="center"/>
              <w:rPr>
                <w:rFonts w:ascii="Arial" w:eastAsia="Arial" w:hAnsi="Arial" w:cs="Arial"/>
                <w:sz w:val="20"/>
                <w:szCs w:val="20"/>
              </w:rPr>
            </w:pPr>
            <w:r>
              <w:rPr>
                <w:sz w:val="22"/>
                <w:szCs w:val="22"/>
              </w:rPr>
              <w:t>32.83</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616D883D"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210676C" w14:textId="77777777" w:rsidR="002C4E1B" w:rsidRDefault="002C4E1B" w:rsidP="00442192">
            <w:pPr>
              <w:widowControl w:val="0"/>
              <w:spacing w:line="276" w:lineRule="auto"/>
              <w:jc w:val="center"/>
              <w:rPr>
                <w:rFonts w:ascii="Arial" w:eastAsia="Arial" w:hAnsi="Arial" w:cs="Arial"/>
                <w:sz w:val="20"/>
                <w:szCs w:val="20"/>
              </w:rPr>
            </w:pPr>
            <w:r>
              <w:rPr>
                <w:sz w:val="22"/>
                <w:szCs w:val="22"/>
              </w:rPr>
              <w:t>0.07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A5C7D38" w14:textId="77777777" w:rsidR="002C4E1B" w:rsidRDefault="002C4E1B" w:rsidP="00442192">
            <w:pPr>
              <w:widowControl w:val="0"/>
              <w:spacing w:line="276" w:lineRule="auto"/>
              <w:jc w:val="center"/>
              <w:rPr>
                <w:rFonts w:ascii="Arial" w:eastAsia="Arial" w:hAnsi="Arial" w:cs="Arial"/>
                <w:sz w:val="20"/>
                <w:szCs w:val="20"/>
              </w:rPr>
            </w:pPr>
            <w:r>
              <w:rPr>
                <w:sz w:val="22"/>
                <w:szCs w:val="22"/>
              </w:rPr>
              <w:t>11.79</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93C7ECD"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0D7D5A62"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66B190B5" w14:textId="77777777" w:rsidR="002C4E1B" w:rsidRDefault="002C4E1B" w:rsidP="00A27EDC">
            <w:pPr>
              <w:widowControl w:val="0"/>
              <w:spacing w:line="276" w:lineRule="auto"/>
              <w:rPr>
                <w:rFonts w:ascii="Arial" w:eastAsia="Arial" w:hAnsi="Arial" w:cs="Arial"/>
                <w:sz w:val="20"/>
                <w:szCs w:val="20"/>
              </w:rPr>
            </w:pPr>
            <w:r>
              <w:rPr>
                <w:sz w:val="22"/>
                <w:szCs w:val="22"/>
              </w:rPr>
              <w:t>B1(1)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5095A3A" w14:textId="77777777" w:rsidR="002C4E1B" w:rsidRDefault="002C4E1B" w:rsidP="00442192">
            <w:pPr>
              <w:widowControl w:val="0"/>
              <w:spacing w:line="276" w:lineRule="auto"/>
              <w:jc w:val="center"/>
              <w:rPr>
                <w:rFonts w:ascii="Arial" w:eastAsia="Arial" w:hAnsi="Arial" w:cs="Arial"/>
                <w:sz w:val="20"/>
                <w:szCs w:val="20"/>
              </w:rPr>
            </w:pPr>
            <w:r>
              <w:rPr>
                <w:sz w:val="22"/>
                <w:szCs w:val="22"/>
              </w:rPr>
              <w:t>0.97</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2D7412F" w14:textId="77777777" w:rsidR="002C4E1B" w:rsidRDefault="002C4E1B" w:rsidP="00442192">
            <w:pPr>
              <w:widowControl w:val="0"/>
              <w:spacing w:line="276" w:lineRule="auto"/>
              <w:jc w:val="center"/>
              <w:rPr>
                <w:rFonts w:ascii="Arial" w:eastAsia="Arial" w:hAnsi="Arial" w:cs="Arial"/>
                <w:sz w:val="20"/>
                <w:szCs w:val="20"/>
              </w:rPr>
            </w:pPr>
            <w:r>
              <w:rPr>
                <w:sz w:val="22"/>
                <w:szCs w:val="22"/>
              </w:rPr>
              <w:t>1690.00</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66EC60F1"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54FF896" w14:textId="77777777" w:rsidR="002C4E1B" w:rsidRDefault="002C4E1B" w:rsidP="00442192">
            <w:pPr>
              <w:widowControl w:val="0"/>
              <w:spacing w:line="276" w:lineRule="auto"/>
              <w:jc w:val="center"/>
              <w:rPr>
                <w:rFonts w:ascii="Arial" w:eastAsia="Arial" w:hAnsi="Arial" w:cs="Arial"/>
                <w:sz w:val="20"/>
                <w:szCs w:val="20"/>
              </w:rPr>
            </w:pPr>
            <w:r>
              <w:rPr>
                <w:sz w:val="22"/>
                <w:szCs w:val="22"/>
              </w:rPr>
              <w:t>0.90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8004FB6" w14:textId="77777777" w:rsidR="002C4E1B" w:rsidRDefault="002C4E1B" w:rsidP="00442192">
            <w:pPr>
              <w:widowControl w:val="0"/>
              <w:spacing w:line="276" w:lineRule="auto"/>
              <w:jc w:val="center"/>
              <w:rPr>
                <w:rFonts w:ascii="Arial" w:eastAsia="Arial" w:hAnsi="Arial" w:cs="Arial"/>
                <w:sz w:val="20"/>
                <w:szCs w:val="20"/>
              </w:rPr>
            </w:pPr>
            <w:r>
              <w:rPr>
                <w:sz w:val="22"/>
                <w:szCs w:val="22"/>
              </w:rPr>
              <w:t>119.71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EFEBBF3"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1D8D4547"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D0113E2" w14:textId="77777777" w:rsidR="002C4E1B" w:rsidRDefault="002C4E1B" w:rsidP="00A27EDC">
            <w:pPr>
              <w:widowControl w:val="0"/>
              <w:spacing w:line="276" w:lineRule="auto"/>
              <w:rPr>
                <w:rFonts w:ascii="Arial" w:eastAsia="Arial" w:hAnsi="Arial" w:cs="Arial"/>
                <w:sz w:val="20"/>
                <w:szCs w:val="20"/>
              </w:rPr>
            </w:pPr>
            <w:r>
              <w:rPr>
                <w:sz w:val="22"/>
                <w:szCs w:val="22"/>
              </w:rPr>
              <w:t>M(2)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D647402"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21C33F54" w14:textId="77777777" w:rsidR="002C4E1B" w:rsidRDefault="002C4E1B" w:rsidP="00442192">
            <w:pPr>
              <w:widowControl w:val="0"/>
              <w:spacing w:line="276" w:lineRule="auto"/>
              <w:jc w:val="center"/>
              <w:rPr>
                <w:rFonts w:ascii="Arial" w:eastAsia="Arial" w:hAnsi="Arial" w:cs="Arial"/>
                <w:sz w:val="20"/>
                <w:szCs w:val="20"/>
              </w:rPr>
            </w:pPr>
            <w:r>
              <w:rPr>
                <w:sz w:val="22"/>
                <w:szCs w:val="22"/>
              </w:rPr>
              <w:t>8.34</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5A6141BF"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0241A1F"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40AFA04" w14:textId="77777777" w:rsidR="002C4E1B" w:rsidRDefault="002C4E1B" w:rsidP="00442192">
            <w:pPr>
              <w:widowControl w:val="0"/>
              <w:spacing w:line="276" w:lineRule="auto"/>
              <w:jc w:val="center"/>
              <w:rPr>
                <w:rFonts w:ascii="Arial" w:eastAsia="Arial" w:hAnsi="Arial" w:cs="Arial"/>
                <w:sz w:val="20"/>
                <w:szCs w:val="20"/>
              </w:rPr>
            </w:pPr>
            <w:r>
              <w:rPr>
                <w:sz w:val="22"/>
                <w:szCs w:val="22"/>
              </w:rPr>
              <w:t>5.64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42654BB"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3E4A3C3B"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FA7893D" w14:textId="77777777" w:rsidR="002C4E1B" w:rsidRDefault="002C4E1B" w:rsidP="00A27EDC">
            <w:pPr>
              <w:widowControl w:val="0"/>
              <w:spacing w:line="276" w:lineRule="auto"/>
              <w:rPr>
                <w:rFonts w:ascii="Arial" w:eastAsia="Arial" w:hAnsi="Arial" w:cs="Arial"/>
                <w:sz w:val="20"/>
                <w:szCs w:val="20"/>
              </w:rPr>
            </w:pPr>
            <w:r>
              <w:rPr>
                <w:sz w:val="22"/>
                <w:szCs w:val="22"/>
              </w:rPr>
              <w:t>A1(2)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948B7D5" w14:textId="77777777" w:rsidR="002C4E1B" w:rsidRDefault="002C4E1B" w:rsidP="00442192">
            <w:pPr>
              <w:widowControl w:val="0"/>
              <w:spacing w:line="276" w:lineRule="auto"/>
              <w:jc w:val="center"/>
              <w:rPr>
                <w:rFonts w:ascii="Arial" w:eastAsia="Arial" w:hAnsi="Arial" w:cs="Arial"/>
                <w:sz w:val="20"/>
                <w:szCs w:val="20"/>
              </w:rPr>
            </w:pPr>
            <w:r>
              <w:rPr>
                <w:sz w:val="22"/>
                <w:szCs w:val="22"/>
              </w:rPr>
              <w:t>0.08</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25C15BF1" w14:textId="77777777" w:rsidR="002C4E1B" w:rsidRDefault="002C4E1B" w:rsidP="00442192">
            <w:pPr>
              <w:widowControl w:val="0"/>
              <w:spacing w:line="276" w:lineRule="auto"/>
              <w:jc w:val="center"/>
              <w:rPr>
                <w:rFonts w:ascii="Arial" w:eastAsia="Arial" w:hAnsi="Arial" w:cs="Arial"/>
                <w:sz w:val="20"/>
                <w:szCs w:val="20"/>
              </w:rPr>
            </w:pPr>
            <w:r>
              <w:rPr>
                <w:sz w:val="22"/>
                <w:szCs w:val="22"/>
              </w:rPr>
              <w:t>20.51</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05F1062B"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A865C64" w14:textId="77777777" w:rsidR="002C4E1B" w:rsidRDefault="002C4E1B" w:rsidP="00442192">
            <w:pPr>
              <w:widowControl w:val="0"/>
              <w:spacing w:line="276" w:lineRule="auto"/>
              <w:jc w:val="center"/>
              <w:rPr>
                <w:rFonts w:ascii="Arial" w:eastAsia="Arial" w:hAnsi="Arial" w:cs="Arial"/>
                <w:sz w:val="20"/>
                <w:szCs w:val="20"/>
              </w:rPr>
            </w:pPr>
            <w:r>
              <w:rPr>
                <w:sz w:val="22"/>
                <w:szCs w:val="22"/>
              </w:rPr>
              <w:t>0.07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F9327B7" w14:textId="77777777" w:rsidR="002C4E1B" w:rsidRDefault="002C4E1B" w:rsidP="00442192">
            <w:pPr>
              <w:widowControl w:val="0"/>
              <w:spacing w:line="276" w:lineRule="auto"/>
              <w:jc w:val="center"/>
              <w:rPr>
                <w:rFonts w:ascii="Arial" w:eastAsia="Arial" w:hAnsi="Arial" w:cs="Arial"/>
                <w:sz w:val="20"/>
                <w:szCs w:val="20"/>
              </w:rPr>
            </w:pPr>
            <w:r>
              <w:rPr>
                <w:sz w:val="22"/>
                <w:szCs w:val="22"/>
              </w:rPr>
              <w:t>11.65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B678AF2"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5092844E"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0F586DD" w14:textId="77777777" w:rsidR="002C4E1B" w:rsidRDefault="002C4E1B" w:rsidP="00A27EDC">
            <w:pPr>
              <w:widowControl w:val="0"/>
              <w:spacing w:line="276" w:lineRule="auto"/>
              <w:rPr>
                <w:rFonts w:ascii="Arial" w:eastAsia="Arial" w:hAnsi="Arial" w:cs="Arial"/>
                <w:sz w:val="20"/>
                <w:szCs w:val="20"/>
              </w:rPr>
            </w:pPr>
            <w:r>
              <w:rPr>
                <w:sz w:val="22"/>
                <w:szCs w:val="22"/>
              </w:rPr>
              <w:t>B1(2)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643A78D" w14:textId="77777777" w:rsidR="002C4E1B" w:rsidRDefault="002C4E1B" w:rsidP="00442192">
            <w:pPr>
              <w:widowControl w:val="0"/>
              <w:spacing w:line="276" w:lineRule="auto"/>
              <w:jc w:val="center"/>
              <w:rPr>
                <w:rFonts w:ascii="Arial" w:eastAsia="Arial" w:hAnsi="Arial" w:cs="Arial"/>
                <w:sz w:val="20"/>
                <w:szCs w:val="20"/>
              </w:rPr>
            </w:pPr>
            <w:r>
              <w:rPr>
                <w:sz w:val="22"/>
                <w:szCs w:val="22"/>
              </w:rPr>
              <w:t>0.91</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C7F88D8" w14:textId="77777777" w:rsidR="002C4E1B" w:rsidRDefault="002C4E1B" w:rsidP="00442192">
            <w:pPr>
              <w:widowControl w:val="0"/>
              <w:spacing w:line="276" w:lineRule="auto"/>
              <w:jc w:val="center"/>
              <w:rPr>
                <w:rFonts w:ascii="Arial" w:eastAsia="Arial" w:hAnsi="Arial" w:cs="Arial"/>
                <w:sz w:val="20"/>
                <w:szCs w:val="20"/>
              </w:rPr>
            </w:pPr>
            <w:r>
              <w:rPr>
                <w:sz w:val="22"/>
                <w:szCs w:val="22"/>
              </w:rPr>
              <w:t>212.78</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3B177ED"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A526E15" w14:textId="77777777" w:rsidR="002C4E1B" w:rsidRDefault="002C4E1B" w:rsidP="00442192">
            <w:pPr>
              <w:widowControl w:val="0"/>
              <w:spacing w:line="276" w:lineRule="auto"/>
              <w:jc w:val="center"/>
              <w:rPr>
                <w:rFonts w:ascii="Arial" w:eastAsia="Arial" w:hAnsi="Arial" w:cs="Arial"/>
                <w:sz w:val="20"/>
                <w:szCs w:val="20"/>
              </w:rPr>
            </w:pPr>
            <w:r>
              <w:rPr>
                <w:sz w:val="22"/>
                <w:szCs w:val="22"/>
              </w:rPr>
              <w:t>0.91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755CAD5" w14:textId="77777777" w:rsidR="002C4E1B" w:rsidRDefault="002C4E1B" w:rsidP="00442192">
            <w:pPr>
              <w:widowControl w:val="0"/>
              <w:spacing w:line="276" w:lineRule="auto"/>
              <w:jc w:val="center"/>
              <w:rPr>
                <w:rFonts w:ascii="Arial" w:eastAsia="Arial" w:hAnsi="Arial" w:cs="Arial"/>
                <w:sz w:val="20"/>
                <w:szCs w:val="20"/>
              </w:rPr>
            </w:pPr>
            <w:r>
              <w:rPr>
                <w:sz w:val="22"/>
                <w:szCs w:val="22"/>
              </w:rPr>
              <w:t>134.97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15337DA"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6EE9EDF4"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FEA8392" w14:textId="77777777" w:rsidR="002C4E1B" w:rsidRDefault="002C4E1B" w:rsidP="00A27EDC">
            <w:pPr>
              <w:widowControl w:val="0"/>
              <w:spacing w:line="276" w:lineRule="auto"/>
              <w:rPr>
                <w:rFonts w:ascii="Arial" w:eastAsia="Arial" w:hAnsi="Arial" w:cs="Arial"/>
                <w:sz w:val="20"/>
                <w:szCs w:val="20"/>
              </w:rPr>
            </w:pPr>
            <w:r>
              <w:rPr>
                <w:sz w:val="22"/>
                <w:szCs w:val="22"/>
              </w:rPr>
              <w:t>M(3)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2C64CB6"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C799F56" w14:textId="77777777" w:rsidR="002C4E1B" w:rsidRDefault="002C4E1B" w:rsidP="00442192">
            <w:pPr>
              <w:widowControl w:val="0"/>
              <w:spacing w:line="276" w:lineRule="auto"/>
              <w:jc w:val="center"/>
              <w:rPr>
                <w:rFonts w:ascii="Arial" w:eastAsia="Arial" w:hAnsi="Arial" w:cs="Arial"/>
                <w:sz w:val="20"/>
                <w:szCs w:val="20"/>
              </w:rPr>
            </w:pPr>
            <w:r>
              <w:rPr>
                <w:sz w:val="22"/>
                <w:szCs w:val="22"/>
              </w:rPr>
              <w:t>7.14</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0E26915"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8E615FF"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DE6BE41" w14:textId="77777777" w:rsidR="002C4E1B" w:rsidRDefault="002C4E1B" w:rsidP="00442192">
            <w:pPr>
              <w:widowControl w:val="0"/>
              <w:spacing w:line="276" w:lineRule="auto"/>
              <w:jc w:val="center"/>
              <w:rPr>
                <w:rFonts w:ascii="Arial" w:eastAsia="Arial" w:hAnsi="Arial" w:cs="Arial"/>
                <w:sz w:val="20"/>
                <w:szCs w:val="20"/>
              </w:rPr>
            </w:pPr>
            <w:r>
              <w:rPr>
                <w:sz w:val="22"/>
                <w:szCs w:val="22"/>
              </w:rPr>
              <w:t>4.66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81D80FC"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29DE51D1"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F5AA281" w14:textId="77777777" w:rsidR="002C4E1B" w:rsidRDefault="002C4E1B" w:rsidP="00A27EDC">
            <w:pPr>
              <w:widowControl w:val="0"/>
              <w:spacing w:line="276" w:lineRule="auto"/>
              <w:rPr>
                <w:rFonts w:ascii="Arial" w:eastAsia="Arial" w:hAnsi="Arial" w:cs="Arial"/>
                <w:sz w:val="20"/>
                <w:szCs w:val="20"/>
              </w:rPr>
            </w:pPr>
            <w:r>
              <w:rPr>
                <w:sz w:val="22"/>
                <w:szCs w:val="22"/>
              </w:rPr>
              <w:t>A1(3)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318E1E3" w14:textId="77777777" w:rsidR="002C4E1B" w:rsidRDefault="002C4E1B" w:rsidP="00442192">
            <w:pPr>
              <w:widowControl w:val="0"/>
              <w:spacing w:line="276" w:lineRule="auto"/>
              <w:jc w:val="center"/>
              <w:rPr>
                <w:rFonts w:ascii="Arial" w:eastAsia="Arial" w:hAnsi="Arial" w:cs="Arial"/>
                <w:sz w:val="20"/>
                <w:szCs w:val="20"/>
              </w:rPr>
            </w:pPr>
            <w:r>
              <w:rPr>
                <w:sz w:val="22"/>
                <w:szCs w:val="22"/>
              </w:rPr>
              <w:t>0.04</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C9EB60E" w14:textId="77777777" w:rsidR="002C4E1B" w:rsidRDefault="002C4E1B" w:rsidP="00442192">
            <w:pPr>
              <w:widowControl w:val="0"/>
              <w:spacing w:line="276" w:lineRule="auto"/>
              <w:jc w:val="center"/>
              <w:rPr>
                <w:rFonts w:ascii="Arial" w:eastAsia="Arial" w:hAnsi="Arial" w:cs="Arial"/>
                <w:sz w:val="20"/>
                <w:szCs w:val="20"/>
              </w:rPr>
            </w:pPr>
            <w:r>
              <w:rPr>
                <w:sz w:val="22"/>
                <w:szCs w:val="22"/>
              </w:rPr>
              <w:t>11.50</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0FBB02D7"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468BE16" w14:textId="77777777" w:rsidR="002C4E1B" w:rsidRDefault="002C4E1B" w:rsidP="00442192">
            <w:pPr>
              <w:widowControl w:val="0"/>
              <w:spacing w:line="276" w:lineRule="auto"/>
              <w:jc w:val="center"/>
              <w:rPr>
                <w:rFonts w:ascii="Arial" w:eastAsia="Arial" w:hAnsi="Arial" w:cs="Arial"/>
                <w:sz w:val="20"/>
                <w:szCs w:val="20"/>
              </w:rPr>
            </w:pPr>
            <w:r>
              <w:rPr>
                <w:sz w:val="22"/>
                <w:szCs w:val="22"/>
              </w:rPr>
              <w:t>0.04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1510C84" w14:textId="77777777" w:rsidR="002C4E1B" w:rsidRDefault="002C4E1B" w:rsidP="00442192">
            <w:pPr>
              <w:widowControl w:val="0"/>
              <w:spacing w:line="276" w:lineRule="auto"/>
              <w:jc w:val="center"/>
              <w:rPr>
                <w:rFonts w:ascii="Arial" w:eastAsia="Arial" w:hAnsi="Arial" w:cs="Arial"/>
                <w:sz w:val="20"/>
                <w:szCs w:val="20"/>
              </w:rPr>
            </w:pPr>
            <w:r>
              <w:rPr>
                <w:sz w:val="22"/>
                <w:szCs w:val="22"/>
              </w:rPr>
              <w:t>6.84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D59D21B"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1CDAA3ED"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50F58A14" w14:textId="77777777" w:rsidR="002C4E1B" w:rsidRDefault="002C4E1B" w:rsidP="00A27EDC">
            <w:pPr>
              <w:widowControl w:val="0"/>
              <w:spacing w:line="276" w:lineRule="auto"/>
              <w:rPr>
                <w:rFonts w:ascii="Arial" w:eastAsia="Arial" w:hAnsi="Arial" w:cs="Arial"/>
                <w:sz w:val="20"/>
                <w:szCs w:val="20"/>
              </w:rPr>
            </w:pPr>
            <w:r>
              <w:rPr>
                <w:sz w:val="22"/>
                <w:szCs w:val="22"/>
              </w:rPr>
              <w:t>B1(3)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6BF0238" w14:textId="77777777" w:rsidR="002C4E1B" w:rsidRDefault="002C4E1B" w:rsidP="00442192">
            <w:pPr>
              <w:widowControl w:val="0"/>
              <w:spacing w:line="276" w:lineRule="auto"/>
              <w:jc w:val="center"/>
              <w:rPr>
                <w:rFonts w:ascii="Arial" w:eastAsia="Arial" w:hAnsi="Arial" w:cs="Arial"/>
                <w:sz w:val="20"/>
                <w:szCs w:val="20"/>
              </w:rPr>
            </w:pPr>
            <w:r>
              <w:rPr>
                <w:sz w:val="22"/>
                <w:szCs w:val="22"/>
              </w:rPr>
              <w:t>0.94</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8C52032" w14:textId="77777777" w:rsidR="002C4E1B" w:rsidRDefault="002C4E1B" w:rsidP="00442192">
            <w:pPr>
              <w:widowControl w:val="0"/>
              <w:spacing w:line="276" w:lineRule="auto"/>
              <w:jc w:val="center"/>
              <w:rPr>
                <w:rFonts w:ascii="Arial" w:eastAsia="Arial" w:hAnsi="Arial" w:cs="Arial"/>
                <w:sz w:val="20"/>
                <w:szCs w:val="20"/>
              </w:rPr>
            </w:pPr>
            <w:r>
              <w:rPr>
                <w:sz w:val="22"/>
                <w:szCs w:val="22"/>
              </w:rPr>
              <w:t>161.04</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5D70EFC2"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0AADE43" w14:textId="77777777" w:rsidR="002C4E1B" w:rsidRDefault="002C4E1B" w:rsidP="00442192">
            <w:pPr>
              <w:widowControl w:val="0"/>
              <w:spacing w:line="276" w:lineRule="auto"/>
              <w:jc w:val="center"/>
              <w:rPr>
                <w:rFonts w:ascii="Arial" w:eastAsia="Arial" w:hAnsi="Arial" w:cs="Arial"/>
                <w:sz w:val="20"/>
                <w:szCs w:val="20"/>
              </w:rPr>
            </w:pPr>
            <w:r>
              <w:rPr>
                <w:sz w:val="22"/>
                <w:szCs w:val="22"/>
              </w:rPr>
              <w:t>0.94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61D82B0" w14:textId="77777777" w:rsidR="002C4E1B" w:rsidRDefault="002C4E1B" w:rsidP="00442192">
            <w:pPr>
              <w:widowControl w:val="0"/>
              <w:spacing w:line="276" w:lineRule="auto"/>
              <w:jc w:val="center"/>
              <w:rPr>
                <w:rFonts w:ascii="Arial" w:eastAsia="Arial" w:hAnsi="Arial" w:cs="Arial"/>
                <w:sz w:val="20"/>
                <w:szCs w:val="20"/>
              </w:rPr>
            </w:pPr>
            <w:r>
              <w:rPr>
                <w:sz w:val="22"/>
                <w:szCs w:val="22"/>
              </w:rPr>
              <w:t>97.47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52B6550"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113B8A04"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0ACF8A4D" w14:textId="77777777" w:rsidR="002C4E1B" w:rsidRDefault="002C4E1B" w:rsidP="00A27EDC">
            <w:pPr>
              <w:widowControl w:val="0"/>
              <w:spacing w:line="276" w:lineRule="auto"/>
              <w:rPr>
                <w:rFonts w:ascii="Arial" w:eastAsia="Arial" w:hAnsi="Arial" w:cs="Arial"/>
                <w:sz w:val="20"/>
                <w:szCs w:val="20"/>
              </w:rPr>
            </w:pPr>
            <w:r>
              <w:rPr>
                <w:sz w:val="22"/>
                <w:szCs w:val="22"/>
              </w:rPr>
              <w:t>R(1,2)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6F95F39" w14:textId="77777777" w:rsidR="002C4E1B" w:rsidRDefault="002C4E1B" w:rsidP="00442192">
            <w:pPr>
              <w:widowControl w:val="0"/>
              <w:spacing w:line="276" w:lineRule="auto"/>
              <w:jc w:val="center"/>
              <w:rPr>
                <w:rFonts w:ascii="Arial" w:eastAsia="Arial" w:hAnsi="Arial" w:cs="Arial"/>
                <w:sz w:val="20"/>
                <w:szCs w:val="20"/>
              </w:rPr>
            </w:pPr>
            <w:r>
              <w:rPr>
                <w:sz w:val="22"/>
                <w:szCs w:val="22"/>
              </w:rPr>
              <w:t>0.18</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37C6F0D7" w14:textId="77777777" w:rsidR="002C4E1B" w:rsidRDefault="002C4E1B" w:rsidP="00442192">
            <w:pPr>
              <w:widowControl w:val="0"/>
              <w:spacing w:line="276" w:lineRule="auto"/>
              <w:jc w:val="center"/>
              <w:rPr>
                <w:rFonts w:ascii="Arial" w:eastAsia="Arial" w:hAnsi="Arial" w:cs="Arial"/>
                <w:sz w:val="20"/>
                <w:szCs w:val="20"/>
              </w:rPr>
            </w:pPr>
            <w:r>
              <w:rPr>
                <w:sz w:val="22"/>
                <w:szCs w:val="22"/>
              </w:rPr>
              <w:t>16.11</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6612277E"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182003C" w14:textId="77777777" w:rsidR="002C4E1B" w:rsidRDefault="002C4E1B" w:rsidP="00442192">
            <w:pPr>
              <w:widowControl w:val="0"/>
              <w:spacing w:line="276" w:lineRule="auto"/>
              <w:jc w:val="center"/>
              <w:rPr>
                <w:rFonts w:ascii="Arial" w:eastAsia="Arial" w:hAnsi="Arial" w:cs="Arial"/>
                <w:sz w:val="20"/>
                <w:szCs w:val="20"/>
              </w:rPr>
            </w:pPr>
            <w:r>
              <w:rPr>
                <w:sz w:val="22"/>
                <w:szCs w:val="22"/>
              </w:rPr>
              <w:t>0.18</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34FFA7A" w14:textId="77777777" w:rsidR="002C4E1B" w:rsidRDefault="002C4E1B" w:rsidP="00442192">
            <w:pPr>
              <w:widowControl w:val="0"/>
              <w:spacing w:line="276" w:lineRule="auto"/>
              <w:jc w:val="center"/>
              <w:rPr>
                <w:rFonts w:ascii="Arial" w:eastAsia="Arial" w:hAnsi="Arial" w:cs="Arial"/>
                <w:sz w:val="20"/>
                <w:szCs w:val="20"/>
              </w:rPr>
            </w:pPr>
            <w:r>
              <w:rPr>
                <w:sz w:val="22"/>
                <w:szCs w:val="22"/>
              </w:rPr>
              <w:t>13.31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E48FDC0"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141F218D"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342A7812" w14:textId="77777777" w:rsidR="002C4E1B" w:rsidRDefault="002C4E1B" w:rsidP="00A27EDC">
            <w:pPr>
              <w:widowControl w:val="0"/>
              <w:spacing w:line="276" w:lineRule="auto"/>
              <w:rPr>
                <w:rFonts w:ascii="Arial" w:eastAsia="Arial" w:hAnsi="Arial" w:cs="Arial"/>
                <w:sz w:val="20"/>
                <w:szCs w:val="20"/>
              </w:rPr>
            </w:pPr>
            <w:r>
              <w:rPr>
                <w:sz w:val="22"/>
                <w:szCs w:val="22"/>
              </w:rPr>
              <w:t>R(1,3)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C4D225B" w14:textId="77777777" w:rsidR="002C4E1B" w:rsidRDefault="002C4E1B" w:rsidP="00442192">
            <w:pPr>
              <w:widowControl w:val="0"/>
              <w:spacing w:line="276" w:lineRule="auto"/>
              <w:jc w:val="center"/>
              <w:rPr>
                <w:rFonts w:ascii="Arial" w:eastAsia="Arial" w:hAnsi="Arial" w:cs="Arial"/>
                <w:sz w:val="20"/>
                <w:szCs w:val="20"/>
              </w:rPr>
            </w:pPr>
            <w:r>
              <w:rPr>
                <w:sz w:val="22"/>
                <w:szCs w:val="22"/>
              </w:rPr>
              <w:t>0.22</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62BD268" w14:textId="77777777" w:rsidR="002C4E1B" w:rsidRDefault="002C4E1B" w:rsidP="00442192">
            <w:pPr>
              <w:widowControl w:val="0"/>
              <w:spacing w:line="276" w:lineRule="auto"/>
              <w:jc w:val="center"/>
              <w:rPr>
                <w:rFonts w:ascii="Arial" w:eastAsia="Arial" w:hAnsi="Arial" w:cs="Arial"/>
                <w:sz w:val="20"/>
                <w:szCs w:val="20"/>
              </w:rPr>
            </w:pPr>
            <w:r>
              <w:rPr>
                <w:sz w:val="22"/>
                <w:szCs w:val="22"/>
              </w:rPr>
              <w:t>19.53</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2A338EFD"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7014406" w14:textId="77777777" w:rsidR="002C4E1B" w:rsidRDefault="002C4E1B" w:rsidP="00442192">
            <w:pPr>
              <w:widowControl w:val="0"/>
              <w:spacing w:line="276" w:lineRule="auto"/>
              <w:jc w:val="center"/>
              <w:rPr>
                <w:rFonts w:ascii="Arial" w:eastAsia="Arial" w:hAnsi="Arial" w:cs="Arial"/>
                <w:sz w:val="20"/>
                <w:szCs w:val="20"/>
              </w:rPr>
            </w:pPr>
            <w:r>
              <w:rPr>
                <w:sz w:val="22"/>
                <w:szCs w:val="22"/>
              </w:rPr>
              <w:t>0.22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69B51EE" w14:textId="77777777" w:rsidR="002C4E1B" w:rsidRDefault="002C4E1B" w:rsidP="00442192">
            <w:pPr>
              <w:widowControl w:val="0"/>
              <w:spacing w:line="276" w:lineRule="auto"/>
              <w:jc w:val="center"/>
              <w:rPr>
                <w:rFonts w:ascii="Arial" w:eastAsia="Arial" w:hAnsi="Arial" w:cs="Arial"/>
                <w:sz w:val="20"/>
                <w:szCs w:val="20"/>
              </w:rPr>
            </w:pPr>
            <w:r>
              <w:rPr>
                <w:sz w:val="22"/>
                <w:szCs w:val="22"/>
              </w:rPr>
              <w:t>16.19</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FA2D055"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0B3B6E19" w14:textId="77777777" w:rsidTr="00A27EDC">
        <w:trPr>
          <w:trHeight w:val="330"/>
        </w:trPr>
        <w:tc>
          <w:tcPr>
            <w:tcW w:w="761"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0956DB71" w14:textId="77777777" w:rsidR="002C4E1B" w:rsidRDefault="002C4E1B" w:rsidP="00A27EDC">
            <w:pPr>
              <w:widowControl w:val="0"/>
              <w:spacing w:line="276" w:lineRule="auto"/>
              <w:rPr>
                <w:rFonts w:ascii="Arial" w:eastAsia="Arial" w:hAnsi="Arial" w:cs="Arial"/>
                <w:sz w:val="20"/>
                <w:szCs w:val="20"/>
              </w:rPr>
            </w:pPr>
            <w:r>
              <w:rPr>
                <w:sz w:val="22"/>
                <w:szCs w:val="22"/>
              </w:rPr>
              <w:t>R(2,3)</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42D40E3" w14:textId="77777777" w:rsidR="002C4E1B" w:rsidRDefault="002C4E1B" w:rsidP="00442192">
            <w:pPr>
              <w:widowControl w:val="0"/>
              <w:spacing w:line="276" w:lineRule="auto"/>
              <w:jc w:val="center"/>
              <w:rPr>
                <w:rFonts w:ascii="Arial" w:eastAsia="Arial" w:hAnsi="Arial" w:cs="Arial"/>
                <w:sz w:val="20"/>
                <w:szCs w:val="20"/>
              </w:rPr>
            </w:pPr>
            <w:r>
              <w:rPr>
                <w:sz w:val="22"/>
                <w:szCs w:val="22"/>
              </w:rPr>
              <w:t>0.16</w:t>
            </w:r>
          </w:p>
        </w:tc>
        <w:tc>
          <w:tcPr>
            <w:tcW w:w="790"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371F1F34" w14:textId="77777777" w:rsidR="002C4E1B" w:rsidRDefault="002C4E1B" w:rsidP="00442192">
            <w:pPr>
              <w:widowControl w:val="0"/>
              <w:spacing w:line="276" w:lineRule="auto"/>
              <w:jc w:val="center"/>
              <w:rPr>
                <w:rFonts w:ascii="Arial" w:eastAsia="Arial" w:hAnsi="Arial" w:cs="Arial"/>
                <w:sz w:val="20"/>
                <w:szCs w:val="20"/>
              </w:rPr>
            </w:pPr>
            <w:r>
              <w:rPr>
                <w:sz w:val="22"/>
                <w:szCs w:val="22"/>
              </w:rPr>
              <w:t>13.65</w:t>
            </w:r>
          </w:p>
        </w:tc>
        <w:tc>
          <w:tcPr>
            <w:tcW w:w="747"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3FFCE675"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421E4CD" w14:textId="77777777" w:rsidR="002C4E1B" w:rsidRDefault="002C4E1B" w:rsidP="00442192">
            <w:pPr>
              <w:widowControl w:val="0"/>
              <w:spacing w:line="276" w:lineRule="auto"/>
              <w:jc w:val="center"/>
              <w:rPr>
                <w:rFonts w:ascii="Arial" w:eastAsia="Arial" w:hAnsi="Arial" w:cs="Arial"/>
                <w:sz w:val="20"/>
                <w:szCs w:val="20"/>
              </w:rPr>
            </w:pPr>
            <w:r>
              <w:rPr>
                <w:sz w:val="22"/>
                <w:szCs w:val="22"/>
              </w:rPr>
              <w:t>0.16</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03538590" w14:textId="77777777" w:rsidR="002C4E1B" w:rsidRDefault="002C4E1B" w:rsidP="00442192">
            <w:pPr>
              <w:widowControl w:val="0"/>
              <w:spacing w:line="276" w:lineRule="auto"/>
              <w:jc w:val="center"/>
              <w:rPr>
                <w:rFonts w:ascii="Arial" w:eastAsia="Arial" w:hAnsi="Arial" w:cs="Arial"/>
                <w:sz w:val="20"/>
                <w:szCs w:val="20"/>
              </w:rPr>
            </w:pPr>
            <w:r>
              <w:rPr>
                <w:sz w:val="22"/>
                <w:szCs w:val="22"/>
              </w:rPr>
              <w:t>11.66</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363786CE"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bl>
    <w:p w14:paraId="01FB76B9" w14:textId="77777777" w:rsidR="002C4E1B" w:rsidRDefault="002C4E1B" w:rsidP="002C4E1B">
      <w:pPr>
        <w:jc w:val="both"/>
      </w:pPr>
    </w:p>
    <w:p w14:paraId="64BC47B5" w14:textId="120E4D0B" w:rsidR="00D429B1" w:rsidRDefault="00D429B1">
      <w:pPr>
        <w:spacing w:after="240"/>
      </w:pPr>
      <w:r>
        <w:br w:type="page"/>
      </w:r>
    </w:p>
    <w:p w14:paraId="6DE95418" w14:textId="0C727610" w:rsidR="009508E6" w:rsidRDefault="00E72645" w:rsidP="009508E6">
      <w:pPr>
        <w:pStyle w:val="Heading1"/>
        <w:jc w:val="both"/>
      </w:pPr>
      <w:bookmarkStart w:id="39" w:name="_Toc167478301"/>
      <w:r w:rsidRPr="00E72645">
        <w:t>Declaration of Generative AI</w:t>
      </w:r>
      <w:bookmarkEnd w:id="39"/>
    </w:p>
    <w:p w14:paraId="2B86710B" w14:textId="77777777" w:rsidR="005D5602" w:rsidRDefault="005D5602" w:rsidP="00EA5BE5">
      <w:pPr>
        <w:spacing w:after="240"/>
      </w:pPr>
    </w:p>
    <w:p w14:paraId="35AE351E" w14:textId="56A24D90" w:rsidR="00EA5BE5" w:rsidRDefault="00EA5BE5" w:rsidP="00EA5BE5">
      <w:pPr>
        <w:spacing w:after="240"/>
      </w:pPr>
      <w:r>
        <w:t>I acknowledge the use of ChatGPT for understanding concepts and rephrasing sentences.</w:t>
      </w:r>
      <w:r w:rsidR="006510A1">
        <w:t xml:space="preserve"> </w:t>
      </w:r>
    </w:p>
    <w:p w14:paraId="77387F96" w14:textId="77777777" w:rsidR="00EA5BE5" w:rsidRDefault="00EA5BE5" w:rsidP="00EA5BE5">
      <w:pPr>
        <w:spacing w:after="240"/>
      </w:pPr>
    </w:p>
    <w:p w14:paraId="49AE5611" w14:textId="0C76AA76" w:rsidR="00D640F1" w:rsidRDefault="00D640F1" w:rsidP="00D429B1">
      <w:pPr>
        <w:spacing w:after="240"/>
      </w:pPr>
    </w:p>
    <w:sectPr w:rsidR="00D640F1">
      <w:footerReference w:type="defaul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9D1C0F" w14:textId="77777777" w:rsidR="00F10237" w:rsidRDefault="00F10237">
      <w:r>
        <w:separator/>
      </w:r>
    </w:p>
  </w:endnote>
  <w:endnote w:type="continuationSeparator" w:id="0">
    <w:p w14:paraId="12C1970B" w14:textId="77777777" w:rsidR="00F10237" w:rsidRDefault="00F10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02676" w14:textId="48D181CE" w:rsidR="00227779" w:rsidRDefault="00227779">
    <w:pPr>
      <w:pStyle w:val="Footer"/>
      <w:jc w:val="center"/>
    </w:pPr>
  </w:p>
  <w:p w14:paraId="0D5EE3AA" w14:textId="77777777" w:rsidR="00227779" w:rsidRDefault="002277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3C097" w14:textId="286D9ED2" w:rsidR="00227779" w:rsidRPr="00227779" w:rsidRDefault="00227779" w:rsidP="00227779">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A4859" w14:textId="6D76C0F3" w:rsidR="000363C9" w:rsidRDefault="000363C9">
    <w:pPr>
      <w:pStyle w:val="Footer"/>
      <w:jc w:val="center"/>
    </w:pPr>
  </w:p>
  <w:p w14:paraId="2FD31C9B" w14:textId="77777777" w:rsidR="00227779" w:rsidRDefault="002277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9551197"/>
      <w:docPartObj>
        <w:docPartGallery w:val="Page Numbers (Bottom of Page)"/>
        <w:docPartUnique/>
      </w:docPartObj>
    </w:sdtPr>
    <w:sdtEndPr>
      <w:rPr>
        <w:noProof/>
      </w:rPr>
    </w:sdtEndPr>
    <w:sdtContent>
      <w:p w14:paraId="6E7BD214" w14:textId="2604BE09" w:rsidR="000363C9" w:rsidRDefault="000363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A7D7A8" w14:textId="77777777" w:rsidR="00227779" w:rsidRDefault="002277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A59E4" w14:textId="2AA76B47" w:rsidR="00A47E27" w:rsidRPr="00227779" w:rsidRDefault="00A47E27" w:rsidP="00227779">
    <w:pPr>
      <w:pStyle w:val="Footer"/>
      <w:jc w:val="center"/>
      <w:rPr>
        <w:lang w:val="en-US"/>
      </w:rPr>
    </w:pPr>
    <w:r>
      <w:rPr>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B330C" w14:textId="77777777" w:rsidR="00F10237" w:rsidRDefault="00F10237">
      <w:r>
        <w:separator/>
      </w:r>
    </w:p>
  </w:footnote>
  <w:footnote w:type="continuationSeparator" w:id="0">
    <w:p w14:paraId="3ECA1D09" w14:textId="77777777" w:rsidR="00F10237" w:rsidRDefault="00F102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visionView w:inkAnnotation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0F1"/>
    <w:rsid w:val="0000113B"/>
    <w:rsid w:val="000014E7"/>
    <w:rsid w:val="00001898"/>
    <w:rsid w:val="00001B9A"/>
    <w:rsid w:val="000027B9"/>
    <w:rsid w:val="000044CD"/>
    <w:rsid w:val="00005F1C"/>
    <w:rsid w:val="00007922"/>
    <w:rsid w:val="000101A4"/>
    <w:rsid w:val="000129E0"/>
    <w:rsid w:val="00012EA8"/>
    <w:rsid w:val="00013E88"/>
    <w:rsid w:val="00014268"/>
    <w:rsid w:val="000146D5"/>
    <w:rsid w:val="00014D7A"/>
    <w:rsid w:val="00014F75"/>
    <w:rsid w:val="000150B4"/>
    <w:rsid w:val="00016099"/>
    <w:rsid w:val="0001627D"/>
    <w:rsid w:val="0001692F"/>
    <w:rsid w:val="00016BD7"/>
    <w:rsid w:val="00017D02"/>
    <w:rsid w:val="00020828"/>
    <w:rsid w:val="0002122F"/>
    <w:rsid w:val="00021379"/>
    <w:rsid w:val="00022233"/>
    <w:rsid w:val="0002305A"/>
    <w:rsid w:val="000231A6"/>
    <w:rsid w:val="00023740"/>
    <w:rsid w:val="00023B5E"/>
    <w:rsid w:val="000245F0"/>
    <w:rsid w:val="00024E08"/>
    <w:rsid w:val="00024F33"/>
    <w:rsid w:val="00024FEA"/>
    <w:rsid w:val="0002626E"/>
    <w:rsid w:val="00026405"/>
    <w:rsid w:val="00026BD6"/>
    <w:rsid w:val="00027166"/>
    <w:rsid w:val="00030C49"/>
    <w:rsid w:val="00030F61"/>
    <w:rsid w:val="00030FA8"/>
    <w:rsid w:val="000310C9"/>
    <w:rsid w:val="0003191B"/>
    <w:rsid w:val="00031DCC"/>
    <w:rsid w:val="00033B44"/>
    <w:rsid w:val="00034617"/>
    <w:rsid w:val="000359E5"/>
    <w:rsid w:val="000363C9"/>
    <w:rsid w:val="000363D8"/>
    <w:rsid w:val="0003712A"/>
    <w:rsid w:val="00037250"/>
    <w:rsid w:val="000372CF"/>
    <w:rsid w:val="00037D6F"/>
    <w:rsid w:val="0004083F"/>
    <w:rsid w:val="00040EC3"/>
    <w:rsid w:val="00041F72"/>
    <w:rsid w:val="000422E3"/>
    <w:rsid w:val="00042F02"/>
    <w:rsid w:val="000436BA"/>
    <w:rsid w:val="00043E96"/>
    <w:rsid w:val="0004447D"/>
    <w:rsid w:val="00044649"/>
    <w:rsid w:val="0004592D"/>
    <w:rsid w:val="00045E2F"/>
    <w:rsid w:val="00046B16"/>
    <w:rsid w:val="00046DE9"/>
    <w:rsid w:val="00047190"/>
    <w:rsid w:val="000471DB"/>
    <w:rsid w:val="0004737E"/>
    <w:rsid w:val="000475D3"/>
    <w:rsid w:val="00047F2A"/>
    <w:rsid w:val="00050003"/>
    <w:rsid w:val="00050458"/>
    <w:rsid w:val="00050A1B"/>
    <w:rsid w:val="00053244"/>
    <w:rsid w:val="000534AB"/>
    <w:rsid w:val="0005358D"/>
    <w:rsid w:val="000535EB"/>
    <w:rsid w:val="00054E37"/>
    <w:rsid w:val="0005505E"/>
    <w:rsid w:val="00055B2C"/>
    <w:rsid w:val="00056185"/>
    <w:rsid w:val="000564B2"/>
    <w:rsid w:val="00056F49"/>
    <w:rsid w:val="000576EF"/>
    <w:rsid w:val="00057D55"/>
    <w:rsid w:val="00057D59"/>
    <w:rsid w:val="00057E70"/>
    <w:rsid w:val="00060262"/>
    <w:rsid w:val="00061B0D"/>
    <w:rsid w:val="00061DF2"/>
    <w:rsid w:val="00061F02"/>
    <w:rsid w:val="00062926"/>
    <w:rsid w:val="000641AE"/>
    <w:rsid w:val="00064771"/>
    <w:rsid w:val="000649E1"/>
    <w:rsid w:val="00064F54"/>
    <w:rsid w:val="00065B0B"/>
    <w:rsid w:val="00065B6F"/>
    <w:rsid w:val="0007018D"/>
    <w:rsid w:val="00070FFC"/>
    <w:rsid w:val="00070FFE"/>
    <w:rsid w:val="000714B7"/>
    <w:rsid w:val="000714D1"/>
    <w:rsid w:val="00072468"/>
    <w:rsid w:val="00072583"/>
    <w:rsid w:val="000729F9"/>
    <w:rsid w:val="00073419"/>
    <w:rsid w:val="00073B3C"/>
    <w:rsid w:val="00075542"/>
    <w:rsid w:val="00075701"/>
    <w:rsid w:val="0007576F"/>
    <w:rsid w:val="000763E4"/>
    <w:rsid w:val="000769F9"/>
    <w:rsid w:val="00076AE7"/>
    <w:rsid w:val="00077DBA"/>
    <w:rsid w:val="0008073D"/>
    <w:rsid w:val="00080B06"/>
    <w:rsid w:val="00080B13"/>
    <w:rsid w:val="00080D70"/>
    <w:rsid w:val="00081C49"/>
    <w:rsid w:val="000824C2"/>
    <w:rsid w:val="00083040"/>
    <w:rsid w:val="0008321F"/>
    <w:rsid w:val="00083D97"/>
    <w:rsid w:val="000843F5"/>
    <w:rsid w:val="0008476D"/>
    <w:rsid w:val="000855C3"/>
    <w:rsid w:val="00085A81"/>
    <w:rsid w:val="000860A4"/>
    <w:rsid w:val="00086F5A"/>
    <w:rsid w:val="00087312"/>
    <w:rsid w:val="000874F0"/>
    <w:rsid w:val="00087A79"/>
    <w:rsid w:val="00087E15"/>
    <w:rsid w:val="0009000A"/>
    <w:rsid w:val="00090564"/>
    <w:rsid w:val="0009130A"/>
    <w:rsid w:val="000921FA"/>
    <w:rsid w:val="000926BF"/>
    <w:rsid w:val="00092DD3"/>
    <w:rsid w:val="00092F4E"/>
    <w:rsid w:val="000937CA"/>
    <w:rsid w:val="00094006"/>
    <w:rsid w:val="0009501D"/>
    <w:rsid w:val="00095101"/>
    <w:rsid w:val="000954D4"/>
    <w:rsid w:val="00095AE3"/>
    <w:rsid w:val="00096BDB"/>
    <w:rsid w:val="00096FA4"/>
    <w:rsid w:val="000970E2"/>
    <w:rsid w:val="0009741F"/>
    <w:rsid w:val="00097E8F"/>
    <w:rsid w:val="000A13FD"/>
    <w:rsid w:val="000A169E"/>
    <w:rsid w:val="000A25D7"/>
    <w:rsid w:val="000A29C9"/>
    <w:rsid w:val="000A2A5A"/>
    <w:rsid w:val="000A2C8C"/>
    <w:rsid w:val="000A477D"/>
    <w:rsid w:val="000A4E55"/>
    <w:rsid w:val="000A51BE"/>
    <w:rsid w:val="000A58C8"/>
    <w:rsid w:val="000A5ECC"/>
    <w:rsid w:val="000A6497"/>
    <w:rsid w:val="000A6D7A"/>
    <w:rsid w:val="000B0138"/>
    <w:rsid w:val="000B0228"/>
    <w:rsid w:val="000B07C5"/>
    <w:rsid w:val="000B09E5"/>
    <w:rsid w:val="000B0E94"/>
    <w:rsid w:val="000B171C"/>
    <w:rsid w:val="000B1D66"/>
    <w:rsid w:val="000B271E"/>
    <w:rsid w:val="000B338B"/>
    <w:rsid w:val="000B3B97"/>
    <w:rsid w:val="000B579B"/>
    <w:rsid w:val="000B5C7A"/>
    <w:rsid w:val="000B5E19"/>
    <w:rsid w:val="000B6857"/>
    <w:rsid w:val="000B6AEC"/>
    <w:rsid w:val="000B73EF"/>
    <w:rsid w:val="000B7D4E"/>
    <w:rsid w:val="000C06E9"/>
    <w:rsid w:val="000C0F7E"/>
    <w:rsid w:val="000C3F67"/>
    <w:rsid w:val="000C480E"/>
    <w:rsid w:val="000C51C1"/>
    <w:rsid w:val="000C63D0"/>
    <w:rsid w:val="000C6AB9"/>
    <w:rsid w:val="000C6AE3"/>
    <w:rsid w:val="000C6E85"/>
    <w:rsid w:val="000C72C2"/>
    <w:rsid w:val="000C77EC"/>
    <w:rsid w:val="000C7D4E"/>
    <w:rsid w:val="000D048D"/>
    <w:rsid w:val="000D04C9"/>
    <w:rsid w:val="000D0645"/>
    <w:rsid w:val="000D08D0"/>
    <w:rsid w:val="000D0E36"/>
    <w:rsid w:val="000D13DE"/>
    <w:rsid w:val="000D196B"/>
    <w:rsid w:val="000D1AA4"/>
    <w:rsid w:val="000D1FA4"/>
    <w:rsid w:val="000D2992"/>
    <w:rsid w:val="000D2A4D"/>
    <w:rsid w:val="000D2AFA"/>
    <w:rsid w:val="000D2CB6"/>
    <w:rsid w:val="000D3456"/>
    <w:rsid w:val="000D58E6"/>
    <w:rsid w:val="000D60F2"/>
    <w:rsid w:val="000D6E33"/>
    <w:rsid w:val="000D7035"/>
    <w:rsid w:val="000D7087"/>
    <w:rsid w:val="000E0361"/>
    <w:rsid w:val="000E0417"/>
    <w:rsid w:val="000E0441"/>
    <w:rsid w:val="000E0B98"/>
    <w:rsid w:val="000E0ECF"/>
    <w:rsid w:val="000E3397"/>
    <w:rsid w:val="000E3B1C"/>
    <w:rsid w:val="000E5444"/>
    <w:rsid w:val="000E5756"/>
    <w:rsid w:val="000E5E51"/>
    <w:rsid w:val="000E67DA"/>
    <w:rsid w:val="000F000C"/>
    <w:rsid w:val="000F0BE2"/>
    <w:rsid w:val="000F1CF3"/>
    <w:rsid w:val="000F2581"/>
    <w:rsid w:val="000F25D5"/>
    <w:rsid w:val="000F2C39"/>
    <w:rsid w:val="000F2FB4"/>
    <w:rsid w:val="000F36F2"/>
    <w:rsid w:val="000F42F5"/>
    <w:rsid w:val="000F4461"/>
    <w:rsid w:val="000F4589"/>
    <w:rsid w:val="000F4A26"/>
    <w:rsid w:val="000F4AA4"/>
    <w:rsid w:val="000F6548"/>
    <w:rsid w:val="000F6C4B"/>
    <w:rsid w:val="000F6EDD"/>
    <w:rsid w:val="000F74D1"/>
    <w:rsid w:val="000F78E6"/>
    <w:rsid w:val="00100A16"/>
    <w:rsid w:val="0010214D"/>
    <w:rsid w:val="00102BFF"/>
    <w:rsid w:val="001031C4"/>
    <w:rsid w:val="0010397F"/>
    <w:rsid w:val="00103BE5"/>
    <w:rsid w:val="00106D77"/>
    <w:rsid w:val="001071E1"/>
    <w:rsid w:val="001071FD"/>
    <w:rsid w:val="00107327"/>
    <w:rsid w:val="001101EA"/>
    <w:rsid w:val="0011169A"/>
    <w:rsid w:val="0011192B"/>
    <w:rsid w:val="00111E61"/>
    <w:rsid w:val="0011292C"/>
    <w:rsid w:val="00112E83"/>
    <w:rsid w:val="00113291"/>
    <w:rsid w:val="001133CD"/>
    <w:rsid w:val="001136C4"/>
    <w:rsid w:val="00114697"/>
    <w:rsid w:val="00115582"/>
    <w:rsid w:val="00116385"/>
    <w:rsid w:val="00116EF1"/>
    <w:rsid w:val="001171A7"/>
    <w:rsid w:val="00117330"/>
    <w:rsid w:val="0011747C"/>
    <w:rsid w:val="00117AD4"/>
    <w:rsid w:val="0012080B"/>
    <w:rsid w:val="001209EF"/>
    <w:rsid w:val="00120DEE"/>
    <w:rsid w:val="00120F47"/>
    <w:rsid w:val="00120FA6"/>
    <w:rsid w:val="00121265"/>
    <w:rsid w:val="001219A1"/>
    <w:rsid w:val="0012201E"/>
    <w:rsid w:val="00122A3B"/>
    <w:rsid w:val="00123AB5"/>
    <w:rsid w:val="00123D06"/>
    <w:rsid w:val="001249A2"/>
    <w:rsid w:val="00125A65"/>
    <w:rsid w:val="00125AA1"/>
    <w:rsid w:val="0012735D"/>
    <w:rsid w:val="001278D1"/>
    <w:rsid w:val="00130A8E"/>
    <w:rsid w:val="00130DDA"/>
    <w:rsid w:val="00130F3E"/>
    <w:rsid w:val="001310C8"/>
    <w:rsid w:val="00131575"/>
    <w:rsid w:val="00131937"/>
    <w:rsid w:val="00131C4A"/>
    <w:rsid w:val="001329FC"/>
    <w:rsid w:val="00132AB9"/>
    <w:rsid w:val="00133AEF"/>
    <w:rsid w:val="00133D7B"/>
    <w:rsid w:val="0013486A"/>
    <w:rsid w:val="0013489A"/>
    <w:rsid w:val="00136227"/>
    <w:rsid w:val="001369E3"/>
    <w:rsid w:val="0013738D"/>
    <w:rsid w:val="001375B2"/>
    <w:rsid w:val="001404BA"/>
    <w:rsid w:val="001407FB"/>
    <w:rsid w:val="00140F6E"/>
    <w:rsid w:val="00141427"/>
    <w:rsid w:val="00142DFB"/>
    <w:rsid w:val="001431F7"/>
    <w:rsid w:val="001442DB"/>
    <w:rsid w:val="00144504"/>
    <w:rsid w:val="00144590"/>
    <w:rsid w:val="00144B08"/>
    <w:rsid w:val="00145163"/>
    <w:rsid w:val="0014563E"/>
    <w:rsid w:val="00145A51"/>
    <w:rsid w:val="00146A35"/>
    <w:rsid w:val="00146CE9"/>
    <w:rsid w:val="0014716B"/>
    <w:rsid w:val="001500EE"/>
    <w:rsid w:val="00152A9C"/>
    <w:rsid w:val="001537FC"/>
    <w:rsid w:val="00154A39"/>
    <w:rsid w:val="00154DB3"/>
    <w:rsid w:val="0015652E"/>
    <w:rsid w:val="001565D6"/>
    <w:rsid w:val="0015714A"/>
    <w:rsid w:val="001573B4"/>
    <w:rsid w:val="001574C4"/>
    <w:rsid w:val="00157E6C"/>
    <w:rsid w:val="00157E8F"/>
    <w:rsid w:val="00157EB5"/>
    <w:rsid w:val="001601FF"/>
    <w:rsid w:val="00161073"/>
    <w:rsid w:val="00161252"/>
    <w:rsid w:val="001629C3"/>
    <w:rsid w:val="0016349B"/>
    <w:rsid w:val="00163B5A"/>
    <w:rsid w:val="00163C94"/>
    <w:rsid w:val="0016601A"/>
    <w:rsid w:val="001663D9"/>
    <w:rsid w:val="0016716F"/>
    <w:rsid w:val="00167235"/>
    <w:rsid w:val="0017078E"/>
    <w:rsid w:val="00170B20"/>
    <w:rsid w:val="00170D4F"/>
    <w:rsid w:val="001711F2"/>
    <w:rsid w:val="00171B50"/>
    <w:rsid w:val="00171C44"/>
    <w:rsid w:val="00171E94"/>
    <w:rsid w:val="0017305E"/>
    <w:rsid w:val="00173483"/>
    <w:rsid w:val="0017477F"/>
    <w:rsid w:val="00174EBD"/>
    <w:rsid w:val="00175533"/>
    <w:rsid w:val="00175738"/>
    <w:rsid w:val="0017698C"/>
    <w:rsid w:val="001770DD"/>
    <w:rsid w:val="00177231"/>
    <w:rsid w:val="001800C8"/>
    <w:rsid w:val="001800ED"/>
    <w:rsid w:val="00180728"/>
    <w:rsid w:val="00181DAB"/>
    <w:rsid w:val="00182127"/>
    <w:rsid w:val="00182711"/>
    <w:rsid w:val="00184A99"/>
    <w:rsid w:val="00185636"/>
    <w:rsid w:val="001858E3"/>
    <w:rsid w:val="0018673D"/>
    <w:rsid w:val="00187254"/>
    <w:rsid w:val="00187A75"/>
    <w:rsid w:val="001900AB"/>
    <w:rsid w:val="00190515"/>
    <w:rsid w:val="00190EDE"/>
    <w:rsid w:val="00191C9D"/>
    <w:rsid w:val="00192B3E"/>
    <w:rsid w:val="00193831"/>
    <w:rsid w:val="00193DEC"/>
    <w:rsid w:val="001943B9"/>
    <w:rsid w:val="0019476A"/>
    <w:rsid w:val="001951CE"/>
    <w:rsid w:val="001954C7"/>
    <w:rsid w:val="001954E8"/>
    <w:rsid w:val="00195584"/>
    <w:rsid w:val="0019625E"/>
    <w:rsid w:val="00196CB5"/>
    <w:rsid w:val="0019713B"/>
    <w:rsid w:val="001971D9"/>
    <w:rsid w:val="00197561"/>
    <w:rsid w:val="00197FDB"/>
    <w:rsid w:val="001A0AE0"/>
    <w:rsid w:val="001A0C4C"/>
    <w:rsid w:val="001A111A"/>
    <w:rsid w:val="001A15C8"/>
    <w:rsid w:val="001A389F"/>
    <w:rsid w:val="001A42FA"/>
    <w:rsid w:val="001A5C7A"/>
    <w:rsid w:val="001A6113"/>
    <w:rsid w:val="001A62F3"/>
    <w:rsid w:val="001A737E"/>
    <w:rsid w:val="001A7609"/>
    <w:rsid w:val="001A78BA"/>
    <w:rsid w:val="001A7FFB"/>
    <w:rsid w:val="001B0B71"/>
    <w:rsid w:val="001B1514"/>
    <w:rsid w:val="001B2396"/>
    <w:rsid w:val="001B253B"/>
    <w:rsid w:val="001B3CB6"/>
    <w:rsid w:val="001B3F94"/>
    <w:rsid w:val="001B47CA"/>
    <w:rsid w:val="001B5161"/>
    <w:rsid w:val="001B586D"/>
    <w:rsid w:val="001B61BE"/>
    <w:rsid w:val="001B634D"/>
    <w:rsid w:val="001B66E7"/>
    <w:rsid w:val="001B6A9A"/>
    <w:rsid w:val="001B7112"/>
    <w:rsid w:val="001B73FA"/>
    <w:rsid w:val="001B7723"/>
    <w:rsid w:val="001B780D"/>
    <w:rsid w:val="001B7AA1"/>
    <w:rsid w:val="001C23A7"/>
    <w:rsid w:val="001C30D6"/>
    <w:rsid w:val="001C336D"/>
    <w:rsid w:val="001C3699"/>
    <w:rsid w:val="001C391E"/>
    <w:rsid w:val="001C3B6E"/>
    <w:rsid w:val="001C45D4"/>
    <w:rsid w:val="001C5BC3"/>
    <w:rsid w:val="001C60EE"/>
    <w:rsid w:val="001C678C"/>
    <w:rsid w:val="001C6B75"/>
    <w:rsid w:val="001C7984"/>
    <w:rsid w:val="001C7C2B"/>
    <w:rsid w:val="001C7E84"/>
    <w:rsid w:val="001D032C"/>
    <w:rsid w:val="001D0898"/>
    <w:rsid w:val="001D0A0F"/>
    <w:rsid w:val="001D0B09"/>
    <w:rsid w:val="001D1336"/>
    <w:rsid w:val="001D1ACE"/>
    <w:rsid w:val="001D1FF3"/>
    <w:rsid w:val="001D28D1"/>
    <w:rsid w:val="001D3499"/>
    <w:rsid w:val="001D49D3"/>
    <w:rsid w:val="001D57D9"/>
    <w:rsid w:val="001D5AEB"/>
    <w:rsid w:val="001D5F12"/>
    <w:rsid w:val="001D5F91"/>
    <w:rsid w:val="001D65F4"/>
    <w:rsid w:val="001D715B"/>
    <w:rsid w:val="001D7452"/>
    <w:rsid w:val="001D7B0B"/>
    <w:rsid w:val="001E0683"/>
    <w:rsid w:val="001E1086"/>
    <w:rsid w:val="001E115F"/>
    <w:rsid w:val="001E151E"/>
    <w:rsid w:val="001E37FD"/>
    <w:rsid w:val="001E3C79"/>
    <w:rsid w:val="001E3E18"/>
    <w:rsid w:val="001E4F21"/>
    <w:rsid w:val="001E5022"/>
    <w:rsid w:val="001E5C95"/>
    <w:rsid w:val="001E5F91"/>
    <w:rsid w:val="001E6361"/>
    <w:rsid w:val="001E6C8F"/>
    <w:rsid w:val="001F03F4"/>
    <w:rsid w:val="001F0792"/>
    <w:rsid w:val="001F0C70"/>
    <w:rsid w:val="001F15BA"/>
    <w:rsid w:val="001F19D3"/>
    <w:rsid w:val="001F2337"/>
    <w:rsid w:val="001F2F3C"/>
    <w:rsid w:val="001F325E"/>
    <w:rsid w:val="001F3328"/>
    <w:rsid w:val="001F3DB6"/>
    <w:rsid w:val="001F3F78"/>
    <w:rsid w:val="001F4EC1"/>
    <w:rsid w:val="001F50DB"/>
    <w:rsid w:val="001F5801"/>
    <w:rsid w:val="001F6272"/>
    <w:rsid w:val="001F6380"/>
    <w:rsid w:val="001F6CF5"/>
    <w:rsid w:val="001F78E7"/>
    <w:rsid w:val="001F7F9A"/>
    <w:rsid w:val="00201065"/>
    <w:rsid w:val="0020121E"/>
    <w:rsid w:val="00202811"/>
    <w:rsid w:val="00202C39"/>
    <w:rsid w:val="00202EEC"/>
    <w:rsid w:val="00203200"/>
    <w:rsid w:val="0020448D"/>
    <w:rsid w:val="0020496C"/>
    <w:rsid w:val="00204C5D"/>
    <w:rsid w:val="002055D4"/>
    <w:rsid w:val="002059A7"/>
    <w:rsid w:val="00205FB7"/>
    <w:rsid w:val="002060A6"/>
    <w:rsid w:val="0020699F"/>
    <w:rsid w:val="00206BDC"/>
    <w:rsid w:val="00206C65"/>
    <w:rsid w:val="00206EF9"/>
    <w:rsid w:val="00207AD8"/>
    <w:rsid w:val="00210B7F"/>
    <w:rsid w:val="00211739"/>
    <w:rsid w:val="00211DE8"/>
    <w:rsid w:val="00211E0B"/>
    <w:rsid w:val="00211E25"/>
    <w:rsid w:val="00212F87"/>
    <w:rsid w:val="00212FE5"/>
    <w:rsid w:val="002138AC"/>
    <w:rsid w:val="00214A5E"/>
    <w:rsid w:val="002159C6"/>
    <w:rsid w:val="002159EE"/>
    <w:rsid w:val="002168A0"/>
    <w:rsid w:val="00216E73"/>
    <w:rsid w:val="002179BF"/>
    <w:rsid w:val="00217AE4"/>
    <w:rsid w:val="0022120B"/>
    <w:rsid w:val="00221345"/>
    <w:rsid w:val="00221959"/>
    <w:rsid w:val="00221EF2"/>
    <w:rsid w:val="00222B19"/>
    <w:rsid w:val="0022476F"/>
    <w:rsid w:val="00224FFC"/>
    <w:rsid w:val="002252B1"/>
    <w:rsid w:val="002259AD"/>
    <w:rsid w:val="00225B1F"/>
    <w:rsid w:val="002268F9"/>
    <w:rsid w:val="0022705F"/>
    <w:rsid w:val="0022711B"/>
    <w:rsid w:val="0022712B"/>
    <w:rsid w:val="0022733B"/>
    <w:rsid w:val="00227396"/>
    <w:rsid w:val="002273CC"/>
    <w:rsid w:val="00227779"/>
    <w:rsid w:val="00227D9D"/>
    <w:rsid w:val="002301CE"/>
    <w:rsid w:val="00230337"/>
    <w:rsid w:val="00230E13"/>
    <w:rsid w:val="0023130A"/>
    <w:rsid w:val="00231963"/>
    <w:rsid w:val="00232A71"/>
    <w:rsid w:val="0023355F"/>
    <w:rsid w:val="002336BD"/>
    <w:rsid w:val="00233B4C"/>
    <w:rsid w:val="00234198"/>
    <w:rsid w:val="00234285"/>
    <w:rsid w:val="00234AE2"/>
    <w:rsid w:val="00235292"/>
    <w:rsid w:val="00235E90"/>
    <w:rsid w:val="00236DC7"/>
    <w:rsid w:val="002370C9"/>
    <w:rsid w:val="00237526"/>
    <w:rsid w:val="00240E2A"/>
    <w:rsid w:val="00242579"/>
    <w:rsid w:val="002425CF"/>
    <w:rsid w:val="002436C4"/>
    <w:rsid w:val="00243FEB"/>
    <w:rsid w:val="002444DF"/>
    <w:rsid w:val="002452C1"/>
    <w:rsid w:val="002455CC"/>
    <w:rsid w:val="0024565D"/>
    <w:rsid w:val="0024623A"/>
    <w:rsid w:val="002474BE"/>
    <w:rsid w:val="00247651"/>
    <w:rsid w:val="0024766C"/>
    <w:rsid w:val="002500B8"/>
    <w:rsid w:val="00251727"/>
    <w:rsid w:val="0025501F"/>
    <w:rsid w:val="0025553A"/>
    <w:rsid w:val="002556D0"/>
    <w:rsid w:val="00255800"/>
    <w:rsid w:val="00255C9D"/>
    <w:rsid w:val="0025659C"/>
    <w:rsid w:val="002606E2"/>
    <w:rsid w:val="002608B1"/>
    <w:rsid w:val="00260A17"/>
    <w:rsid w:val="00260DE6"/>
    <w:rsid w:val="00261A7D"/>
    <w:rsid w:val="00261B80"/>
    <w:rsid w:val="00261FFE"/>
    <w:rsid w:val="00262E76"/>
    <w:rsid w:val="00263214"/>
    <w:rsid w:val="002635C5"/>
    <w:rsid w:val="0026382E"/>
    <w:rsid w:val="002639DC"/>
    <w:rsid w:val="00263A18"/>
    <w:rsid w:val="00263E06"/>
    <w:rsid w:val="00264C6E"/>
    <w:rsid w:val="002659D9"/>
    <w:rsid w:val="00265CD0"/>
    <w:rsid w:val="00265D59"/>
    <w:rsid w:val="002663E5"/>
    <w:rsid w:val="0026726F"/>
    <w:rsid w:val="002676DA"/>
    <w:rsid w:val="002678B6"/>
    <w:rsid w:val="002702DD"/>
    <w:rsid w:val="00271B07"/>
    <w:rsid w:val="0027221C"/>
    <w:rsid w:val="0027254B"/>
    <w:rsid w:val="00272652"/>
    <w:rsid w:val="00273E07"/>
    <w:rsid w:val="00274893"/>
    <w:rsid w:val="002751D5"/>
    <w:rsid w:val="00275923"/>
    <w:rsid w:val="00275965"/>
    <w:rsid w:val="00275D09"/>
    <w:rsid w:val="00277364"/>
    <w:rsid w:val="00277859"/>
    <w:rsid w:val="002800E9"/>
    <w:rsid w:val="00280561"/>
    <w:rsid w:val="00281276"/>
    <w:rsid w:val="00281FC9"/>
    <w:rsid w:val="00285628"/>
    <w:rsid w:val="00285EAF"/>
    <w:rsid w:val="00287ECA"/>
    <w:rsid w:val="00290FF6"/>
    <w:rsid w:val="002928A1"/>
    <w:rsid w:val="00292F3C"/>
    <w:rsid w:val="002939DD"/>
    <w:rsid w:val="00297C9C"/>
    <w:rsid w:val="002A037B"/>
    <w:rsid w:val="002A07A5"/>
    <w:rsid w:val="002A0B51"/>
    <w:rsid w:val="002A0E96"/>
    <w:rsid w:val="002A1C44"/>
    <w:rsid w:val="002A1EFB"/>
    <w:rsid w:val="002A24EB"/>
    <w:rsid w:val="002A2BA1"/>
    <w:rsid w:val="002A38CE"/>
    <w:rsid w:val="002A5BCD"/>
    <w:rsid w:val="002A5DAC"/>
    <w:rsid w:val="002B0560"/>
    <w:rsid w:val="002B0C9C"/>
    <w:rsid w:val="002B1463"/>
    <w:rsid w:val="002B16F5"/>
    <w:rsid w:val="002B416A"/>
    <w:rsid w:val="002B4829"/>
    <w:rsid w:val="002B5240"/>
    <w:rsid w:val="002B543A"/>
    <w:rsid w:val="002B5B7A"/>
    <w:rsid w:val="002B681F"/>
    <w:rsid w:val="002B68D7"/>
    <w:rsid w:val="002B766E"/>
    <w:rsid w:val="002B7E91"/>
    <w:rsid w:val="002B7F1A"/>
    <w:rsid w:val="002C0531"/>
    <w:rsid w:val="002C09F4"/>
    <w:rsid w:val="002C1F39"/>
    <w:rsid w:val="002C2869"/>
    <w:rsid w:val="002C2A77"/>
    <w:rsid w:val="002C2BC8"/>
    <w:rsid w:val="002C2BD4"/>
    <w:rsid w:val="002C2C04"/>
    <w:rsid w:val="002C2E2D"/>
    <w:rsid w:val="002C374B"/>
    <w:rsid w:val="002C39C5"/>
    <w:rsid w:val="002C4216"/>
    <w:rsid w:val="002C4E1B"/>
    <w:rsid w:val="002C4E83"/>
    <w:rsid w:val="002C58B2"/>
    <w:rsid w:val="002C5F04"/>
    <w:rsid w:val="002C6007"/>
    <w:rsid w:val="002C66D8"/>
    <w:rsid w:val="002C6C95"/>
    <w:rsid w:val="002C7878"/>
    <w:rsid w:val="002C7D3E"/>
    <w:rsid w:val="002C7E44"/>
    <w:rsid w:val="002D0BF5"/>
    <w:rsid w:val="002D1838"/>
    <w:rsid w:val="002D24F1"/>
    <w:rsid w:val="002D33CA"/>
    <w:rsid w:val="002D3C45"/>
    <w:rsid w:val="002D4468"/>
    <w:rsid w:val="002D4DA6"/>
    <w:rsid w:val="002D58D9"/>
    <w:rsid w:val="002D7704"/>
    <w:rsid w:val="002D770A"/>
    <w:rsid w:val="002D77A0"/>
    <w:rsid w:val="002D7D0F"/>
    <w:rsid w:val="002E0097"/>
    <w:rsid w:val="002E0C6B"/>
    <w:rsid w:val="002E0E0C"/>
    <w:rsid w:val="002E0E1C"/>
    <w:rsid w:val="002E13BC"/>
    <w:rsid w:val="002E1897"/>
    <w:rsid w:val="002E2646"/>
    <w:rsid w:val="002E2A13"/>
    <w:rsid w:val="002E2A4D"/>
    <w:rsid w:val="002E4052"/>
    <w:rsid w:val="002E40A9"/>
    <w:rsid w:val="002E456F"/>
    <w:rsid w:val="002E5128"/>
    <w:rsid w:val="002E51EF"/>
    <w:rsid w:val="002E58AB"/>
    <w:rsid w:val="002E6614"/>
    <w:rsid w:val="002E6734"/>
    <w:rsid w:val="002E6AE3"/>
    <w:rsid w:val="002E6DAC"/>
    <w:rsid w:val="002E7593"/>
    <w:rsid w:val="002E7FC8"/>
    <w:rsid w:val="002F046A"/>
    <w:rsid w:val="002F0C4D"/>
    <w:rsid w:val="002F1EF9"/>
    <w:rsid w:val="002F5F58"/>
    <w:rsid w:val="002F6BC4"/>
    <w:rsid w:val="00301DC1"/>
    <w:rsid w:val="00301E0D"/>
    <w:rsid w:val="003048FB"/>
    <w:rsid w:val="0030509A"/>
    <w:rsid w:val="0030531E"/>
    <w:rsid w:val="00306064"/>
    <w:rsid w:val="0030680F"/>
    <w:rsid w:val="00307571"/>
    <w:rsid w:val="00307D6E"/>
    <w:rsid w:val="0031088D"/>
    <w:rsid w:val="003111C1"/>
    <w:rsid w:val="0031199E"/>
    <w:rsid w:val="00313305"/>
    <w:rsid w:val="0031362E"/>
    <w:rsid w:val="003142D6"/>
    <w:rsid w:val="00315A10"/>
    <w:rsid w:val="00315D73"/>
    <w:rsid w:val="00316036"/>
    <w:rsid w:val="00316156"/>
    <w:rsid w:val="00316A05"/>
    <w:rsid w:val="00316A60"/>
    <w:rsid w:val="00317483"/>
    <w:rsid w:val="0031795C"/>
    <w:rsid w:val="003201A1"/>
    <w:rsid w:val="003223A8"/>
    <w:rsid w:val="00322BA9"/>
    <w:rsid w:val="0032385E"/>
    <w:rsid w:val="00324C34"/>
    <w:rsid w:val="00324E41"/>
    <w:rsid w:val="0032600D"/>
    <w:rsid w:val="00326C1A"/>
    <w:rsid w:val="003272C3"/>
    <w:rsid w:val="00327749"/>
    <w:rsid w:val="00327D09"/>
    <w:rsid w:val="00327EA0"/>
    <w:rsid w:val="00330489"/>
    <w:rsid w:val="0033075C"/>
    <w:rsid w:val="00330B9A"/>
    <w:rsid w:val="00330CC7"/>
    <w:rsid w:val="00330F46"/>
    <w:rsid w:val="00331290"/>
    <w:rsid w:val="00331E45"/>
    <w:rsid w:val="00332BF4"/>
    <w:rsid w:val="003331A5"/>
    <w:rsid w:val="0033327D"/>
    <w:rsid w:val="003339A5"/>
    <w:rsid w:val="00334EE2"/>
    <w:rsid w:val="00335046"/>
    <w:rsid w:val="00335353"/>
    <w:rsid w:val="00335CC8"/>
    <w:rsid w:val="0033646D"/>
    <w:rsid w:val="00336B3F"/>
    <w:rsid w:val="0033700D"/>
    <w:rsid w:val="00337910"/>
    <w:rsid w:val="00340216"/>
    <w:rsid w:val="00340C91"/>
    <w:rsid w:val="00340EA8"/>
    <w:rsid w:val="003412A7"/>
    <w:rsid w:val="00342A55"/>
    <w:rsid w:val="00342E06"/>
    <w:rsid w:val="00343458"/>
    <w:rsid w:val="00343AD3"/>
    <w:rsid w:val="003455F8"/>
    <w:rsid w:val="00346306"/>
    <w:rsid w:val="00351932"/>
    <w:rsid w:val="00351A18"/>
    <w:rsid w:val="00351BFB"/>
    <w:rsid w:val="00352DF7"/>
    <w:rsid w:val="00352F82"/>
    <w:rsid w:val="00353DC9"/>
    <w:rsid w:val="00354317"/>
    <w:rsid w:val="003546DA"/>
    <w:rsid w:val="00355017"/>
    <w:rsid w:val="003550E0"/>
    <w:rsid w:val="00357970"/>
    <w:rsid w:val="00361330"/>
    <w:rsid w:val="0036312E"/>
    <w:rsid w:val="00364646"/>
    <w:rsid w:val="00364D71"/>
    <w:rsid w:val="00364F69"/>
    <w:rsid w:val="00365839"/>
    <w:rsid w:val="003663AF"/>
    <w:rsid w:val="00366E9C"/>
    <w:rsid w:val="00366EF5"/>
    <w:rsid w:val="0036732D"/>
    <w:rsid w:val="003675AF"/>
    <w:rsid w:val="00370039"/>
    <w:rsid w:val="00372142"/>
    <w:rsid w:val="0037358C"/>
    <w:rsid w:val="00373832"/>
    <w:rsid w:val="00373B65"/>
    <w:rsid w:val="0037448E"/>
    <w:rsid w:val="00374927"/>
    <w:rsid w:val="003756F6"/>
    <w:rsid w:val="003761C8"/>
    <w:rsid w:val="0037684D"/>
    <w:rsid w:val="003777CF"/>
    <w:rsid w:val="00377A29"/>
    <w:rsid w:val="00380F81"/>
    <w:rsid w:val="0038173F"/>
    <w:rsid w:val="00381C36"/>
    <w:rsid w:val="00382D39"/>
    <w:rsid w:val="00383445"/>
    <w:rsid w:val="0038368B"/>
    <w:rsid w:val="00383D91"/>
    <w:rsid w:val="00384616"/>
    <w:rsid w:val="00385C6A"/>
    <w:rsid w:val="00385DB5"/>
    <w:rsid w:val="0038686C"/>
    <w:rsid w:val="0038791F"/>
    <w:rsid w:val="00387F0D"/>
    <w:rsid w:val="003905E1"/>
    <w:rsid w:val="00391AAB"/>
    <w:rsid w:val="003929FD"/>
    <w:rsid w:val="00393679"/>
    <w:rsid w:val="00393FB6"/>
    <w:rsid w:val="00393FDE"/>
    <w:rsid w:val="0039459F"/>
    <w:rsid w:val="00394E68"/>
    <w:rsid w:val="0039576C"/>
    <w:rsid w:val="0039599D"/>
    <w:rsid w:val="00395C41"/>
    <w:rsid w:val="003968B6"/>
    <w:rsid w:val="003977E1"/>
    <w:rsid w:val="00397BCE"/>
    <w:rsid w:val="00397E05"/>
    <w:rsid w:val="003A1766"/>
    <w:rsid w:val="003A29C1"/>
    <w:rsid w:val="003A2D69"/>
    <w:rsid w:val="003A42C9"/>
    <w:rsid w:val="003A43DC"/>
    <w:rsid w:val="003A4FD6"/>
    <w:rsid w:val="003A5119"/>
    <w:rsid w:val="003A7942"/>
    <w:rsid w:val="003B0D2A"/>
    <w:rsid w:val="003B0F42"/>
    <w:rsid w:val="003B1BE1"/>
    <w:rsid w:val="003B206F"/>
    <w:rsid w:val="003B20D8"/>
    <w:rsid w:val="003B2303"/>
    <w:rsid w:val="003B2393"/>
    <w:rsid w:val="003B2835"/>
    <w:rsid w:val="003B36F4"/>
    <w:rsid w:val="003B40A6"/>
    <w:rsid w:val="003B411E"/>
    <w:rsid w:val="003B41F8"/>
    <w:rsid w:val="003B5151"/>
    <w:rsid w:val="003B51CC"/>
    <w:rsid w:val="003B53B6"/>
    <w:rsid w:val="003B5817"/>
    <w:rsid w:val="003B5C0F"/>
    <w:rsid w:val="003B5D0D"/>
    <w:rsid w:val="003B6502"/>
    <w:rsid w:val="003C04C5"/>
    <w:rsid w:val="003C091F"/>
    <w:rsid w:val="003C2515"/>
    <w:rsid w:val="003C30C6"/>
    <w:rsid w:val="003C6014"/>
    <w:rsid w:val="003C6088"/>
    <w:rsid w:val="003C66F5"/>
    <w:rsid w:val="003C69D9"/>
    <w:rsid w:val="003C7894"/>
    <w:rsid w:val="003D06D2"/>
    <w:rsid w:val="003D0AE4"/>
    <w:rsid w:val="003D1F8F"/>
    <w:rsid w:val="003D2C82"/>
    <w:rsid w:val="003D4692"/>
    <w:rsid w:val="003D5609"/>
    <w:rsid w:val="003D599B"/>
    <w:rsid w:val="003D6681"/>
    <w:rsid w:val="003D71A2"/>
    <w:rsid w:val="003E2181"/>
    <w:rsid w:val="003E2477"/>
    <w:rsid w:val="003E379A"/>
    <w:rsid w:val="003E3FCC"/>
    <w:rsid w:val="003E414B"/>
    <w:rsid w:val="003E4185"/>
    <w:rsid w:val="003E466B"/>
    <w:rsid w:val="003E52B5"/>
    <w:rsid w:val="003E5431"/>
    <w:rsid w:val="003E5B02"/>
    <w:rsid w:val="003E6396"/>
    <w:rsid w:val="003E6670"/>
    <w:rsid w:val="003E76A6"/>
    <w:rsid w:val="003F06F3"/>
    <w:rsid w:val="003F0AD8"/>
    <w:rsid w:val="003F0D96"/>
    <w:rsid w:val="003F15C3"/>
    <w:rsid w:val="003F1726"/>
    <w:rsid w:val="003F1FF6"/>
    <w:rsid w:val="003F2057"/>
    <w:rsid w:val="003F282D"/>
    <w:rsid w:val="003F2BB1"/>
    <w:rsid w:val="003F2BCE"/>
    <w:rsid w:val="003F52E5"/>
    <w:rsid w:val="003F5A64"/>
    <w:rsid w:val="003F5CCF"/>
    <w:rsid w:val="003F7491"/>
    <w:rsid w:val="003F7F70"/>
    <w:rsid w:val="004003F2"/>
    <w:rsid w:val="00400B82"/>
    <w:rsid w:val="0040220A"/>
    <w:rsid w:val="004038C7"/>
    <w:rsid w:val="00404286"/>
    <w:rsid w:val="00404361"/>
    <w:rsid w:val="004043E6"/>
    <w:rsid w:val="0040579F"/>
    <w:rsid w:val="00405C61"/>
    <w:rsid w:val="004060E9"/>
    <w:rsid w:val="004073E9"/>
    <w:rsid w:val="004104DC"/>
    <w:rsid w:val="004113A3"/>
    <w:rsid w:val="004121E7"/>
    <w:rsid w:val="004125EE"/>
    <w:rsid w:val="00412656"/>
    <w:rsid w:val="00412E2C"/>
    <w:rsid w:val="00413207"/>
    <w:rsid w:val="00414A83"/>
    <w:rsid w:val="00415679"/>
    <w:rsid w:val="00415FD9"/>
    <w:rsid w:val="00416622"/>
    <w:rsid w:val="0041692D"/>
    <w:rsid w:val="004169AA"/>
    <w:rsid w:val="00420128"/>
    <w:rsid w:val="00420457"/>
    <w:rsid w:val="00421132"/>
    <w:rsid w:val="0042216E"/>
    <w:rsid w:val="0042249E"/>
    <w:rsid w:val="004230B0"/>
    <w:rsid w:val="0042314C"/>
    <w:rsid w:val="004246C9"/>
    <w:rsid w:val="00424840"/>
    <w:rsid w:val="0042564B"/>
    <w:rsid w:val="00425FA0"/>
    <w:rsid w:val="004263D8"/>
    <w:rsid w:val="00426B6C"/>
    <w:rsid w:val="00427E84"/>
    <w:rsid w:val="004300C0"/>
    <w:rsid w:val="00430142"/>
    <w:rsid w:val="0043020C"/>
    <w:rsid w:val="004303E1"/>
    <w:rsid w:val="00430474"/>
    <w:rsid w:val="00431263"/>
    <w:rsid w:val="004313AB"/>
    <w:rsid w:val="00431EE9"/>
    <w:rsid w:val="0043272E"/>
    <w:rsid w:val="00432AE8"/>
    <w:rsid w:val="0043409D"/>
    <w:rsid w:val="0043576B"/>
    <w:rsid w:val="00436214"/>
    <w:rsid w:val="004362A6"/>
    <w:rsid w:val="00436D79"/>
    <w:rsid w:val="00437A49"/>
    <w:rsid w:val="00437AFF"/>
    <w:rsid w:val="00440420"/>
    <w:rsid w:val="004409E3"/>
    <w:rsid w:val="0044132F"/>
    <w:rsid w:val="00441C65"/>
    <w:rsid w:val="004420A9"/>
    <w:rsid w:val="004420B8"/>
    <w:rsid w:val="00442192"/>
    <w:rsid w:val="00442AF3"/>
    <w:rsid w:val="004453A2"/>
    <w:rsid w:val="00445412"/>
    <w:rsid w:val="00445845"/>
    <w:rsid w:val="00445E41"/>
    <w:rsid w:val="00446A3A"/>
    <w:rsid w:val="004477E6"/>
    <w:rsid w:val="00447837"/>
    <w:rsid w:val="0045029A"/>
    <w:rsid w:val="004505A5"/>
    <w:rsid w:val="00450E31"/>
    <w:rsid w:val="00451F68"/>
    <w:rsid w:val="00452CB8"/>
    <w:rsid w:val="0045380C"/>
    <w:rsid w:val="00453E84"/>
    <w:rsid w:val="0045597C"/>
    <w:rsid w:val="004559E5"/>
    <w:rsid w:val="00456723"/>
    <w:rsid w:val="00460664"/>
    <w:rsid w:val="00461C70"/>
    <w:rsid w:val="00461CB5"/>
    <w:rsid w:val="0046234C"/>
    <w:rsid w:val="0046257F"/>
    <w:rsid w:val="004625CD"/>
    <w:rsid w:val="0046288F"/>
    <w:rsid w:val="00463F11"/>
    <w:rsid w:val="00464B15"/>
    <w:rsid w:val="0046500E"/>
    <w:rsid w:val="00465498"/>
    <w:rsid w:val="00466F33"/>
    <w:rsid w:val="0047049E"/>
    <w:rsid w:val="004713D8"/>
    <w:rsid w:val="00471799"/>
    <w:rsid w:val="004721B7"/>
    <w:rsid w:val="00472B4D"/>
    <w:rsid w:val="00472C67"/>
    <w:rsid w:val="00473201"/>
    <w:rsid w:val="004735F4"/>
    <w:rsid w:val="00473C98"/>
    <w:rsid w:val="00475794"/>
    <w:rsid w:val="00475EFD"/>
    <w:rsid w:val="00477EA3"/>
    <w:rsid w:val="00480E56"/>
    <w:rsid w:val="00480EB4"/>
    <w:rsid w:val="00481C7A"/>
    <w:rsid w:val="00481ED1"/>
    <w:rsid w:val="0048228A"/>
    <w:rsid w:val="0048284F"/>
    <w:rsid w:val="00482EC4"/>
    <w:rsid w:val="004840F6"/>
    <w:rsid w:val="00484379"/>
    <w:rsid w:val="00484D13"/>
    <w:rsid w:val="00486D80"/>
    <w:rsid w:val="004872AA"/>
    <w:rsid w:val="004872D1"/>
    <w:rsid w:val="00487353"/>
    <w:rsid w:val="00487C98"/>
    <w:rsid w:val="0049126B"/>
    <w:rsid w:val="00492E31"/>
    <w:rsid w:val="0049348F"/>
    <w:rsid w:val="00493AE7"/>
    <w:rsid w:val="00493F74"/>
    <w:rsid w:val="0049520A"/>
    <w:rsid w:val="00495357"/>
    <w:rsid w:val="00496354"/>
    <w:rsid w:val="0049667E"/>
    <w:rsid w:val="00496B48"/>
    <w:rsid w:val="00497A2A"/>
    <w:rsid w:val="00497CAC"/>
    <w:rsid w:val="004A11A8"/>
    <w:rsid w:val="004A14D8"/>
    <w:rsid w:val="004A17AE"/>
    <w:rsid w:val="004A34E6"/>
    <w:rsid w:val="004A3B7D"/>
    <w:rsid w:val="004A48C0"/>
    <w:rsid w:val="004A53B0"/>
    <w:rsid w:val="004A55AF"/>
    <w:rsid w:val="004A5A8F"/>
    <w:rsid w:val="004A612C"/>
    <w:rsid w:val="004A67A4"/>
    <w:rsid w:val="004A7B5F"/>
    <w:rsid w:val="004B0BFA"/>
    <w:rsid w:val="004B1645"/>
    <w:rsid w:val="004B17A9"/>
    <w:rsid w:val="004B25D4"/>
    <w:rsid w:val="004B25D8"/>
    <w:rsid w:val="004B2964"/>
    <w:rsid w:val="004B2BFC"/>
    <w:rsid w:val="004B2F8A"/>
    <w:rsid w:val="004B3558"/>
    <w:rsid w:val="004B4376"/>
    <w:rsid w:val="004B43D1"/>
    <w:rsid w:val="004B44B5"/>
    <w:rsid w:val="004B4825"/>
    <w:rsid w:val="004B4C54"/>
    <w:rsid w:val="004B5C99"/>
    <w:rsid w:val="004B680D"/>
    <w:rsid w:val="004B701B"/>
    <w:rsid w:val="004B7192"/>
    <w:rsid w:val="004B7E68"/>
    <w:rsid w:val="004B7F2A"/>
    <w:rsid w:val="004C0581"/>
    <w:rsid w:val="004C139B"/>
    <w:rsid w:val="004C220E"/>
    <w:rsid w:val="004C221B"/>
    <w:rsid w:val="004C23A9"/>
    <w:rsid w:val="004C3CB9"/>
    <w:rsid w:val="004C3E09"/>
    <w:rsid w:val="004C3E5A"/>
    <w:rsid w:val="004C49BB"/>
    <w:rsid w:val="004C5357"/>
    <w:rsid w:val="004C6E59"/>
    <w:rsid w:val="004C79F3"/>
    <w:rsid w:val="004D1846"/>
    <w:rsid w:val="004D44AB"/>
    <w:rsid w:val="004D4965"/>
    <w:rsid w:val="004D4EEE"/>
    <w:rsid w:val="004D4F0E"/>
    <w:rsid w:val="004D54D0"/>
    <w:rsid w:val="004D58E0"/>
    <w:rsid w:val="004D5AD2"/>
    <w:rsid w:val="004D6589"/>
    <w:rsid w:val="004D6DB4"/>
    <w:rsid w:val="004D6E5F"/>
    <w:rsid w:val="004D7409"/>
    <w:rsid w:val="004D7801"/>
    <w:rsid w:val="004E035D"/>
    <w:rsid w:val="004E19F5"/>
    <w:rsid w:val="004E2397"/>
    <w:rsid w:val="004E2C1F"/>
    <w:rsid w:val="004E32C3"/>
    <w:rsid w:val="004E3F1F"/>
    <w:rsid w:val="004E4068"/>
    <w:rsid w:val="004E40FF"/>
    <w:rsid w:val="004E519D"/>
    <w:rsid w:val="004E65E2"/>
    <w:rsid w:val="004E664B"/>
    <w:rsid w:val="004E6951"/>
    <w:rsid w:val="004F06A1"/>
    <w:rsid w:val="004F0B17"/>
    <w:rsid w:val="004F0BC7"/>
    <w:rsid w:val="004F1936"/>
    <w:rsid w:val="004F25FF"/>
    <w:rsid w:val="004F2A68"/>
    <w:rsid w:val="004F3260"/>
    <w:rsid w:val="004F3C57"/>
    <w:rsid w:val="004F3E65"/>
    <w:rsid w:val="004F4E18"/>
    <w:rsid w:val="004F508B"/>
    <w:rsid w:val="004F61D0"/>
    <w:rsid w:val="00500BA9"/>
    <w:rsid w:val="00501B8E"/>
    <w:rsid w:val="00502B43"/>
    <w:rsid w:val="00503447"/>
    <w:rsid w:val="00503494"/>
    <w:rsid w:val="00503769"/>
    <w:rsid w:val="00504B38"/>
    <w:rsid w:val="00504C3A"/>
    <w:rsid w:val="00505210"/>
    <w:rsid w:val="00506BC2"/>
    <w:rsid w:val="00506EC1"/>
    <w:rsid w:val="005109A5"/>
    <w:rsid w:val="00510DFB"/>
    <w:rsid w:val="00511308"/>
    <w:rsid w:val="00511688"/>
    <w:rsid w:val="00511F71"/>
    <w:rsid w:val="00512919"/>
    <w:rsid w:val="00512CD5"/>
    <w:rsid w:val="00515A3E"/>
    <w:rsid w:val="00517875"/>
    <w:rsid w:val="00517B30"/>
    <w:rsid w:val="00517CCB"/>
    <w:rsid w:val="005201D4"/>
    <w:rsid w:val="0052070F"/>
    <w:rsid w:val="00521628"/>
    <w:rsid w:val="00521A85"/>
    <w:rsid w:val="0052254A"/>
    <w:rsid w:val="00522631"/>
    <w:rsid w:val="0052266E"/>
    <w:rsid w:val="005229A0"/>
    <w:rsid w:val="00522A91"/>
    <w:rsid w:val="00522F6E"/>
    <w:rsid w:val="00523627"/>
    <w:rsid w:val="00523759"/>
    <w:rsid w:val="00524207"/>
    <w:rsid w:val="00524967"/>
    <w:rsid w:val="00525579"/>
    <w:rsid w:val="00525BB9"/>
    <w:rsid w:val="00525E02"/>
    <w:rsid w:val="00526896"/>
    <w:rsid w:val="00527103"/>
    <w:rsid w:val="005274E2"/>
    <w:rsid w:val="00527768"/>
    <w:rsid w:val="005320BD"/>
    <w:rsid w:val="005326E5"/>
    <w:rsid w:val="0053322A"/>
    <w:rsid w:val="00533334"/>
    <w:rsid w:val="0053388C"/>
    <w:rsid w:val="005341EE"/>
    <w:rsid w:val="00534305"/>
    <w:rsid w:val="005344E2"/>
    <w:rsid w:val="00535015"/>
    <w:rsid w:val="00536203"/>
    <w:rsid w:val="00537981"/>
    <w:rsid w:val="00537C84"/>
    <w:rsid w:val="00540233"/>
    <w:rsid w:val="0054043E"/>
    <w:rsid w:val="00540BA8"/>
    <w:rsid w:val="00540D91"/>
    <w:rsid w:val="00540ED2"/>
    <w:rsid w:val="00540F11"/>
    <w:rsid w:val="00541E8C"/>
    <w:rsid w:val="005426FE"/>
    <w:rsid w:val="00542C60"/>
    <w:rsid w:val="00543787"/>
    <w:rsid w:val="00543D07"/>
    <w:rsid w:val="00543DF8"/>
    <w:rsid w:val="00543F44"/>
    <w:rsid w:val="005443B5"/>
    <w:rsid w:val="005443C7"/>
    <w:rsid w:val="00544B0C"/>
    <w:rsid w:val="00544C5E"/>
    <w:rsid w:val="00545438"/>
    <w:rsid w:val="00545763"/>
    <w:rsid w:val="00545C93"/>
    <w:rsid w:val="00546B88"/>
    <w:rsid w:val="005475C0"/>
    <w:rsid w:val="00547D56"/>
    <w:rsid w:val="00550702"/>
    <w:rsid w:val="00550952"/>
    <w:rsid w:val="00550B01"/>
    <w:rsid w:val="0055162F"/>
    <w:rsid w:val="00552427"/>
    <w:rsid w:val="00552855"/>
    <w:rsid w:val="00552894"/>
    <w:rsid w:val="00552E89"/>
    <w:rsid w:val="00553147"/>
    <w:rsid w:val="005538F5"/>
    <w:rsid w:val="00554B87"/>
    <w:rsid w:val="00555523"/>
    <w:rsid w:val="00555B57"/>
    <w:rsid w:val="00555E8A"/>
    <w:rsid w:val="005561DB"/>
    <w:rsid w:val="005564BF"/>
    <w:rsid w:val="00556503"/>
    <w:rsid w:val="00556B7C"/>
    <w:rsid w:val="00556F3B"/>
    <w:rsid w:val="00557240"/>
    <w:rsid w:val="005575E5"/>
    <w:rsid w:val="0056009F"/>
    <w:rsid w:val="00560E07"/>
    <w:rsid w:val="00561728"/>
    <w:rsid w:val="00561AF1"/>
    <w:rsid w:val="00562DDC"/>
    <w:rsid w:val="005636A1"/>
    <w:rsid w:val="00563C81"/>
    <w:rsid w:val="00564091"/>
    <w:rsid w:val="00564844"/>
    <w:rsid w:val="005654D8"/>
    <w:rsid w:val="00565CFD"/>
    <w:rsid w:val="005662EE"/>
    <w:rsid w:val="0056695D"/>
    <w:rsid w:val="0056775D"/>
    <w:rsid w:val="005701F9"/>
    <w:rsid w:val="00570236"/>
    <w:rsid w:val="00570371"/>
    <w:rsid w:val="00572D38"/>
    <w:rsid w:val="0057303C"/>
    <w:rsid w:val="005736AC"/>
    <w:rsid w:val="0057409D"/>
    <w:rsid w:val="00574A39"/>
    <w:rsid w:val="00575461"/>
    <w:rsid w:val="00575851"/>
    <w:rsid w:val="00576CCC"/>
    <w:rsid w:val="0057710E"/>
    <w:rsid w:val="0057722D"/>
    <w:rsid w:val="00577EC0"/>
    <w:rsid w:val="005800C9"/>
    <w:rsid w:val="00580A1E"/>
    <w:rsid w:val="00580F10"/>
    <w:rsid w:val="00581630"/>
    <w:rsid w:val="0058198A"/>
    <w:rsid w:val="00581E04"/>
    <w:rsid w:val="00581F6C"/>
    <w:rsid w:val="00582089"/>
    <w:rsid w:val="00582170"/>
    <w:rsid w:val="005822D6"/>
    <w:rsid w:val="00583C5B"/>
    <w:rsid w:val="00584B1F"/>
    <w:rsid w:val="00584E58"/>
    <w:rsid w:val="005851D8"/>
    <w:rsid w:val="005853F5"/>
    <w:rsid w:val="00586CDA"/>
    <w:rsid w:val="005878CF"/>
    <w:rsid w:val="00587CFF"/>
    <w:rsid w:val="00590398"/>
    <w:rsid w:val="00591B53"/>
    <w:rsid w:val="00592020"/>
    <w:rsid w:val="00592AD3"/>
    <w:rsid w:val="005957F8"/>
    <w:rsid w:val="00595A34"/>
    <w:rsid w:val="00595C30"/>
    <w:rsid w:val="00596032"/>
    <w:rsid w:val="0059639B"/>
    <w:rsid w:val="005965DB"/>
    <w:rsid w:val="0059665E"/>
    <w:rsid w:val="00596898"/>
    <w:rsid w:val="0059689C"/>
    <w:rsid w:val="005A0B78"/>
    <w:rsid w:val="005A0EE6"/>
    <w:rsid w:val="005A1C29"/>
    <w:rsid w:val="005A20E6"/>
    <w:rsid w:val="005A2247"/>
    <w:rsid w:val="005A2E58"/>
    <w:rsid w:val="005A2F5F"/>
    <w:rsid w:val="005A3460"/>
    <w:rsid w:val="005A3466"/>
    <w:rsid w:val="005A3B2B"/>
    <w:rsid w:val="005A3B9A"/>
    <w:rsid w:val="005A499D"/>
    <w:rsid w:val="005A58B1"/>
    <w:rsid w:val="005A609D"/>
    <w:rsid w:val="005A67BD"/>
    <w:rsid w:val="005A6E43"/>
    <w:rsid w:val="005B0183"/>
    <w:rsid w:val="005B0671"/>
    <w:rsid w:val="005B0723"/>
    <w:rsid w:val="005B0FE9"/>
    <w:rsid w:val="005B138D"/>
    <w:rsid w:val="005B1417"/>
    <w:rsid w:val="005B1E5F"/>
    <w:rsid w:val="005B23AA"/>
    <w:rsid w:val="005B2517"/>
    <w:rsid w:val="005B27C1"/>
    <w:rsid w:val="005B2AE3"/>
    <w:rsid w:val="005B33EA"/>
    <w:rsid w:val="005B33F3"/>
    <w:rsid w:val="005B4FFE"/>
    <w:rsid w:val="005B619B"/>
    <w:rsid w:val="005B6A7B"/>
    <w:rsid w:val="005B6F95"/>
    <w:rsid w:val="005B763C"/>
    <w:rsid w:val="005B7BB3"/>
    <w:rsid w:val="005B7C71"/>
    <w:rsid w:val="005C0196"/>
    <w:rsid w:val="005C11D5"/>
    <w:rsid w:val="005C267F"/>
    <w:rsid w:val="005C3B07"/>
    <w:rsid w:val="005C415F"/>
    <w:rsid w:val="005C445B"/>
    <w:rsid w:val="005C471A"/>
    <w:rsid w:val="005C4BC2"/>
    <w:rsid w:val="005C5011"/>
    <w:rsid w:val="005C612B"/>
    <w:rsid w:val="005C7C1C"/>
    <w:rsid w:val="005C7E5E"/>
    <w:rsid w:val="005D08E8"/>
    <w:rsid w:val="005D1453"/>
    <w:rsid w:val="005D1663"/>
    <w:rsid w:val="005D1AB7"/>
    <w:rsid w:val="005D1D89"/>
    <w:rsid w:val="005D254F"/>
    <w:rsid w:val="005D2E38"/>
    <w:rsid w:val="005D33D9"/>
    <w:rsid w:val="005D3405"/>
    <w:rsid w:val="005D385E"/>
    <w:rsid w:val="005D407F"/>
    <w:rsid w:val="005D411E"/>
    <w:rsid w:val="005D4272"/>
    <w:rsid w:val="005D440C"/>
    <w:rsid w:val="005D46E6"/>
    <w:rsid w:val="005D4815"/>
    <w:rsid w:val="005D4E35"/>
    <w:rsid w:val="005D5602"/>
    <w:rsid w:val="005D7015"/>
    <w:rsid w:val="005D70E3"/>
    <w:rsid w:val="005D741B"/>
    <w:rsid w:val="005D74B9"/>
    <w:rsid w:val="005E00EE"/>
    <w:rsid w:val="005E02BE"/>
    <w:rsid w:val="005E0EE8"/>
    <w:rsid w:val="005E12BA"/>
    <w:rsid w:val="005E1643"/>
    <w:rsid w:val="005E17B7"/>
    <w:rsid w:val="005E31D3"/>
    <w:rsid w:val="005E3E34"/>
    <w:rsid w:val="005E414A"/>
    <w:rsid w:val="005E45D6"/>
    <w:rsid w:val="005E51D2"/>
    <w:rsid w:val="005E56FE"/>
    <w:rsid w:val="005E60C0"/>
    <w:rsid w:val="005E6A2B"/>
    <w:rsid w:val="005E6F8B"/>
    <w:rsid w:val="005E7258"/>
    <w:rsid w:val="005E753D"/>
    <w:rsid w:val="005E75BE"/>
    <w:rsid w:val="005E7690"/>
    <w:rsid w:val="005E7DAA"/>
    <w:rsid w:val="005F137B"/>
    <w:rsid w:val="005F1531"/>
    <w:rsid w:val="005F1B33"/>
    <w:rsid w:val="005F1C08"/>
    <w:rsid w:val="005F33EC"/>
    <w:rsid w:val="005F34BC"/>
    <w:rsid w:val="005F47D1"/>
    <w:rsid w:val="005F4BF7"/>
    <w:rsid w:val="005F52DD"/>
    <w:rsid w:val="005F5622"/>
    <w:rsid w:val="005F5FD4"/>
    <w:rsid w:val="005F68DE"/>
    <w:rsid w:val="005F6C18"/>
    <w:rsid w:val="005F6CBE"/>
    <w:rsid w:val="005F6E82"/>
    <w:rsid w:val="005F7638"/>
    <w:rsid w:val="0060152E"/>
    <w:rsid w:val="0060172F"/>
    <w:rsid w:val="00601BD2"/>
    <w:rsid w:val="00602DA4"/>
    <w:rsid w:val="00603539"/>
    <w:rsid w:val="00603B36"/>
    <w:rsid w:val="00604E69"/>
    <w:rsid w:val="0060605A"/>
    <w:rsid w:val="006072FB"/>
    <w:rsid w:val="00611C0C"/>
    <w:rsid w:val="00613843"/>
    <w:rsid w:val="0061462E"/>
    <w:rsid w:val="00614915"/>
    <w:rsid w:val="0061515F"/>
    <w:rsid w:val="00615886"/>
    <w:rsid w:val="006159AE"/>
    <w:rsid w:val="00616696"/>
    <w:rsid w:val="00617C89"/>
    <w:rsid w:val="00617C98"/>
    <w:rsid w:val="0062036D"/>
    <w:rsid w:val="00620432"/>
    <w:rsid w:val="00620502"/>
    <w:rsid w:val="0062247D"/>
    <w:rsid w:val="00622D94"/>
    <w:rsid w:val="00623588"/>
    <w:rsid w:val="00623A6C"/>
    <w:rsid w:val="00624082"/>
    <w:rsid w:val="00624F20"/>
    <w:rsid w:val="0062668A"/>
    <w:rsid w:val="0062685C"/>
    <w:rsid w:val="00626968"/>
    <w:rsid w:val="00627AB2"/>
    <w:rsid w:val="00627E8F"/>
    <w:rsid w:val="00627F9C"/>
    <w:rsid w:val="00630FF0"/>
    <w:rsid w:val="00631844"/>
    <w:rsid w:val="00632654"/>
    <w:rsid w:val="00633A22"/>
    <w:rsid w:val="00633C45"/>
    <w:rsid w:val="0063409A"/>
    <w:rsid w:val="00634E75"/>
    <w:rsid w:val="00635313"/>
    <w:rsid w:val="00637749"/>
    <w:rsid w:val="00637923"/>
    <w:rsid w:val="00640739"/>
    <w:rsid w:val="00641DE8"/>
    <w:rsid w:val="00642674"/>
    <w:rsid w:val="006428CC"/>
    <w:rsid w:val="006430D5"/>
    <w:rsid w:val="006438A0"/>
    <w:rsid w:val="00643E7A"/>
    <w:rsid w:val="006442CF"/>
    <w:rsid w:val="00645034"/>
    <w:rsid w:val="00645842"/>
    <w:rsid w:val="00645A74"/>
    <w:rsid w:val="00645C2F"/>
    <w:rsid w:val="00645E74"/>
    <w:rsid w:val="006462E4"/>
    <w:rsid w:val="00646B5D"/>
    <w:rsid w:val="006501DF"/>
    <w:rsid w:val="006510A1"/>
    <w:rsid w:val="006511B1"/>
    <w:rsid w:val="0065160F"/>
    <w:rsid w:val="00651D2C"/>
    <w:rsid w:val="006520C7"/>
    <w:rsid w:val="006524E2"/>
    <w:rsid w:val="00652535"/>
    <w:rsid w:val="00652617"/>
    <w:rsid w:val="00653F10"/>
    <w:rsid w:val="00653F39"/>
    <w:rsid w:val="006544FD"/>
    <w:rsid w:val="00654A01"/>
    <w:rsid w:val="00654C28"/>
    <w:rsid w:val="00654D23"/>
    <w:rsid w:val="00655165"/>
    <w:rsid w:val="00655772"/>
    <w:rsid w:val="006561E3"/>
    <w:rsid w:val="00656F4A"/>
    <w:rsid w:val="0065713C"/>
    <w:rsid w:val="00657AE7"/>
    <w:rsid w:val="00657C74"/>
    <w:rsid w:val="00661190"/>
    <w:rsid w:val="00661602"/>
    <w:rsid w:val="0066274D"/>
    <w:rsid w:val="00663389"/>
    <w:rsid w:val="006636AB"/>
    <w:rsid w:val="0066392C"/>
    <w:rsid w:val="00663E7F"/>
    <w:rsid w:val="0066447E"/>
    <w:rsid w:val="006654AF"/>
    <w:rsid w:val="00665873"/>
    <w:rsid w:val="00665EC8"/>
    <w:rsid w:val="00666AC5"/>
    <w:rsid w:val="00670033"/>
    <w:rsid w:val="0067003B"/>
    <w:rsid w:val="00672440"/>
    <w:rsid w:val="006729C0"/>
    <w:rsid w:val="00673DCC"/>
    <w:rsid w:val="006740F6"/>
    <w:rsid w:val="006748CE"/>
    <w:rsid w:val="00674BB7"/>
    <w:rsid w:val="00675997"/>
    <w:rsid w:val="00675BA5"/>
    <w:rsid w:val="00676BC4"/>
    <w:rsid w:val="00677B00"/>
    <w:rsid w:val="00680981"/>
    <w:rsid w:val="006814F0"/>
    <w:rsid w:val="00681F13"/>
    <w:rsid w:val="00682CA3"/>
    <w:rsid w:val="00682EFD"/>
    <w:rsid w:val="00685A3D"/>
    <w:rsid w:val="00686377"/>
    <w:rsid w:val="00687744"/>
    <w:rsid w:val="00687E2C"/>
    <w:rsid w:val="00690225"/>
    <w:rsid w:val="006909A9"/>
    <w:rsid w:val="00690DAB"/>
    <w:rsid w:val="00691346"/>
    <w:rsid w:val="006915CA"/>
    <w:rsid w:val="00691792"/>
    <w:rsid w:val="00691D1F"/>
    <w:rsid w:val="0069230E"/>
    <w:rsid w:val="006937A7"/>
    <w:rsid w:val="00693B16"/>
    <w:rsid w:val="00693CC8"/>
    <w:rsid w:val="00694AAB"/>
    <w:rsid w:val="00694BA4"/>
    <w:rsid w:val="00696B7B"/>
    <w:rsid w:val="006A0788"/>
    <w:rsid w:val="006A09AC"/>
    <w:rsid w:val="006A0E8D"/>
    <w:rsid w:val="006A135A"/>
    <w:rsid w:val="006A1632"/>
    <w:rsid w:val="006A2225"/>
    <w:rsid w:val="006A2407"/>
    <w:rsid w:val="006A3647"/>
    <w:rsid w:val="006A3941"/>
    <w:rsid w:val="006A4BDB"/>
    <w:rsid w:val="006A4D2C"/>
    <w:rsid w:val="006A532E"/>
    <w:rsid w:val="006A5389"/>
    <w:rsid w:val="006A65B4"/>
    <w:rsid w:val="006B02F7"/>
    <w:rsid w:val="006B2083"/>
    <w:rsid w:val="006B37A3"/>
    <w:rsid w:val="006B4D78"/>
    <w:rsid w:val="006B5F97"/>
    <w:rsid w:val="006B6089"/>
    <w:rsid w:val="006B64B7"/>
    <w:rsid w:val="006B725B"/>
    <w:rsid w:val="006B77EF"/>
    <w:rsid w:val="006B7D8F"/>
    <w:rsid w:val="006C0104"/>
    <w:rsid w:val="006C11F5"/>
    <w:rsid w:val="006C15F7"/>
    <w:rsid w:val="006C197B"/>
    <w:rsid w:val="006C34A1"/>
    <w:rsid w:val="006C3C70"/>
    <w:rsid w:val="006C3D25"/>
    <w:rsid w:val="006C6551"/>
    <w:rsid w:val="006C6F89"/>
    <w:rsid w:val="006C70B2"/>
    <w:rsid w:val="006C7C63"/>
    <w:rsid w:val="006D0354"/>
    <w:rsid w:val="006D04A8"/>
    <w:rsid w:val="006D08CE"/>
    <w:rsid w:val="006D10FD"/>
    <w:rsid w:val="006D2F43"/>
    <w:rsid w:val="006D3407"/>
    <w:rsid w:val="006D4016"/>
    <w:rsid w:val="006D59DE"/>
    <w:rsid w:val="006D5A7C"/>
    <w:rsid w:val="006D5A95"/>
    <w:rsid w:val="006D6352"/>
    <w:rsid w:val="006D6A29"/>
    <w:rsid w:val="006D6FA9"/>
    <w:rsid w:val="006D7C74"/>
    <w:rsid w:val="006D7DB5"/>
    <w:rsid w:val="006E24C9"/>
    <w:rsid w:val="006E31BC"/>
    <w:rsid w:val="006E3F6A"/>
    <w:rsid w:val="006E4209"/>
    <w:rsid w:val="006E518E"/>
    <w:rsid w:val="006E5B14"/>
    <w:rsid w:val="006E7146"/>
    <w:rsid w:val="006E7D89"/>
    <w:rsid w:val="006E7E2A"/>
    <w:rsid w:val="006F041C"/>
    <w:rsid w:val="006F088B"/>
    <w:rsid w:val="006F0C0F"/>
    <w:rsid w:val="006F10CB"/>
    <w:rsid w:val="006F1445"/>
    <w:rsid w:val="006F2132"/>
    <w:rsid w:val="006F3C4C"/>
    <w:rsid w:val="006F433C"/>
    <w:rsid w:val="006F4B72"/>
    <w:rsid w:val="006F4E7E"/>
    <w:rsid w:val="006F500E"/>
    <w:rsid w:val="006F541F"/>
    <w:rsid w:val="006F5E5F"/>
    <w:rsid w:val="006F5FE6"/>
    <w:rsid w:val="006F6082"/>
    <w:rsid w:val="006F61E1"/>
    <w:rsid w:val="006F6B1B"/>
    <w:rsid w:val="006F7A9B"/>
    <w:rsid w:val="006F7B9D"/>
    <w:rsid w:val="006F7DAE"/>
    <w:rsid w:val="00700AC0"/>
    <w:rsid w:val="00701B79"/>
    <w:rsid w:val="007029CB"/>
    <w:rsid w:val="00702A6A"/>
    <w:rsid w:val="00704433"/>
    <w:rsid w:val="007050C9"/>
    <w:rsid w:val="00705502"/>
    <w:rsid w:val="0070578F"/>
    <w:rsid w:val="007061FA"/>
    <w:rsid w:val="00706510"/>
    <w:rsid w:val="00706A0E"/>
    <w:rsid w:val="0070709E"/>
    <w:rsid w:val="0071005A"/>
    <w:rsid w:val="007103BC"/>
    <w:rsid w:val="007104FB"/>
    <w:rsid w:val="007118C6"/>
    <w:rsid w:val="00711EE4"/>
    <w:rsid w:val="00715022"/>
    <w:rsid w:val="0071507D"/>
    <w:rsid w:val="007151E2"/>
    <w:rsid w:val="00715C1A"/>
    <w:rsid w:val="00715D59"/>
    <w:rsid w:val="007164F2"/>
    <w:rsid w:val="007168E6"/>
    <w:rsid w:val="00722F01"/>
    <w:rsid w:val="00723C1D"/>
    <w:rsid w:val="0072566C"/>
    <w:rsid w:val="007256B5"/>
    <w:rsid w:val="007258B9"/>
    <w:rsid w:val="007261F8"/>
    <w:rsid w:val="00730B3F"/>
    <w:rsid w:val="007323FD"/>
    <w:rsid w:val="00732A58"/>
    <w:rsid w:val="00733E93"/>
    <w:rsid w:val="0073499E"/>
    <w:rsid w:val="00735E85"/>
    <w:rsid w:val="00737C3C"/>
    <w:rsid w:val="00741190"/>
    <w:rsid w:val="007416E8"/>
    <w:rsid w:val="007418A3"/>
    <w:rsid w:val="00741D22"/>
    <w:rsid w:val="00742364"/>
    <w:rsid w:val="00742948"/>
    <w:rsid w:val="00742AB7"/>
    <w:rsid w:val="00742B77"/>
    <w:rsid w:val="007431DE"/>
    <w:rsid w:val="00743A94"/>
    <w:rsid w:val="0074418C"/>
    <w:rsid w:val="00744DE9"/>
    <w:rsid w:val="0074505B"/>
    <w:rsid w:val="00745219"/>
    <w:rsid w:val="007472AD"/>
    <w:rsid w:val="00750F13"/>
    <w:rsid w:val="00751310"/>
    <w:rsid w:val="0075202C"/>
    <w:rsid w:val="007522FD"/>
    <w:rsid w:val="007530DA"/>
    <w:rsid w:val="0075328F"/>
    <w:rsid w:val="0075367D"/>
    <w:rsid w:val="00753ACD"/>
    <w:rsid w:val="00754DE8"/>
    <w:rsid w:val="00754DF6"/>
    <w:rsid w:val="00754E4A"/>
    <w:rsid w:val="00755764"/>
    <w:rsid w:val="00756378"/>
    <w:rsid w:val="00756B26"/>
    <w:rsid w:val="007577D4"/>
    <w:rsid w:val="00757F52"/>
    <w:rsid w:val="0076039A"/>
    <w:rsid w:val="007604F9"/>
    <w:rsid w:val="00760692"/>
    <w:rsid w:val="00760F5C"/>
    <w:rsid w:val="00761290"/>
    <w:rsid w:val="0076285F"/>
    <w:rsid w:val="00763620"/>
    <w:rsid w:val="00764398"/>
    <w:rsid w:val="007656BF"/>
    <w:rsid w:val="00766869"/>
    <w:rsid w:val="00767324"/>
    <w:rsid w:val="0076743D"/>
    <w:rsid w:val="00767939"/>
    <w:rsid w:val="007700FF"/>
    <w:rsid w:val="0077263D"/>
    <w:rsid w:val="00772BDB"/>
    <w:rsid w:val="007731A4"/>
    <w:rsid w:val="00774D39"/>
    <w:rsid w:val="00775542"/>
    <w:rsid w:val="00775969"/>
    <w:rsid w:val="00776180"/>
    <w:rsid w:val="007762C7"/>
    <w:rsid w:val="00776872"/>
    <w:rsid w:val="00776FC1"/>
    <w:rsid w:val="007774CD"/>
    <w:rsid w:val="00780535"/>
    <w:rsid w:val="00780AB4"/>
    <w:rsid w:val="00780DAE"/>
    <w:rsid w:val="0078207C"/>
    <w:rsid w:val="007827AF"/>
    <w:rsid w:val="00782CFA"/>
    <w:rsid w:val="007851CF"/>
    <w:rsid w:val="007855CB"/>
    <w:rsid w:val="00785BF2"/>
    <w:rsid w:val="007860B9"/>
    <w:rsid w:val="0078714C"/>
    <w:rsid w:val="0078754B"/>
    <w:rsid w:val="0079009E"/>
    <w:rsid w:val="00790339"/>
    <w:rsid w:val="00790A9E"/>
    <w:rsid w:val="00791490"/>
    <w:rsid w:val="00791521"/>
    <w:rsid w:val="00792970"/>
    <w:rsid w:val="007929D5"/>
    <w:rsid w:val="00793089"/>
    <w:rsid w:val="007938CB"/>
    <w:rsid w:val="00793EF6"/>
    <w:rsid w:val="00794663"/>
    <w:rsid w:val="00794CEE"/>
    <w:rsid w:val="00794E91"/>
    <w:rsid w:val="0079591E"/>
    <w:rsid w:val="00795DAF"/>
    <w:rsid w:val="00795F39"/>
    <w:rsid w:val="00797B55"/>
    <w:rsid w:val="007A1308"/>
    <w:rsid w:val="007A148D"/>
    <w:rsid w:val="007A1F1C"/>
    <w:rsid w:val="007A2350"/>
    <w:rsid w:val="007A26CC"/>
    <w:rsid w:val="007A2BAE"/>
    <w:rsid w:val="007A3731"/>
    <w:rsid w:val="007A39D8"/>
    <w:rsid w:val="007A4464"/>
    <w:rsid w:val="007A4878"/>
    <w:rsid w:val="007A4BB4"/>
    <w:rsid w:val="007A62A2"/>
    <w:rsid w:val="007A6469"/>
    <w:rsid w:val="007A7631"/>
    <w:rsid w:val="007A7740"/>
    <w:rsid w:val="007A7DEC"/>
    <w:rsid w:val="007B25D8"/>
    <w:rsid w:val="007B2849"/>
    <w:rsid w:val="007B33D1"/>
    <w:rsid w:val="007B3773"/>
    <w:rsid w:val="007B41E4"/>
    <w:rsid w:val="007B443E"/>
    <w:rsid w:val="007B4460"/>
    <w:rsid w:val="007B5084"/>
    <w:rsid w:val="007B51F9"/>
    <w:rsid w:val="007B569D"/>
    <w:rsid w:val="007B63B9"/>
    <w:rsid w:val="007B7721"/>
    <w:rsid w:val="007B7C7B"/>
    <w:rsid w:val="007B7E30"/>
    <w:rsid w:val="007C051C"/>
    <w:rsid w:val="007C09FF"/>
    <w:rsid w:val="007C1648"/>
    <w:rsid w:val="007C192B"/>
    <w:rsid w:val="007C1DA6"/>
    <w:rsid w:val="007C3A16"/>
    <w:rsid w:val="007C462F"/>
    <w:rsid w:val="007C4CB6"/>
    <w:rsid w:val="007C5880"/>
    <w:rsid w:val="007C598F"/>
    <w:rsid w:val="007C60BF"/>
    <w:rsid w:val="007C6E20"/>
    <w:rsid w:val="007D0B6D"/>
    <w:rsid w:val="007D119D"/>
    <w:rsid w:val="007D17C8"/>
    <w:rsid w:val="007D23BA"/>
    <w:rsid w:val="007D2623"/>
    <w:rsid w:val="007D3118"/>
    <w:rsid w:val="007D35CB"/>
    <w:rsid w:val="007D42BD"/>
    <w:rsid w:val="007D4366"/>
    <w:rsid w:val="007D5131"/>
    <w:rsid w:val="007D549C"/>
    <w:rsid w:val="007D5986"/>
    <w:rsid w:val="007D5B5F"/>
    <w:rsid w:val="007D6365"/>
    <w:rsid w:val="007D65BA"/>
    <w:rsid w:val="007D7789"/>
    <w:rsid w:val="007D7C0C"/>
    <w:rsid w:val="007D7CCE"/>
    <w:rsid w:val="007E0642"/>
    <w:rsid w:val="007E0915"/>
    <w:rsid w:val="007E0BF1"/>
    <w:rsid w:val="007E1114"/>
    <w:rsid w:val="007E1D00"/>
    <w:rsid w:val="007E2340"/>
    <w:rsid w:val="007E25B1"/>
    <w:rsid w:val="007E428E"/>
    <w:rsid w:val="007E64B1"/>
    <w:rsid w:val="007E6558"/>
    <w:rsid w:val="007E66FA"/>
    <w:rsid w:val="007E6937"/>
    <w:rsid w:val="007E778A"/>
    <w:rsid w:val="007E7878"/>
    <w:rsid w:val="007F1197"/>
    <w:rsid w:val="007F1CE4"/>
    <w:rsid w:val="007F32E9"/>
    <w:rsid w:val="007F33ED"/>
    <w:rsid w:val="007F4818"/>
    <w:rsid w:val="007F4F23"/>
    <w:rsid w:val="007F54A2"/>
    <w:rsid w:val="007F710E"/>
    <w:rsid w:val="007F7C06"/>
    <w:rsid w:val="008006B7"/>
    <w:rsid w:val="00800758"/>
    <w:rsid w:val="00800A93"/>
    <w:rsid w:val="00800DE1"/>
    <w:rsid w:val="008012CC"/>
    <w:rsid w:val="0080198A"/>
    <w:rsid w:val="0080283A"/>
    <w:rsid w:val="008034AF"/>
    <w:rsid w:val="00803B0C"/>
    <w:rsid w:val="00804555"/>
    <w:rsid w:val="00804766"/>
    <w:rsid w:val="0080568B"/>
    <w:rsid w:val="008059F7"/>
    <w:rsid w:val="00806549"/>
    <w:rsid w:val="00807266"/>
    <w:rsid w:val="0080728A"/>
    <w:rsid w:val="008072B7"/>
    <w:rsid w:val="00810780"/>
    <w:rsid w:val="00810AC7"/>
    <w:rsid w:val="00810DF2"/>
    <w:rsid w:val="008113E8"/>
    <w:rsid w:val="008114BF"/>
    <w:rsid w:val="00811CF1"/>
    <w:rsid w:val="00812F57"/>
    <w:rsid w:val="00812FE1"/>
    <w:rsid w:val="0081411D"/>
    <w:rsid w:val="0081524A"/>
    <w:rsid w:val="00815487"/>
    <w:rsid w:val="00815560"/>
    <w:rsid w:val="008159F2"/>
    <w:rsid w:val="00815B09"/>
    <w:rsid w:val="00815BB2"/>
    <w:rsid w:val="00816096"/>
    <w:rsid w:val="008163E0"/>
    <w:rsid w:val="008167D4"/>
    <w:rsid w:val="0081725A"/>
    <w:rsid w:val="0081769B"/>
    <w:rsid w:val="00817EDF"/>
    <w:rsid w:val="008236BF"/>
    <w:rsid w:val="00823906"/>
    <w:rsid w:val="00823C02"/>
    <w:rsid w:val="00824904"/>
    <w:rsid w:val="00824E7F"/>
    <w:rsid w:val="00825A05"/>
    <w:rsid w:val="00825A66"/>
    <w:rsid w:val="008261CE"/>
    <w:rsid w:val="0082691E"/>
    <w:rsid w:val="00826D06"/>
    <w:rsid w:val="0082737D"/>
    <w:rsid w:val="00827570"/>
    <w:rsid w:val="00827F14"/>
    <w:rsid w:val="00830624"/>
    <w:rsid w:val="00830D58"/>
    <w:rsid w:val="00831172"/>
    <w:rsid w:val="00833003"/>
    <w:rsid w:val="00834594"/>
    <w:rsid w:val="00835445"/>
    <w:rsid w:val="00835549"/>
    <w:rsid w:val="008355BC"/>
    <w:rsid w:val="00835B67"/>
    <w:rsid w:val="00836D59"/>
    <w:rsid w:val="00836FF5"/>
    <w:rsid w:val="00837613"/>
    <w:rsid w:val="00837D5C"/>
    <w:rsid w:val="008405A1"/>
    <w:rsid w:val="00840FE7"/>
    <w:rsid w:val="008413C8"/>
    <w:rsid w:val="00841ECA"/>
    <w:rsid w:val="008421EB"/>
    <w:rsid w:val="00843000"/>
    <w:rsid w:val="008435C4"/>
    <w:rsid w:val="008441E1"/>
    <w:rsid w:val="00844D55"/>
    <w:rsid w:val="00844E64"/>
    <w:rsid w:val="00845857"/>
    <w:rsid w:val="008474CB"/>
    <w:rsid w:val="008477B4"/>
    <w:rsid w:val="00850884"/>
    <w:rsid w:val="00850A15"/>
    <w:rsid w:val="00853296"/>
    <w:rsid w:val="00854C8D"/>
    <w:rsid w:val="008552F2"/>
    <w:rsid w:val="0085540F"/>
    <w:rsid w:val="008559ED"/>
    <w:rsid w:val="00855A93"/>
    <w:rsid w:val="008563B5"/>
    <w:rsid w:val="00860733"/>
    <w:rsid w:val="00860861"/>
    <w:rsid w:val="0086087E"/>
    <w:rsid w:val="00860971"/>
    <w:rsid w:val="0086142B"/>
    <w:rsid w:val="00862113"/>
    <w:rsid w:val="00862981"/>
    <w:rsid w:val="00862B16"/>
    <w:rsid w:val="00862CF9"/>
    <w:rsid w:val="00863421"/>
    <w:rsid w:val="008635A3"/>
    <w:rsid w:val="00863B67"/>
    <w:rsid w:val="00863EED"/>
    <w:rsid w:val="008646CD"/>
    <w:rsid w:val="008649B3"/>
    <w:rsid w:val="00864F02"/>
    <w:rsid w:val="00865089"/>
    <w:rsid w:val="0086530F"/>
    <w:rsid w:val="0086567F"/>
    <w:rsid w:val="008656E4"/>
    <w:rsid w:val="008659A5"/>
    <w:rsid w:val="00865A23"/>
    <w:rsid w:val="008663A7"/>
    <w:rsid w:val="0086705C"/>
    <w:rsid w:val="0086743F"/>
    <w:rsid w:val="00870715"/>
    <w:rsid w:val="00870949"/>
    <w:rsid w:val="008709F9"/>
    <w:rsid w:val="00871169"/>
    <w:rsid w:val="0087164B"/>
    <w:rsid w:val="008717C6"/>
    <w:rsid w:val="0087212F"/>
    <w:rsid w:val="00872173"/>
    <w:rsid w:val="0087239D"/>
    <w:rsid w:val="00872ABD"/>
    <w:rsid w:val="00873EC9"/>
    <w:rsid w:val="00874280"/>
    <w:rsid w:val="00874FC8"/>
    <w:rsid w:val="00875C76"/>
    <w:rsid w:val="00876298"/>
    <w:rsid w:val="008762F2"/>
    <w:rsid w:val="008765D3"/>
    <w:rsid w:val="00876837"/>
    <w:rsid w:val="00877326"/>
    <w:rsid w:val="00877330"/>
    <w:rsid w:val="00880D03"/>
    <w:rsid w:val="00881EB7"/>
    <w:rsid w:val="00882537"/>
    <w:rsid w:val="00882A14"/>
    <w:rsid w:val="00883738"/>
    <w:rsid w:val="00884FC7"/>
    <w:rsid w:val="00886303"/>
    <w:rsid w:val="00886C88"/>
    <w:rsid w:val="00887C24"/>
    <w:rsid w:val="00890053"/>
    <w:rsid w:val="00890AA0"/>
    <w:rsid w:val="00890C45"/>
    <w:rsid w:val="0089168C"/>
    <w:rsid w:val="008921C8"/>
    <w:rsid w:val="00893724"/>
    <w:rsid w:val="0089384F"/>
    <w:rsid w:val="00895024"/>
    <w:rsid w:val="0089508F"/>
    <w:rsid w:val="00895EF4"/>
    <w:rsid w:val="00895F2C"/>
    <w:rsid w:val="0089706F"/>
    <w:rsid w:val="008973A2"/>
    <w:rsid w:val="00897412"/>
    <w:rsid w:val="008A11B0"/>
    <w:rsid w:val="008A156A"/>
    <w:rsid w:val="008A1980"/>
    <w:rsid w:val="008A1A71"/>
    <w:rsid w:val="008A26B5"/>
    <w:rsid w:val="008A49B0"/>
    <w:rsid w:val="008A5E26"/>
    <w:rsid w:val="008A60FA"/>
    <w:rsid w:val="008B0056"/>
    <w:rsid w:val="008B0301"/>
    <w:rsid w:val="008B0DFE"/>
    <w:rsid w:val="008B20A5"/>
    <w:rsid w:val="008B2464"/>
    <w:rsid w:val="008B2A17"/>
    <w:rsid w:val="008B3262"/>
    <w:rsid w:val="008B70BD"/>
    <w:rsid w:val="008B70FD"/>
    <w:rsid w:val="008B793F"/>
    <w:rsid w:val="008B7A1D"/>
    <w:rsid w:val="008B7DF4"/>
    <w:rsid w:val="008C13F4"/>
    <w:rsid w:val="008C1474"/>
    <w:rsid w:val="008C15D8"/>
    <w:rsid w:val="008C1DB6"/>
    <w:rsid w:val="008C2302"/>
    <w:rsid w:val="008C2922"/>
    <w:rsid w:val="008C2C0A"/>
    <w:rsid w:val="008C30B3"/>
    <w:rsid w:val="008C36A8"/>
    <w:rsid w:val="008C40E0"/>
    <w:rsid w:val="008C58E2"/>
    <w:rsid w:val="008C5AD3"/>
    <w:rsid w:val="008C5B49"/>
    <w:rsid w:val="008C62F5"/>
    <w:rsid w:val="008C6B46"/>
    <w:rsid w:val="008C6C5E"/>
    <w:rsid w:val="008C722E"/>
    <w:rsid w:val="008C746C"/>
    <w:rsid w:val="008C7809"/>
    <w:rsid w:val="008C7CDE"/>
    <w:rsid w:val="008D098E"/>
    <w:rsid w:val="008D182F"/>
    <w:rsid w:val="008D19E0"/>
    <w:rsid w:val="008D24F5"/>
    <w:rsid w:val="008D5BD2"/>
    <w:rsid w:val="008D5E28"/>
    <w:rsid w:val="008D6D37"/>
    <w:rsid w:val="008D7A22"/>
    <w:rsid w:val="008E0772"/>
    <w:rsid w:val="008E09D1"/>
    <w:rsid w:val="008E115E"/>
    <w:rsid w:val="008E1B0F"/>
    <w:rsid w:val="008E2093"/>
    <w:rsid w:val="008E2288"/>
    <w:rsid w:val="008E22C4"/>
    <w:rsid w:val="008E3FD6"/>
    <w:rsid w:val="008E4004"/>
    <w:rsid w:val="008E4073"/>
    <w:rsid w:val="008E4149"/>
    <w:rsid w:val="008E47E0"/>
    <w:rsid w:val="008E496F"/>
    <w:rsid w:val="008E4BCB"/>
    <w:rsid w:val="008E540A"/>
    <w:rsid w:val="008E5D08"/>
    <w:rsid w:val="008E6569"/>
    <w:rsid w:val="008E6829"/>
    <w:rsid w:val="008E709D"/>
    <w:rsid w:val="008E70DB"/>
    <w:rsid w:val="008E759A"/>
    <w:rsid w:val="008E763B"/>
    <w:rsid w:val="008E78F7"/>
    <w:rsid w:val="008E7B3E"/>
    <w:rsid w:val="008E7B7D"/>
    <w:rsid w:val="008F0373"/>
    <w:rsid w:val="008F0722"/>
    <w:rsid w:val="008F0E8D"/>
    <w:rsid w:val="008F115A"/>
    <w:rsid w:val="008F257F"/>
    <w:rsid w:val="008F3264"/>
    <w:rsid w:val="008F36D7"/>
    <w:rsid w:val="008F371E"/>
    <w:rsid w:val="008F5177"/>
    <w:rsid w:val="008F57B7"/>
    <w:rsid w:val="008F591F"/>
    <w:rsid w:val="008F6076"/>
    <w:rsid w:val="008F60A4"/>
    <w:rsid w:val="008F7838"/>
    <w:rsid w:val="009005B6"/>
    <w:rsid w:val="00900FC3"/>
    <w:rsid w:val="0090172A"/>
    <w:rsid w:val="00902CFE"/>
    <w:rsid w:val="00902D89"/>
    <w:rsid w:val="00902DB0"/>
    <w:rsid w:val="00903F76"/>
    <w:rsid w:val="00904BD4"/>
    <w:rsid w:val="00905C76"/>
    <w:rsid w:val="00906B26"/>
    <w:rsid w:val="00911B95"/>
    <w:rsid w:val="00912CA1"/>
    <w:rsid w:val="0091332E"/>
    <w:rsid w:val="00914CB2"/>
    <w:rsid w:val="00914E23"/>
    <w:rsid w:val="00914F76"/>
    <w:rsid w:val="0091529E"/>
    <w:rsid w:val="0091537F"/>
    <w:rsid w:val="009153DA"/>
    <w:rsid w:val="00916AD0"/>
    <w:rsid w:val="0092093B"/>
    <w:rsid w:val="00921E0E"/>
    <w:rsid w:val="00921E93"/>
    <w:rsid w:val="009220E9"/>
    <w:rsid w:val="00922137"/>
    <w:rsid w:val="00924327"/>
    <w:rsid w:val="0092502A"/>
    <w:rsid w:val="00926532"/>
    <w:rsid w:val="009271AD"/>
    <w:rsid w:val="0092737C"/>
    <w:rsid w:val="00927DC3"/>
    <w:rsid w:val="00931017"/>
    <w:rsid w:val="00931876"/>
    <w:rsid w:val="00931C20"/>
    <w:rsid w:val="00932E62"/>
    <w:rsid w:val="009338A4"/>
    <w:rsid w:val="0093421F"/>
    <w:rsid w:val="0093458E"/>
    <w:rsid w:val="0093523C"/>
    <w:rsid w:val="00936477"/>
    <w:rsid w:val="00936482"/>
    <w:rsid w:val="009364A7"/>
    <w:rsid w:val="00936582"/>
    <w:rsid w:val="0093689B"/>
    <w:rsid w:val="00936DE0"/>
    <w:rsid w:val="0093727F"/>
    <w:rsid w:val="00940B60"/>
    <w:rsid w:val="00941760"/>
    <w:rsid w:val="0094178D"/>
    <w:rsid w:val="009432D6"/>
    <w:rsid w:val="009433D1"/>
    <w:rsid w:val="009435A9"/>
    <w:rsid w:val="00943900"/>
    <w:rsid w:val="00943A27"/>
    <w:rsid w:val="009443F4"/>
    <w:rsid w:val="00945B0D"/>
    <w:rsid w:val="00945CA7"/>
    <w:rsid w:val="00947039"/>
    <w:rsid w:val="00947FE3"/>
    <w:rsid w:val="009508E6"/>
    <w:rsid w:val="009509DF"/>
    <w:rsid w:val="00950D16"/>
    <w:rsid w:val="00951501"/>
    <w:rsid w:val="00951D7B"/>
    <w:rsid w:val="0095311F"/>
    <w:rsid w:val="009541C9"/>
    <w:rsid w:val="0095464F"/>
    <w:rsid w:val="00955401"/>
    <w:rsid w:val="00955556"/>
    <w:rsid w:val="00955746"/>
    <w:rsid w:val="00955AE5"/>
    <w:rsid w:val="009566C6"/>
    <w:rsid w:val="0095701E"/>
    <w:rsid w:val="009570D9"/>
    <w:rsid w:val="00957162"/>
    <w:rsid w:val="00957D63"/>
    <w:rsid w:val="009611A0"/>
    <w:rsid w:val="0096128D"/>
    <w:rsid w:val="009613E3"/>
    <w:rsid w:val="00962043"/>
    <w:rsid w:val="00962B16"/>
    <w:rsid w:val="00962C91"/>
    <w:rsid w:val="00963550"/>
    <w:rsid w:val="00966AEB"/>
    <w:rsid w:val="00970072"/>
    <w:rsid w:val="00971363"/>
    <w:rsid w:val="00971664"/>
    <w:rsid w:val="00973790"/>
    <w:rsid w:val="009750DA"/>
    <w:rsid w:val="00975401"/>
    <w:rsid w:val="009755AC"/>
    <w:rsid w:val="00975A55"/>
    <w:rsid w:val="00975AE1"/>
    <w:rsid w:val="00975D80"/>
    <w:rsid w:val="00976184"/>
    <w:rsid w:val="009767AA"/>
    <w:rsid w:val="009776E5"/>
    <w:rsid w:val="00977ECC"/>
    <w:rsid w:val="00980800"/>
    <w:rsid w:val="00980AD9"/>
    <w:rsid w:val="00981322"/>
    <w:rsid w:val="009813FD"/>
    <w:rsid w:val="009816C2"/>
    <w:rsid w:val="00981BEF"/>
    <w:rsid w:val="009824F3"/>
    <w:rsid w:val="00982DA6"/>
    <w:rsid w:val="009838B9"/>
    <w:rsid w:val="0098434F"/>
    <w:rsid w:val="00985E3B"/>
    <w:rsid w:val="00986420"/>
    <w:rsid w:val="009871FF"/>
    <w:rsid w:val="009907B9"/>
    <w:rsid w:val="00990B1E"/>
    <w:rsid w:val="00990E37"/>
    <w:rsid w:val="00991CBE"/>
    <w:rsid w:val="00992284"/>
    <w:rsid w:val="00993DC9"/>
    <w:rsid w:val="009940C7"/>
    <w:rsid w:val="00994638"/>
    <w:rsid w:val="009946F0"/>
    <w:rsid w:val="00995817"/>
    <w:rsid w:val="00995AD4"/>
    <w:rsid w:val="00996114"/>
    <w:rsid w:val="009969E5"/>
    <w:rsid w:val="00996AFB"/>
    <w:rsid w:val="00997AE5"/>
    <w:rsid w:val="009A02A9"/>
    <w:rsid w:val="009A0A20"/>
    <w:rsid w:val="009A1F3C"/>
    <w:rsid w:val="009A207E"/>
    <w:rsid w:val="009A21B2"/>
    <w:rsid w:val="009A271C"/>
    <w:rsid w:val="009A2BC4"/>
    <w:rsid w:val="009A328A"/>
    <w:rsid w:val="009A4175"/>
    <w:rsid w:val="009A483B"/>
    <w:rsid w:val="009A4A6A"/>
    <w:rsid w:val="009A4C5B"/>
    <w:rsid w:val="009A4F43"/>
    <w:rsid w:val="009A56E9"/>
    <w:rsid w:val="009A5E60"/>
    <w:rsid w:val="009A6007"/>
    <w:rsid w:val="009B0BB6"/>
    <w:rsid w:val="009B206B"/>
    <w:rsid w:val="009B5307"/>
    <w:rsid w:val="009B5340"/>
    <w:rsid w:val="009B539D"/>
    <w:rsid w:val="009B6883"/>
    <w:rsid w:val="009B760A"/>
    <w:rsid w:val="009B7BC8"/>
    <w:rsid w:val="009C1960"/>
    <w:rsid w:val="009C1CDE"/>
    <w:rsid w:val="009C1EF2"/>
    <w:rsid w:val="009C2A67"/>
    <w:rsid w:val="009C2E23"/>
    <w:rsid w:val="009C3396"/>
    <w:rsid w:val="009C4499"/>
    <w:rsid w:val="009C4707"/>
    <w:rsid w:val="009C491F"/>
    <w:rsid w:val="009C5591"/>
    <w:rsid w:val="009C5770"/>
    <w:rsid w:val="009C589B"/>
    <w:rsid w:val="009C5E7E"/>
    <w:rsid w:val="009C6845"/>
    <w:rsid w:val="009C7177"/>
    <w:rsid w:val="009D00B5"/>
    <w:rsid w:val="009D07A6"/>
    <w:rsid w:val="009D0D23"/>
    <w:rsid w:val="009D2B36"/>
    <w:rsid w:val="009D2E4C"/>
    <w:rsid w:val="009D30BD"/>
    <w:rsid w:val="009D3330"/>
    <w:rsid w:val="009D37BF"/>
    <w:rsid w:val="009D3871"/>
    <w:rsid w:val="009D4263"/>
    <w:rsid w:val="009D44B6"/>
    <w:rsid w:val="009D461B"/>
    <w:rsid w:val="009D5747"/>
    <w:rsid w:val="009D6A52"/>
    <w:rsid w:val="009D7A76"/>
    <w:rsid w:val="009E0C11"/>
    <w:rsid w:val="009E109E"/>
    <w:rsid w:val="009E287D"/>
    <w:rsid w:val="009E287E"/>
    <w:rsid w:val="009E310F"/>
    <w:rsid w:val="009E3681"/>
    <w:rsid w:val="009E48C4"/>
    <w:rsid w:val="009E4919"/>
    <w:rsid w:val="009E4EF7"/>
    <w:rsid w:val="009E5F08"/>
    <w:rsid w:val="009E63D5"/>
    <w:rsid w:val="009E707C"/>
    <w:rsid w:val="009E7436"/>
    <w:rsid w:val="009E7FB9"/>
    <w:rsid w:val="009F002B"/>
    <w:rsid w:val="009F038D"/>
    <w:rsid w:val="009F091D"/>
    <w:rsid w:val="009F17BB"/>
    <w:rsid w:val="009F1962"/>
    <w:rsid w:val="009F1DAD"/>
    <w:rsid w:val="009F2308"/>
    <w:rsid w:val="009F29C8"/>
    <w:rsid w:val="009F29D5"/>
    <w:rsid w:val="009F2E56"/>
    <w:rsid w:val="009F30E5"/>
    <w:rsid w:val="009F3130"/>
    <w:rsid w:val="009F4915"/>
    <w:rsid w:val="009F492F"/>
    <w:rsid w:val="009F4BDE"/>
    <w:rsid w:val="009F6D76"/>
    <w:rsid w:val="009F7740"/>
    <w:rsid w:val="00A00219"/>
    <w:rsid w:val="00A00243"/>
    <w:rsid w:val="00A0073C"/>
    <w:rsid w:val="00A00BAE"/>
    <w:rsid w:val="00A012DE"/>
    <w:rsid w:val="00A01469"/>
    <w:rsid w:val="00A019D1"/>
    <w:rsid w:val="00A02811"/>
    <w:rsid w:val="00A03050"/>
    <w:rsid w:val="00A03504"/>
    <w:rsid w:val="00A0363E"/>
    <w:rsid w:val="00A036D7"/>
    <w:rsid w:val="00A03D19"/>
    <w:rsid w:val="00A04373"/>
    <w:rsid w:val="00A0469D"/>
    <w:rsid w:val="00A04CB6"/>
    <w:rsid w:val="00A060D8"/>
    <w:rsid w:val="00A060DE"/>
    <w:rsid w:val="00A12196"/>
    <w:rsid w:val="00A12232"/>
    <w:rsid w:val="00A12F63"/>
    <w:rsid w:val="00A13A33"/>
    <w:rsid w:val="00A13B58"/>
    <w:rsid w:val="00A1630B"/>
    <w:rsid w:val="00A16670"/>
    <w:rsid w:val="00A166D6"/>
    <w:rsid w:val="00A16B34"/>
    <w:rsid w:val="00A17798"/>
    <w:rsid w:val="00A177C0"/>
    <w:rsid w:val="00A20A4D"/>
    <w:rsid w:val="00A20ECB"/>
    <w:rsid w:val="00A217D7"/>
    <w:rsid w:val="00A219EB"/>
    <w:rsid w:val="00A21F01"/>
    <w:rsid w:val="00A21FA1"/>
    <w:rsid w:val="00A22009"/>
    <w:rsid w:val="00A22188"/>
    <w:rsid w:val="00A228AB"/>
    <w:rsid w:val="00A238B8"/>
    <w:rsid w:val="00A238C4"/>
    <w:rsid w:val="00A24223"/>
    <w:rsid w:val="00A2432C"/>
    <w:rsid w:val="00A243C7"/>
    <w:rsid w:val="00A24496"/>
    <w:rsid w:val="00A252E0"/>
    <w:rsid w:val="00A263A1"/>
    <w:rsid w:val="00A268DB"/>
    <w:rsid w:val="00A30BF3"/>
    <w:rsid w:val="00A30E56"/>
    <w:rsid w:val="00A315D6"/>
    <w:rsid w:val="00A323B7"/>
    <w:rsid w:val="00A32F0A"/>
    <w:rsid w:val="00A336BF"/>
    <w:rsid w:val="00A33E35"/>
    <w:rsid w:val="00A33F70"/>
    <w:rsid w:val="00A34737"/>
    <w:rsid w:val="00A35C9F"/>
    <w:rsid w:val="00A35CFA"/>
    <w:rsid w:val="00A35F3F"/>
    <w:rsid w:val="00A36442"/>
    <w:rsid w:val="00A36ADA"/>
    <w:rsid w:val="00A3716B"/>
    <w:rsid w:val="00A37552"/>
    <w:rsid w:val="00A37721"/>
    <w:rsid w:val="00A3787C"/>
    <w:rsid w:val="00A40D22"/>
    <w:rsid w:val="00A4319C"/>
    <w:rsid w:val="00A43646"/>
    <w:rsid w:val="00A43663"/>
    <w:rsid w:val="00A43CFD"/>
    <w:rsid w:val="00A45120"/>
    <w:rsid w:val="00A47E27"/>
    <w:rsid w:val="00A50A04"/>
    <w:rsid w:val="00A50E42"/>
    <w:rsid w:val="00A531F9"/>
    <w:rsid w:val="00A54C0E"/>
    <w:rsid w:val="00A55B98"/>
    <w:rsid w:val="00A5623A"/>
    <w:rsid w:val="00A5755A"/>
    <w:rsid w:val="00A57DF6"/>
    <w:rsid w:val="00A60EF8"/>
    <w:rsid w:val="00A60F82"/>
    <w:rsid w:val="00A61B81"/>
    <w:rsid w:val="00A61EC1"/>
    <w:rsid w:val="00A63E3E"/>
    <w:rsid w:val="00A649EC"/>
    <w:rsid w:val="00A65B73"/>
    <w:rsid w:val="00A6662D"/>
    <w:rsid w:val="00A67116"/>
    <w:rsid w:val="00A67A54"/>
    <w:rsid w:val="00A707AA"/>
    <w:rsid w:val="00A71073"/>
    <w:rsid w:val="00A713FA"/>
    <w:rsid w:val="00A714A9"/>
    <w:rsid w:val="00A7166D"/>
    <w:rsid w:val="00A71CEE"/>
    <w:rsid w:val="00A72058"/>
    <w:rsid w:val="00A73414"/>
    <w:rsid w:val="00A7375F"/>
    <w:rsid w:val="00A7391B"/>
    <w:rsid w:val="00A73943"/>
    <w:rsid w:val="00A73C85"/>
    <w:rsid w:val="00A73DD0"/>
    <w:rsid w:val="00A7547F"/>
    <w:rsid w:val="00A779B5"/>
    <w:rsid w:val="00A77C74"/>
    <w:rsid w:val="00A77D4C"/>
    <w:rsid w:val="00A8121A"/>
    <w:rsid w:val="00A81E8A"/>
    <w:rsid w:val="00A81EE6"/>
    <w:rsid w:val="00A8560B"/>
    <w:rsid w:val="00A86117"/>
    <w:rsid w:val="00A902AC"/>
    <w:rsid w:val="00A90F88"/>
    <w:rsid w:val="00A91521"/>
    <w:rsid w:val="00A92004"/>
    <w:rsid w:val="00A927C9"/>
    <w:rsid w:val="00A92AB4"/>
    <w:rsid w:val="00A92C6F"/>
    <w:rsid w:val="00A94752"/>
    <w:rsid w:val="00A94E70"/>
    <w:rsid w:val="00A95189"/>
    <w:rsid w:val="00A958F0"/>
    <w:rsid w:val="00A95B36"/>
    <w:rsid w:val="00A9609B"/>
    <w:rsid w:val="00A962E5"/>
    <w:rsid w:val="00A96492"/>
    <w:rsid w:val="00A964F1"/>
    <w:rsid w:val="00A96647"/>
    <w:rsid w:val="00A97B86"/>
    <w:rsid w:val="00A97EDD"/>
    <w:rsid w:val="00AA0786"/>
    <w:rsid w:val="00AA0A98"/>
    <w:rsid w:val="00AA1503"/>
    <w:rsid w:val="00AA19C7"/>
    <w:rsid w:val="00AA19CE"/>
    <w:rsid w:val="00AA2522"/>
    <w:rsid w:val="00AA6176"/>
    <w:rsid w:val="00AA76D7"/>
    <w:rsid w:val="00AB12F0"/>
    <w:rsid w:val="00AB13B7"/>
    <w:rsid w:val="00AB1B2C"/>
    <w:rsid w:val="00AB2781"/>
    <w:rsid w:val="00AB2F04"/>
    <w:rsid w:val="00AB35FA"/>
    <w:rsid w:val="00AB4BE9"/>
    <w:rsid w:val="00AB4D81"/>
    <w:rsid w:val="00AB5C73"/>
    <w:rsid w:val="00AB5F60"/>
    <w:rsid w:val="00AB61D9"/>
    <w:rsid w:val="00AB7163"/>
    <w:rsid w:val="00AC063F"/>
    <w:rsid w:val="00AC0986"/>
    <w:rsid w:val="00AC126A"/>
    <w:rsid w:val="00AC409B"/>
    <w:rsid w:val="00AC40BB"/>
    <w:rsid w:val="00AC4760"/>
    <w:rsid w:val="00AC4761"/>
    <w:rsid w:val="00AC4B96"/>
    <w:rsid w:val="00AC4D5C"/>
    <w:rsid w:val="00AC4D8D"/>
    <w:rsid w:val="00AC6186"/>
    <w:rsid w:val="00AC6E03"/>
    <w:rsid w:val="00AD063D"/>
    <w:rsid w:val="00AD071E"/>
    <w:rsid w:val="00AD0FA7"/>
    <w:rsid w:val="00AD10DD"/>
    <w:rsid w:val="00AD1D29"/>
    <w:rsid w:val="00AD1F7B"/>
    <w:rsid w:val="00AD2483"/>
    <w:rsid w:val="00AD24E6"/>
    <w:rsid w:val="00AD296D"/>
    <w:rsid w:val="00AD2DC5"/>
    <w:rsid w:val="00AD3DC8"/>
    <w:rsid w:val="00AD3E5B"/>
    <w:rsid w:val="00AD4286"/>
    <w:rsid w:val="00AD4501"/>
    <w:rsid w:val="00AD460A"/>
    <w:rsid w:val="00AD4C87"/>
    <w:rsid w:val="00AD5D0B"/>
    <w:rsid w:val="00AD6AD3"/>
    <w:rsid w:val="00AD7317"/>
    <w:rsid w:val="00AD73F9"/>
    <w:rsid w:val="00AE1399"/>
    <w:rsid w:val="00AE19AB"/>
    <w:rsid w:val="00AE2101"/>
    <w:rsid w:val="00AE2271"/>
    <w:rsid w:val="00AE24C4"/>
    <w:rsid w:val="00AE45BA"/>
    <w:rsid w:val="00AE4B5E"/>
    <w:rsid w:val="00AE598B"/>
    <w:rsid w:val="00AE6020"/>
    <w:rsid w:val="00AE6ACF"/>
    <w:rsid w:val="00AE72A5"/>
    <w:rsid w:val="00AE7301"/>
    <w:rsid w:val="00AE7377"/>
    <w:rsid w:val="00AE73EB"/>
    <w:rsid w:val="00AF0397"/>
    <w:rsid w:val="00AF064F"/>
    <w:rsid w:val="00AF1D2F"/>
    <w:rsid w:val="00AF20E1"/>
    <w:rsid w:val="00AF24A9"/>
    <w:rsid w:val="00AF45BF"/>
    <w:rsid w:val="00AF5E02"/>
    <w:rsid w:val="00AF648F"/>
    <w:rsid w:val="00AF67E5"/>
    <w:rsid w:val="00AF742A"/>
    <w:rsid w:val="00AF7F1E"/>
    <w:rsid w:val="00AF7FF5"/>
    <w:rsid w:val="00B0055A"/>
    <w:rsid w:val="00B0172F"/>
    <w:rsid w:val="00B04195"/>
    <w:rsid w:val="00B044F5"/>
    <w:rsid w:val="00B04E3E"/>
    <w:rsid w:val="00B0539C"/>
    <w:rsid w:val="00B05471"/>
    <w:rsid w:val="00B055D0"/>
    <w:rsid w:val="00B05727"/>
    <w:rsid w:val="00B05762"/>
    <w:rsid w:val="00B059CB"/>
    <w:rsid w:val="00B05F11"/>
    <w:rsid w:val="00B06344"/>
    <w:rsid w:val="00B10E72"/>
    <w:rsid w:val="00B10EB6"/>
    <w:rsid w:val="00B112B9"/>
    <w:rsid w:val="00B12C90"/>
    <w:rsid w:val="00B13FA9"/>
    <w:rsid w:val="00B14530"/>
    <w:rsid w:val="00B149AF"/>
    <w:rsid w:val="00B149D7"/>
    <w:rsid w:val="00B14D09"/>
    <w:rsid w:val="00B15720"/>
    <w:rsid w:val="00B157FB"/>
    <w:rsid w:val="00B1582C"/>
    <w:rsid w:val="00B15BA0"/>
    <w:rsid w:val="00B20B05"/>
    <w:rsid w:val="00B20DDD"/>
    <w:rsid w:val="00B2111A"/>
    <w:rsid w:val="00B229A0"/>
    <w:rsid w:val="00B230DD"/>
    <w:rsid w:val="00B23216"/>
    <w:rsid w:val="00B25E2C"/>
    <w:rsid w:val="00B267E3"/>
    <w:rsid w:val="00B27065"/>
    <w:rsid w:val="00B272A1"/>
    <w:rsid w:val="00B2797D"/>
    <w:rsid w:val="00B27EB7"/>
    <w:rsid w:val="00B309C4"/>
    <w:rsid w:val="00B30D52"/>
    <w:rsid w:val="00B31956"/>
    <w:rsid w:val="00B31EED"/>
    <w:rsid w:val="00B32378"/>
    <w:rsid w:val="00B3246B"/>
    <w:rsid w:val="00B32A36"/>
    <w:rsid w:val="00B32B1A"/>
    <w:rsid w:val="00B33385"/>
    <w:rsid w:val="00B33BEB"/>
    <w:rsid w:val="00B33FFD"/>
    <w:rsid w:val="00B3668F"/>
    <w:rsid w:val="00B3701C"/>
    <w:rsid w:val="00B37267"/>
    <w:rsid w:val="00B416FC"/>
    <w:rsid w:val="00B41EA2"/>
    <w:rsid w:val="00B420A1"/>
    <w:rsid w:val="00B43AB7"/>
    <w:rsid w:val="00B44130"/>
    <w:rsid w:val="00B44B85"/>
    <w:rsid w:val="00B4532E"/>
    <w:rsid w:val="00B45425"/>
    <w:rsid w:val="00B4558C"/>
    <w:rsid w:val="00B47179"/>
    <w:rsid w:val="00B507FC"/>
    <w:rsid w:val="00B511D3"/>
    <w:rsid w:val="00B5149B"/>
    <w:rsid w:val="00B51500"/>
    <w:rsid w:val="00B51F1B"/>
    <w:rsid w:val="00B5209A"/>
    <w:rsid w:val="00B522C1"/>
    <w:rsid w:val="00B5259B"/>
    <w:rsid w:val="00B528A5"/>
    <w:rsid w:val="00B531C4"/>
    <w:rsid w:val="00B532BC"/>
    <w:rsid w:val="00B53C34"/>
    <w:rsid w:val="00B549EF"/>
    <w:rsid w:val="00B54E13"/>
    <w:rsid w:val="00B5544B"/>
    <w:rsid w:val="00B555E4"/>
    <w:rsid w:val="00B5615A"/>
    <w:rsid w:val="00B56479"/>
    <w:rsid w:val="00B56945"/>
    <w:rsid w:val="00B56D9F"/>
    <w:rsid w:val="00B57C96"/>
    <w:rsid w:val="00B60138"/>
    <w:rsid w:val="00B60CBF"/>
    <w:rsid w:val="00B61E64"/>
    <w:rsid w:val="00B622AD"/>
    <w:rsid w:val="00B6289F"/>
    <w:rsid w:val="00B62DAF"/>
    <w:rsid w:val="00B633E8"/>
    <w:rsid w:val="00B645DB"/>
    <w:rsid w:val="00B653F7"/>
    <w:rsid w:val="00B66A12"/>
    <w:rsid w:val="00B66DCA"/>
    <w:rsid w:val="00B671F3"/>
    <w:rsid w:val="00B672DD"/>
    <w:rsid w:val="00B679DB"/>
    <w:rsid w:val="00B67EC9"/>
    <w:rsid w:val="00B712A6"/>
    <w:rsid w:val="00B72370"/>
    <w:rsid w:val="00B7255D"/>
    <w:rsid w:val="00B7310C"/>
    <w:rsid w:val="00B735F1"/>
    <w:rsid w:val="00B73A55"/>
    <w:rsid w:val="00B74263"/>
    <w:rsid w:val="00B74373"/>
    <w:rsid w:val="00B75345"/>
    <w:rsid w:val="00B757B7"/>
    <w:rsid w:val="00B75E83"/>
    <w:rsid w:val="00B769BA"/>
    <w:rsid w:val="00B772D8"/>
    <w:rsid w:val="00B77D09"/>
    <w:rsid w:val="00B8036C"/>
    <w:rsid w:val="00B80537"/>
    <w:rsid w:val="00B8111E"/>
    <w:rsid w:val="00B812DC"/>
    <w:rsid w:val="00B816B8"/>
    <w:rsid w:val="00B81FDA"/>
    <w:rsid w:val="00B83406"/>
    <w:rsid w:val="00B83A7D"/>
    <w:rsid w:val="00B83ED5"/>
    <w:rsid w:val="00B851B3"/>
    <w:rsid w:val="00B86074"/>
    <w:rsid w:val="00B86091"/>
    <w:rsid w:val="00B86B1E"/>
    <w:rsid w:val="00B86C2C"/>
    <w:rsid w:val="00B906BB"/>
    <w:rsid w:val="00B90A39"/>
    <w:rsid w:val="00B91BD6"/>
    <w:rsid w:val="00B921A1"/>
    <w:rsid w:val="00B9254C"/>
    <w:rsid w:val="00B925A2"/>
    <w:rsid w:val="00B9289F"/>
    <w:rsid w:val="00B92EB2"/>
    <w:rsid w:val="00B92F8F"/>
    <w:rsid w:val="00B930C1"/>
    <w:rsid w:val="00B934A5"/>
    <w:rsid w:val="00B9580C"/>
    <w:rsid w:val="00B9589C"/>
    <w:rsid w:val="00B96DE0"/>
    <w:rsid w:val="00B97033"/>
    <w:rsid w:val="00B970E6"/>
    <w:rsid w:val="00B97AFA"/>
    <w:rsid w:val="00BA14D6"/>
    <w:rsid w:val="00BA1510"/>
    <w:rsid w:val="00BA1BF7"/>
    <w:rsid w:val="00BA1F2D"/>
    <w:rsid w:val="00BA2B02"/>
    <w:rsid w:val="00BA2E1D"/>
    <w:rsid w:val="00BA33A6"/>
    <w:rsid w:val="00BA35ED"/>
    <w:rsid w:val="00BA41C7"/>
    <w:rsid w:val="00BA45FF"/>
    <w:rsid w:val="00BA4620"/>
    <w:rsid w:val="00BA48C9"/>
    <w:rsid w:val="00BA4B6B"/>
    <w:rsid w:val="00BA5903"/>
    <w:rsid w:val="00BA5935"/>
    <w:rsid w:val="00BA765F"/>
    <w:rsid w:val="00BA79C7"/>
    <w:rsid w:val="00BB0310"/>
    <w:rsid w:val="00BB0473"/>
    <w:rsid w:val="00BB0889"/>
    <w:rsid w:val="00BB0D1B"/>
    <w:rsid w:val="00BB1921"/>
    <w:rsid w:val="00BB30BF"/>
    <w:rsid w:val="00BB43C1"/>
    <w:rsid w:val="00BB4571"/>
    <w:rsid w:val="00BB5307"/>
    <w:rsid w:val="00BB5911"/>
    <w:rsid w:val="00BB59E3"/>
    <w:rsid w:val="00BB6DE7"/>
    <w:rsid w:val="00BB7019"/>
    <w:rsid w:val="00BB713F"/>
    <w:rsid w:val="00BB752E"/>
    <w:rsid w:val="00BB7D2C"/>
    <w:rsid w:val="00BC0111"/>
    <w:rsid w:val="00BC06D6"/>
    <w:rsid w:val="00BC08F5"/>
    <w:rsid w:val="00BC2CFE"/>
    <w:rsid w:val="00BC2F53"/>
    <w:rsid w:val="00BC3355"/>
    <w:rsid w:val="00BC36F4"/>
    <w:rsid w:val="00BC3C23"/>
    <w:rsid w:val="00BC3CE3"/>
    <w:rsid w:val="00BC3DE4"/>
    <w:rsid w:val="00BC3E13"/>
    <w:rsid w:val="00BC4186"/>
    <w:rsid w:val="00BC48F6"/>
    <w:rsid w:val="00BC4D62"/>
    <w:rsid w:val="00BC5918"/>
    <w:rsid w:val="00BC599A"/>
    <w:rsid w:val="00BC5B2C"/>
    <w:rsid w:val="00BC6047"/>
    <w:rsid w:val="00BC6683"/>
    <w:rsid w:val="00BC7081"/>
    <w:rsid w:val="00BC7F10"/>
    <w:rsid w:val="00BD03B4"/>
    <w:rsid w:val="00BD0FF9"/>
    <w:rsid w:val="00BD212C"/>
    <w:rsid w:val="00BD2169"/>
    <w:rsid w:val="00BD2608"/>
    <w:rsid w:val="00BD2D61"/>
    <w:rsid w:val="00BD3952"/>
    <w:rsid w:val="00BD39AA"/>
    <w:rsid w:val="00BD3F1F"/>
    <w:rsid w:val="00BD45BB"/>
    <w:rsid w:val="00BD4EB7"/>
    <w:rsid w:val="00BD54EC"/>
    <w:rsid w:val="00BD5AF7"/>
    <w:rsid w:val="00BD6370"/>
    <w:rsid w:val="00BD6EEA"/>
    <w:rsid w:val="00BD6F97"/>
    <w:rsid w:val="00BD7955"/>
    <w:rsid w:val="00BD7B6D"/>
    <w:rsid w:val="00BE090F"/>
    <w:rsid w:val="00BE11BC"/>
    <w:rsid w:val="00BE1624"/>
    <w:rsid w:val="00BE1635"/>
    <w:rsid w:val="00BE262B"/>
    <w:rsid w:val="00BE28CF"/>
    <w:rsid w:val="00BE341F"/>
    <w:rsid w:val="00BE46B6"/>
    <w:rsid w:val="00BE4CE7"/>
    <w:rsid w:val="00BE5159"/>
    <w:rsid w:val="00BE5BEA"/>
    <w:rsid w:val="00BE5C57"/>
    <w:rsid w:val="00BE6801"/>
    <w:rsid w:val="00BE6FA5"/>
    <w:rsid w:val="00BE7A43"/>
    <w:rsid w:val="00BE7EF9"/>
    <w:rsid w:val="00BF00F5"/>
    <w:rsid w:val="00BF05A8"/>
    <w:rsid w:val="00BF1573"/>
    <w:rsid w:val="00BF28E7"/>
    <w:rsid w:val="00BF3EA0"/>
    <w:rsid w:val="00BF48E2"/>
    <w:rsid w:val="00BF49B2"/>
    <w:rsid w:val="00BF5CD1"/>
    <w:rsid w:val="00BF6C68"/>
    <w:rsid w:val="00BF6C9B"/>
    <w:rsid w:val="00BF6D5F"/>
    <w:rsid w:val="00BF7745"/>
    <w:rsid w:val="00BF7CBB"/>
    <w:rsid w:val="00C0034F"/>
    <w:rsid w:val="00C00A07"/>
    <w:rsid w:val="00C00BC2"/>
    <w:rsid w:val="00C02126"/>
    <w:rsid w:val="00C03541"/>
    <w:rsid w:val="00C035E8"/>
    <w:rsid w:val="00C03C05"/>
    <w:rsid w:val="00C03D31"/>
    <w:rsid w:val="00C05755"/>
    <w:rsid w:val="00C05DCA"/>
    <w:rsid w:val="00C066DF"/>
    <w:rsid w:val="00C06DCC"/>
    <w:rsid w:val="00C06DFF"/>
    <w:rsid w:val="00C07D55"/>
    <w:rsid w:val="00C102CE"/>
    <w:rsid w:val="00C109E0"/>
    <w:rsid w:val="00C116A3"/>
    <w:rsid w:val="00C116A7"/>
    <w:rsid w:val="00C118F4"/>
    <w:rsid w:val="00C1194C"/>
    <w:rsid w:val="00C13072"/>
    <w:rsid w:val="00C134A2"/>
    <w:rsid w:val="00C136C9"/>
    <w:rsid w:val="00C137AC"/>
    <w:rsid w:val="00C13FB8"/>
    <w:rsid w:val="00C144FC"/>
    <w:rsid w:val="00C14E70"/>
    <w:rsid w:val="00C162DD"/>
    <w:rsid w:val="00C16C5E"/>
    <w:rsid w:val="00C171BE"/>
    <w:rsid w:val="00C17697"/>
    <w:rsid w:val="00C17F22"/>
    <w:rsid w:val="00C2037A"/>
    <w:rsid w:val="00C20D3C"/>
    <w:rsid w:val="00C2135A"/>
    <w:rsid w:val="00C21614"/>
    <w:rsid w:val="00C219B4"/>
    <w:rsid w:val="00C219D0"/>
    <w:rsid w:val="00C223B1"/>
    <w:rsid w:val="00C225D0"/>
    <w:rsid w:val="00C22944"/>
    <w:rsid w:val="00C2441F"/>
    <w:rsid w:val="00C24B1F"/>
    <w:rsid w:val="00C24C96"/>
    <w:rsid w:val="00C24D00"/>
    <w:rsid w:val="00C253B8"/>
    <w:rsid w:val="00C25A71"/>
    <w:rsid w:val="00C25DEA"/>
    <w:rsid w:val="00C26891"/>
    <w:rsid w:val="00C26E49"/>
    <w:rsid w:val="00C26EB5"/>
    <w:rsid w:val="00C270C5"/>
    <w:rsid w:val="00C275E6"/>
    <w:rsid w:val="00C277CF"/>
    <w:rsid w:val="00C27894"/>
    <w:rsid w:val="00C30081"/>
    <w:rsid w:val="00C30983"/>
    <w:rsid w:val="00C316DC"/>
    <w:rsid w:val="00C31DCC"/>
    <w:rsid w:val="00C323CB"/>
    <w:rsid w:val="00C331F5"/>
    <w:rsid w:val="00C3337F"/>
    <w:rsid w:val="00C33F4D"/>
    <w:rsid w:val="00C343BD"/>
    <w:rsid w:val="00C34980"/>
    <w:rsid w:val="00C35B24"/>
    <w:rsid w:val="00C3720A"/>
    <w:rsid w:val="00C3743B"/>
    <w:rsid w:val="00C40CD0"/>
    <w:rsid w:val="00C40D88"/>
    <w:rsid w:val="00C443B2"/>
    <w:rsid w:val="00C44762"/>
    <w:rsid w:val="00C459AA"/>
    <w:rsid w:val="00C475A2"/>
    <w:rsid w:val="00C50282"/>
    <w:rsid w:val="00C50A7A"/>
    <w:rsid w:val="00C50E96"/>
    <w:rsid w:val="00C518C9"/>
    <w:rsid w:val="00C52D47"/>
    <w:rsid w:val="00C52DB2"/>
    <w:rsid w:val="00C5343E"/>
    <w:rsid w:val="00C53C7A"/>
    <w:rsid w:val="00C557E5"/>
    <w:rsid w:val="00C57885"/>
    <w:rsid w:val="00C57FDB"/>
    <w:rsid w:val="00C607AA"/>
    <w:rsid w:val="00C6090A"/>
    <w:rsid w:val="00C60E1C"/>
    <w:rsid w:val="00C612AD"/>
    <w:rsid w:val="00C61B15"/>
    <w:rsid w:val="00C62504"/>
    <w:rsid w:val="00C62569"/>
    <w:rsid w:val="00C62802"/>
    <w:rsid w:val="00C63121"/>
    <w:rsid w:val="00C64415"/>
    <w:rsid w:val="00C65048"/>
    <w:rsid w:val="00C65789"/>
    <w:rsid w:val="00C65AF3"/>
    <w:rsid w:val="00C66458"/>
    <w:rsid w:val="00C6770C"/>
    <w:rsid w:val="00C6771C"/>
    <w:rsid w:val="00C70BC5"/>
    <w:rsid w:val="00C717C7"/>
    <w:rsid w:val="00C71BB3"/>
    <w:rsid w:val="00C71CC5"/>
    <w:rsid w:val="00C72623"/>
    <w:rsid w:val="00C72AAF"/>
    <w:rsid w:val="00C73405"/>
    <w:rsid w:val="00C736C8"/>
    <w:rsid w:val="00C75078"/>
    <w:rsid w:val="00C75912"/>
    <w:rsid w:val="00C7669F"/>
    <w:rsid w:val="00C77486"/>
    <w:rsid w:val="00C77C33"/>
    <w:rsid w:val="00C80801"/>
    <w:rsid w:val="00C80FCE"/>
    <w:rsid w:val="00C81231"/>
    <w:rsid w:val="00C81F26"/>
    <w:rsid w:val="00C82CBA"/>
    <w:rsid w:val="00C8335E"/>
    <w:rsid w:val="00C84CA2"/>
    <w:rsid w:val="00C85DF1"/>
    <w:rsid w:val="00C8609A"/>
    <w:rsid w:val="00C8621D"/>
    <w:rsid w:val="00C862F8"/>
    <w:rsid w:val="00C87708"/>
    <w:rsid w:val="00C87C25"/>
    <w:rsid w:val="00C90612"/>
    <w:rsid w:val="00C90978"/>
    <w:rsid w:val="00C90EA6"/>
    <w:rsid w:val="00C9166B"/>
    <w:rsid w:val="00C91850"/>
    <w:rsid w:val="00C91EAE"/>
    <w:rsid w:val="00C92CF5"/>
    <w:rsid w:val="00C92D3A"/>
    <w:rsid w:val="00C9373B"/>
    <w:rsid w:val="00C93940"/>
    <w:rsid w:val="00C93AAE"/>
    <w:rsid w:val="00C9477B"/>
    <w:rsid w:val="00C94A8E"/>
    <w:rsid w:val="00C94E2A"/>
    <w:rsid w:val="00C94F0E"/>
    <w:rsid w:val="00C9587B"/>
    <w:rsid w:val="00C9729E"/>
    <w:rsid w:val="00C97435"/>
    <w:rsid w:val="00C97AAA"/>
    <w:rsid w:val="00C97C0D"/>
    <w:rsid w:val="00C97C93"/>
    <w:rsid w:val="00CA038D"/>
    <w:rsid w:val="00CA095F"/>
    <w:rsid w:val="00CA1F94"/>
    <w:rsid w:val="00CA203F"/>
    <w:rsid w:val="00CA237B"/>
    <w:rsid w:val="00CA2CA7"/>
    <w:rsid w:val="00CA3B67"/>
    <w:rsid w:val="00CA4DEE"/>
    <w:rsid w:val="00CA588F"/>
    <w:rsid w:val="00CB0081"/>
    <w:rsid w:val="00CB09BC"/>
    <w:rsid w:val="00CB0C60"/>
    <w:rsid w:val="00CB14AB"/>
    <w:rsid w:val="00CB1F28"/>
    <w:rsid w:val="00CB2816"/>
    <w:rsid w:val="00CB2A25"/>
    <w:rsid w:val="00CB5EA7"/>
    <w:rsid w:val="00CB652C"/>
    <w:rsid w:val="00CB7EED"/>
    <w:rsid w:val="00CB7EEE"/>
    <w:rsid w:val="00CC0207"/>
    <w:rsid w:val="00CC090B"/>
    <w:rsid w:val="00CC1A6B"/>
    <w:rsid w:val="00CC1DB7"/>
    <w:rsid w:val="00CC25BA"/>
    <w:rsid w:val="00CC27CE"/>
    <w:rsid w:val="00CC3A28"/>
    <w:rsid w:val="00CC40F9"/>
    <w:rsid w:val="00CC43B3"/>
    <w:rsid w:val="00CC45D3"/>
    <w:rsid w:val="00CC4CDA"/>
    <w:rsid w:val="00CC5359"/>
    <w:rsid w:val="00CC5937"/>
    <w:rsid w:val="00CC5F04"/>
    <w:rsid w:val="00CC6846"/>
    <w:rsid w:val="00CC712F"/>
    <w:rsid w:val="00CC78B0"/>
    <w:rsid w:val="00CD0784"/>
    <w:rsid w:val="00CD07FC"/>
    <w:rsid w:val="00CD3377"/>
    <w:rsid w:val="00CD4333"/>
    <w:rsid w:val="00CD4374"/>
    <w:rsid w:val="00CD5293"/>
    <w:rsid w:val="00CD7403"/>
    <w:rsid w:val="00CD7A21"/>
    <w:rsid w:val="00CE13A5"/>
    <w:rsid w:val="00CE163D"/>
    <w:rsid w:val="00CE1849"/>
    <w:rsid w:val="00CE21F2"/>
    <w:rsid w:val="00CE2A39"/>
    <w:rsid w:val="00CE2C6D"/>
    <w:rsid w:val="00CE34C9"/>
    <w:rsid w:val="00CE3BA5"/>
    <w:rsid w:val="00CE3C1E"/>
    <w:rsid w:val="00CE5CB1"/>
    <w:rsid w:val="00CE65D1"/>
    <w:rsid w:val="00CE6C44"/>
    <w:rsid w:val="00CE7808"/>
    <w:rsid w:val="00CE7D85"/>
    <w:rsid w:val="00CF089A"/>
    <w:rsid w:val="00CF0BA0"/>
    <w:rsid w:val="00CF0CBF"/>
    <w:rsid w:val="00CF1057"/>
    <w:rsid w:val="00CF1D7F"/>
    <w:rsid w:val="00CF2748"/>
    <w:rsid w:val="00CF2A22"/>
    <w:rsid w:val="00CF3046"/>
    <w:rsid w:val="00CF30D9"/>
    <w:rsid w:val="00CF41AA"/>
    <w:rsid w:val="00CF44E2"/>
    <w:rsid w:val="00CF5948"/>
    <w:rsid w:val="00CF5BA4"/>
    <w:rsid w:val="00CF5D4C"/>
    <w:rsid w:val="00CF5E11"/>
    <w:rsid w:val="00CF5FC4"/>
    <w:rsid w:val="00CF60D4"/>
    <w:rsid w:val="00CF6DD2"/>
    <w:rsid w:val="00CF71F4"/>
    <w:rsid w:val="00CF7CEB"/>
    <w:rsid w:val="00CF7E74"/>
    <w:rsid w:val="00D014E6"/>
    <w:rsid w:val="00D01BA3"/>
    <w:rsid w:val="00D03610"/>
    <w:rsid w:val="00D03714"/>
    <w:rsid w:val="00D046DF"/>
    <w:rsid w:val="00D063E5"/>
    <w:rsid w:val="00D067C3"/>
    <w:rsid w:val="00D06B1E"/>
    <w:rsid w:val="00D06CA9"/>
    <w:rsid w:val="00D071FE"/>
    <w:rsid w:val="00D0769C"/>
    <w:rsid w:val="00D1050E"/>
    <w:rsid w:val="00D10A0F"/>
    <w:rsid w:val="00D10AF2"/>
    <w:rsid w:val="00D12D24"/>
    <w:rsid w:val="00D13A20"/>
    <w:rsid w:val="00D14440"/>
    <w:rsid w:val="00D145BD"/>
    <w:rsid w:val="00D164C7"/>
    <w:rsid w:val="00D16540"/>
    <w:rsid w:val="00D16AA9"/>
    <w:rsid w:val="00D17981"/>
    <w:rsid w:val="00D205B4"/>
    <w:rsid w:val="00D20D18"/>
    <w:rsid w:val="00D20DAB"/>
    <w:rsid w:val="00D21708"/>
    <w:rsid w:val="00D218C5"/>
    <w:rsid w:val="00D2198D"/>
    <w:rsid w:val="00D22419"/>
    <w:rsid w:val="00D23995"/>
    <w:rsid w:val="00D23BEE"/>
    <w:rsid w:val="00D24424"/>
    <w:rsid w:val="00D2445B"/>
    <w:rsid w:val="00D24C6A"/>
    <w:rsid w:val="00D24D68"/>
    <w:rsid w:val="00D2512B"/>
    <w:rsid w:val="00D2520A"/>
    <w:rsid w:val="00D25D4F"/>
    <w:rsid w:val="00D25E22"/>
    <w:rsid w:val="00D275BA"/>
    <w:rsid w:val="00D3027E"/>
    <w:rsid w:val="00D3042F"/>
    <w:rsid w:val="00D30D21"/>
    <w:rsid w:val="00D31A39"/>
    <w:rsid w:val="00D3266F"/>
    <w:rsid w:val="00D32979"/>
    <w:rsid w:val="00D32E07"/>
    <w:rsid w:val="00D32FBE"/>
    <w:rsid w:val="00D3356A"/>
    <w:rsid w:val="00D33955"/>
    <w:rsid w:val="00D33C63"/>
    <w:rsid w:val="00D33CA3"/>
    <w:rsid w:val="00D33F3F"/>
    <w:rsid w:val="00D37071"/>
    <w:rsid w:val="00D37BFB"/>
    <w:rsid w:val="00D37C93"/>
    <w:rsid w:val="00D40755"/>
    <w:rsid w:val="00D41781"/>
    <w:rsid w:val="00D427C5"/>
    <w:rsid w:val="00D429B1"/>
    <w:rsid w:val="00D429EE"/>
    <w:rsid w:val="00D4369E"/>
    <w:rsid w:val="00D43C81"/>
    <w:rsid w:val="00D43E11"/>
    <w:rsid w:val="00D4577A"/>
    <w:rsid w:val="00D4621A"/>
    <w:rsid w:val="00D46374"/>
    <w:rsid w:val="00D46972"/>
    <w:rsid w:val="00D46A77"/>
    <w:rsid w:val="00D46D95"/>
    <w:rsid w:val="00D4790B"/>
    <w:rsid w:val="00D506EA"/>
    <w:rsid w:val="00D510D5"/>
    <w:rsid w:val="00D51439"/>
    <w:rsid w:val="00D5184C"/>
    <w:rsid w:val="00D51CDE"/>
    <w:rsid w:val="00D52AD7"/>
    <w:rsid w:val="00D53922"/>
    <w:rsid w:val="00D5613F"/>
    <w:rsid w:val="00D56568"/>
    <w:rsid w:val="00D56861"/>
    <w:rsid w:val="00D56ECC"/>
    <w:rsid w:val="00D57A78"/>
    <w:rsid w:val="00D60659"/>
    <w:rsid w:val="00D6077B"/>
    <w:rsid w:val="00D63830"/>
    <w:rsid w:val="00D640F1"/>
    <w:rsid w:val="00D64559"/>
    <w:rsid w:val="00D647FD"/>
    <w:rsid w:val="00D64827"/>
    <w:rsid w:val="00D65BF2"/>
    <w:rsid w:val="00D65CE4"/>
    <w:rsid w:val="00D66061"/>
    <w:rsid w:val="00D66134"/>
    <w:rsid w:val="00D6619A"/>
    <w:rsid w:val="00D66CD0"/>
    <w:rsid w:val="00D677AA"/>
    <w:rsid w:val="00D67E91"/>
    <w:rsid w:val="00D7027B"/>
    <w:rsid w:val="00D70771"/>
    <w:rsid w:val="00D70B3A"/>
    <w:rsid w:val="00D71A8B"/>
    <w:rsid w:val="00D7201D"/>
    <w:rsid w:val="00D72A58"/>
    <w:rsid w:val="00D73485"/>
    <w:rsid w:val="00D734EA"/>
    <w:rsid w:val="00D76348"/>
    <w:rsid w:val="00D805FE"/>
    <w:rsid w:val="00D809EE"/>
    <w:rsid w:val="00D80CB6"/>
    <w:rsid w:val="00D81DFA"/>
    <w:rsid w:val="00D82DB5"/>
    <w:rsid w:val="00D83C0F"/>
    <w:rsid w:val="00D83FA0"/>
    <w:rsid w:val="00D84009"/>
    <w:rsid w:val="00D84890"/>
    <w:rsid w:val="00D85E7A"/>
    <w:rsid w:val="00D861EB"/>
    <w:rsid w:val="00D868FF"/>
    <w:rsid w:val="00D8759A"/>
    <w:rsid w:val="00D87DE5"/>
    <w:rsid w:val="00D90981"/>
    <w:rsid w:val="00D913F0"/>
    <w:rsid w:val="00D923C8"/>
    <w:rsid w:val="00D926BD"/>
    <w:rsid w:val="00D94BCA"/>
    <w:rsid w:val="00D95BB3"/>
    <w:rsid w:val="00D95D76"/>
    <w:rsid w:val="00D964A3"/>
    <w:rsid w:val="00D96882"/>
    <w:rsid w:val="00D968F9"/>
    <w:rsid w:val="00D96CC0"/>
    <w:rsid w:val="00D974AA"/>
    <w:rsid w:val="00D97BCE"/>
    <w:rsid w:val="00DA045B"/>
    <w:rsid w:val="00DA0917"/>
    <w:rsid w:val="00DA09C7"/>
    <w:rsid w:val="00DA09D4"/>
    <w:rsid w:val="00DA0A42"/>
    <w:rsid w:val="00DA0E2D"/>
    <w:rsid w:val="00DA2902"/>
    <w:rsid w:val="00DA2A3C"/>
    <w:rsid w:val="00DA467C"/>
    <w:rsid w:val="00DA4BD9"/>
    <w:rsid w:val="00DA51E8"/>
    <w:rsid w:val="00DA5627"/>
    <w:rsid w:val="00DA5CA8"/>
    <w:rsid w:val="00DA647E"/>
    <w:rsid w:val="00DA6E2E"/>
    <w:rsid w:val="00DA700F"/>
    <w:rsid w:val="00DA71FE"/>
    <w:rsid w:val="00DB06D5"/>
    <w:rsid w:val="00DB0C7F"/>
    <w:rsid w:val="00DB1610"/>
    <w:rsid w:val="00DB1868"/>
    <w:rsid w:val="00DB29B8"/>
    <w:rsid w:val="00DB2E51"/>
    <w:rsid w:val="00DB34D7"/>
    <w:rsid w:val="00DB3874"/>
    <w:rsid w:val="00DB5607"/>
    <w:rsid w:val="00DB5E52"/>
    <w:rsid w:val="00DB60F2"/>
    <w:rsid w:val="00DB61B1"/>
    <w:rsid w:val="00DB6AC4"/>
    <w:rsid w:val="00DB6F2B"/>
    <w:rsid w:val="00DB708C"/>
    <w:rsid w:val="00DB74A2"/>
    <w:rsid w:val="00DC0379"/>
    <w:rsid w:val="00DC03ED"/>
    <w:rsid w:val="00DC06F3"/>
    <w:rsid w:val="00DC0D32"/>
    <w:rsid w:val="00DC1837"/>
    <w:rsid w:val="00DC2DBE"/>
    <w:rsid w:val="00DC33F3"/>
    <w:rsid w:val="00DC4F9E"/>
    <w:rsid w:val="00DC69D0"/>
    <w:rsid w:val="00DC6A11"/>
    <w:rsid w:val="00DD11CB"/>
    <w:rsid w:val="00DD1DED"/>
    <w:rsid w:val="00DD2511"/>
    <w:rsid w:val="00DD2903"/>
    <w:rsid w:val="00DD2F28"/>
    <w:rsid w:val="00DD3485"/>
    <w:rsid w:val="00DD3931"/>
    <w:rsid w:val="00DD5610"/>
    <w:rsid w:val="00DD5FBF"/>
    <w:rsid w:val="00DD647D"/>
    <w:rsid w:val="00DD6D4E"/>
    <w:rsid w:val="00DD71ED"/>
    <w:rsid w:val="00DE0126"/>
    <w:rsid w:val="00DE036A"/>
    <w:rsid w:val="00DE0438"/>
    <w:rsid w:val="00DE096C"/>
    <w:rsid w:val="00DE0A2D"/>
    <w:rsid w:val="00DE119B"/>
    <w:rsid w:val="00DE14B1"/>
    <w:rsid w:val="00DE1506"/>
    <w:rsid w:val="00DE1994"/>
    <w:rsid w:val="00DE3864"/>
    <w:rsid w:val="00DE3A1E"/>
    <w:rsid w:val="00DE471D"/>
    <w:rsid w:val="00DE5BA2"/>
    <w:rsid w:val="00DE5ED0"/>
    <w:rsid w:val="00DE6711"/>
    <w:rsid w:val="00DE75F2"/>
    <w:rsid w:val="00DF053E"/>
    <w:rsid w:val="00DF0910"/>
    <w:rsid w:val="00DF2777"/>
    <w:rsid w:val="00DF2878"/>
    <w:rsid w:val="00DF2BE9"/>
    <w:rsid w:val="00DF469D"/>
    <w:rsid w:val="00DF4740"/>
    <w:rsid w:val="00DF47C4"/>
    <w:rsid w:val="00DF58D7"/>
    <w:rsid w:val="00DF5952"/>
    <w:rsid w:val="00DF5F45"/>
    <w:rsid w:val="00E0062D"/>
    <w:rsid w:val="00E0120A"/>
    <w:rsid w:val="00E02604"/>
    <w:rsid w:val="00E02B16"/>
    <w:rsid w:val="00E04277"/>
    <w:rsid w:val="00E04652"/>
    <w:rsid w:val="00E04EAE"/>
    <w:rsid w:val="00E05181"/>
    <w:rsid w:val="00E05C3C"/>
    <w:rsid w:val="00E0653D"/>
    <w:rsid w:val="00E06FE5"/>
    <w:rsid w:val="00E07022"/>
    <w:rsid w:val="00E070E0"/>
    <w:rsid w:val="00E07D3B"/>
    <w:rsid w:val="00E10EE9"/>
    <w:rsid w:val="00E11477"/>
    <w:rsid w:val="00E11BAA"/>
    <w:rsid w:val="00E11D5C"/>
    <w:rsid w:val="00E12900"/>
    <w:rsid w:val="00E13A02"/>
    <w:rsid w:val="00E1450F"/>
    <w:rsid w:val="00E14594"/>
    <w:rsid w:val="00E146AA"/>
    <w:rsid w:val="00E14863"/>
    <w:rsid w:val="00E14F27"/>
    <w:rsid w:val="00E14F9A"/>
    <w:rsid w:val="00E16FAA"/>
    <w:rsid w:val="00E1758A"/>
    <w:rsid w:val="00E17EEE"/>
    <w:rsid w:val="00E20B88"/>
    <w:rsid w:val="00E20C86"/>
    <w:rsid w:val="00E21332"/>
    <w:rsid w:val="00E21D1E"/>
    <w:rsid w:val="00E22044"/>
    <w:rsid w:val="00E23967"/>
    <w:rsid w:val="00E23F85"/>
    <w:rsid w:val="00E24D1D"/>
    <w:rsid w:val="00E256F9"/>
    <w:rsid w:val="00E25BF5"/>
    <w:rsid w:val="00E25DF5"/>
    <w:rsid w:val="00E26555"/>
    <w:rsid w:val="00E27736"/>
    <w:rsid w:val="00E2799E"/>
    <w:rsid w:val="00E30422"/>
    <w:rsid w:val="00E307ED"/>
    <w:rsid w:val="00E3084E"/>
    <w:rsid w:val="00E31469"/>
    <w:rsid w:val="00E33380"/>
    <w:rsid w:val="00E353EC"/>
    <w:rsid w:val="00E37077"/>
    <w:rsid w:val="00E3783C"/>
    <w:rsid w:val="00E37905"/>
    <w:rsid w:val="00E4035A"/>
    <w:rsid w:val="00E40ED2"/>
    <w:rsid w:val="00E42AF5"/>
    <w:rsid w:val="00E43248"/>
    <w:rsid w:val="00E434BA"/>
    <w:rsid w:val="00E44BD3"/>
    <w:rsid w:val="00E454F8"/>
    <w:rsid w:val="00E45642"/>
    <w:rsid w:val="00E461D9"/>
    <w:rsid w:val="00E46E78"/>
    <w:rsid w:val="00E47965"/>
    <w:rsid w:val="00E518E2"/>
    <w:rsid w:val="00E51BE7"/>
    <w:rsid w:val="00E52C14"/>
    <w:rsid w:val="00E539CB"/>
    <w:rsid w:val="00E53E63"/>
    <w:rsid w:val="00E546CB"/>
    <w:rsid w:val="00E557C7"/>
    <w:rsid w:val="00E55F06"/>
    <w:rsid w:val="00E57607"/>
    <w:rsid w:val="00E57C77"/>
    <w:rsid w:val="00E57C96"/>
    <w:rsid w:val="00E615FB"/>
    <w:rsid w:val="00E61CB7"/>
    <w:rsid w:val="00E62249"/>
    <w:rsid w:val="00E624A3"/>
    <w:rsid w:val="00E62C6E"/>
    <w:rsid w:val="00E633F4"/>
    <w:rsid w:val="00E635AA"/>
    <w:rsid w:val="00E64AD7"/>
    <w:rsid w:val="00E64C54"/>
    <w:rsid w:val="00E6503B"/>
    <w:rsid w:val="00E65137"/>
    <w:rsid w:val="00E65B95"/>
    <w:rsid w:val="00E665E6"/>
    <w:rsid w:val="00E6785B"/>
    <w:rsid w:val="00E701CC"/>
    <w:rsid w:val="00E70653"/>
    <w:rsid w:val="00E70946"/>
    <w:rsid w:val="00E70D7A"/>
    <w:rsid w:val="00E71343"/>
    <w:rsid w:val="00E71895"/>
    <w:rsid w:val="00E7197A"/>
    <w:rsid w:val="00E71F50"/>
    <w:rsid w:val="00E72645"/>
    <w:rsid w:val="00E72F92"/>
    <w:rsid w:val="00E735B8"/>
    <w:rsid w:val="00E74106"/>
    <w:rsid w:val="00E74FEB"/>
    <w:rsid w:val="00E75327"/>
    <w:rsid w:val="00E7555E"/>
    <w:rsid w:val="00E75900"/>
    <w:rsid w:val="00E75B8C"/>
    <w:rsid w:val="00E76BD2"/>
    <w:rsid w:val="00E77354"/>
    <w:rsid w:val="00E77411"/>
    <w:rsid w:val="00E775A5"/>
    <w:rsid w:val="00E77E21"/>
    <w:rsid w:val="00E80625"/>
    <w:rsid w:val="00E8149F"/>
    <w:rsid w:val="00E821A7"/>
    <w:rsid w:val="00E8274E"/>
    <w:rsid w:val="00E82951"/>
    <w:rsid w:val="00E842DD"/>
    <w:rsid w:val="00E8449C"/>
    <w:rsid w:val="00E863CD"/>
    <w:rsid w:val="00E864ED"/>
    <w:rsid w:val="00E86C0E"/>
    <w:rsid w:val="00E87566"/>
    <w:rsid w:val="00E87582"/>
    <w:rsid w:val="00E87637"/>
    <w:rsid w:val="00E87CA0"/>
    <w:rsid w:val="00E903D0"/>
    <w:rsid w:val="00E907A4"/>
    <w:rsid w:val="00E90B0A"/>
    <w:rsid w:val="00E911EE"/>
    <w:rsid w:val="00E9139C"/>
    <w:rsid w:val="00E91AAE"/>
    <w:rsid w:val="00E91D68"/>
    <w:rsid w:val="00E9218F"/>
    <w:rsid w:val="00E92AF6"/>
    <w:rsid w:val="00E92CB5"/>
    <w:rsid w:val="00E92F59"/>
    <w:rsid w:val="00E93508"/>
    <w:rsid w:val="00E93EC0"/>
    <w:rsid w:val="00E94BE4"/>
    <w:rsid w:val="00E956C3"/>
    <w:rsid w:val="00E96097"/>
    <w:rsid w:val="00E9696B"/>
    <w:rsid w:val="00E96A9A"/>
    <w:rsid w:val="00E96CAE"/>
    <w:rsid w:val="00E97616"/>
    <w:rsid w:val="00E97801"/>
    <w:rsid w:val="00E97DF0"/>
    <w:rsid w:val="00EA0458"/>
    <w:rsid w:val="00EA0F48"/>
    <w:rsid w:val="00EA31C2"/>
    <w:rsid w:val="00EA3657"/>
    <w:rsid w:val="00EA3A8D"/>
    <w:rsid w:val="00EA5055"/>
    <w:rsid w:val="00EA5A13"/>
    <w:rsid w:val="00EA5BE5"/>
    <w:rsid w:val="00EA5F84"/>
    <w:rsid w:val="00EA6558"/>
    <w:rsid w:val="00EA6E49"/>
    <w:rsid w:val="00EB01D4"/>
    <w:rsid w:val="00EB03D9"/>
    <w:rsid w:val="00EB1B77"/>
    <w:rsid w:val="00EB23BF"/>
    <w:rsid w:val="00EB2659"/>
    <w:rsid w:val="00EB27BE"/>
    <w:rsid w:val="00EB2DCE"/>
    <w:rsid w:val="00EB383E"/>
    <w:rsid w:val="00EB4CB4"/>
    <w:rsid w:val="00EB64D8"/>
    <w:rsid w:val="00EB6BAF"/>
    <w:rsid w:val="00EB77E7"/>
    <w:rsid w:val="00EC0B9A"/>
    <w:rsid w:val="00EC1061"/>
    <w:rsid w:val="00EC253B"/>
    <w:rsid w:val="00EC280F"/>
    <w:rsid w:val="00EC28F5"/>
    <w:rsid w:val="00EC29D4"/>
    <w:rsid w:val="00EC3168"/>
    <w:rsid w:val="00EC35BB"/>
    <w:rsid w:val="00EC47D6"/>
    <w:rsid w:val="00EC4AD8"/>
    <w:rsid w:val="00EC4F95"/>
    <w:rsid w:val="00EC5C69"/>
    <w:rsid w:val="00EC6E20"/>
    <w:rsid w:val="00EC7709"/>
    <w:rsid w:val="00EC7AF1"/>
    <w:rsid w:val="00ED0EFA"/>
    <w:rsid w:val="00ED2B74"/>
    <w:rsid w:val="00ED38BA"/>
    <w:rsid w:val="00ED4237"/>
    <w:rsid w:val="00ED45A8"/>
    <w:rsid w:val="00ED70D2"/>
    <w:rsid w:val="00ED7A40"/>
    <w:rsid w:val="00ED7F03"/>
    <w:rsid w:val="00ED7FF7"/>
    <w:rsid w:val="00EE0053"/>
    <w:rsid w:val="00EE01FF"/>
    <w:rsid w:val="00EE05D3"/>
    <w:rsid w:val="00EE0EDA"/>
    <w:rsid w:val="00EE22B6"/>
    <w:rsid w:val="00EE2D18"/>
    <w:rsid w:val="00EE37E3"/>
    <w:rsid w:val="00EE3DEE"/>
    <w:rsid w:val="00EE4C70"/>
    <w:rsid w:val="00EE5D0B"/>
    <w:rsid w:val="00EE5FAA"/>
    <w:rsid w:val="00EE62E2"/>
    <w:rsid w:val="00EE6B51"/>
    <w:rsid w:val="00EE75FF"/>
    <w:rsid w:val="00EE7F49"/>
    <w:rsid w:val="00EF07B5"/>
    <w:rsid w:val="00EF0A40"/>
    <w:rsid w:val="00EF12C4"/>
    <w:rsid w:val="00EF1C1B"/>
    <w:rsid w:val="00EF26DF"/>
    <w:rsid w:val="00EF2C7A"/>
    <w:rsid w:val="00EF3000"/>
    <w:rsid w:val="00EF329D"/>
    <w:rsid w:val="00EF36BF"/>
    <w:rsid w:val="00EF4AEC"/>
    <w:rsid w:val="00EF4C09"/>
    <w:rsid w:val="00EF6D46"/>
    <w:rsid w:val="00EF7B3D"/>
    <w:rsid w:val="00EF7F89"/>
    <w:rsid w:val="00F01D8F"/>
    <w:rsid w:val="00F02D21"/>
    <w:rsid w:val="00F0319F"/>
    <w:rsid w:val="00F036FF"/>
    <w:rsid w:val="00F03751"/>
    <w:rsid w:val="00F04C13"/>
    <w:rsid w:val="00F04C82"/>
    <w:rsid w:val="00F05AA0"/>
    <w:rsid w:val="00F05F7F"/>
    <w:rsid w:val="00F06389"/>
    <w:rsid w:val="00F06C95"/>
    <w:rsid w:val="00F06F44"/>
    <w:rsid w:val="00F070B5"/>
    <w:rsid w:val="00F07EC8"/>
    <w:rsid w:val="00F10237"/>
    <w:rsid w:val="00F112AE"/>
    <w:rsid w:val="00F11B07"/>
    <w:rsid w:val="00F11CA3"/>
    <w:rsid w:val="00F11D5C"/>
    <w:rsid w:val="00F11D79"/>
    <w:rsid w:val="00F12204"/>
    <w:rsid w:val="00F1295A"/>
    <w:rsid w:val="00F12A5F"/>
    <w:rsid w:val="00F133F5"/>
    <w:rsid w:val="00F14191"/>
    <w:rsid w:val="00F14595"/>
    <w:rsid w:val="00F14BB0"/>
    <w:rsid w:val="00F14C71"/>
    <w:rsid w:val="00F154F8"/>
    <w:rsid w:val="00F16AF0"/>
    <w:rsid w:val="00F172C1"/>
    <w:rsid w:val="00F17584"/>
    <w:rsid w:val="00F1764A"/>
    <w:rsid w:val="00F17B81"/>
    <w:rsid w:val="00F2011D"/>
    <w:rsid w:val="00F214B1"/>
    <w:rsid w:val="00F21AE7"/>
    <w:rsid w:val="00F21B07"/>
    <w:rsid w:val="00F2210D"/>
    <w:rsid w:val="00F22F09"/>
    <w:rsid w:val="00F23A97"/>
    <w:rsid w:val="00F23DC8"/>
    <w:rsid w:val="00F241E5"/>
    <w:rsid w:val="00F2433C"/>
    <w:rsid w:val="00F245A9"/>
    <w:rsid w:val="00F266E7"/>
    <w:rsid w:val="00F26EEF"/>
    <w:rsid w:val="00F273B4"/>
    <w:rsid w:val="00F276E7"/>
    <w:rsid w:val="00F301E7"/>
    <w:rsid w:val="00F30813"/>
    <w:rsid w:val="00F31F50"/>
    <w:rsid w:val="00F32A0D"/>
    <w:rsid w:val="00F32D98"/>
    <w:rsid w:val="00F3314D"/>
    <w:rsid w:val="00F332E5"/>
    <w:rsid w:val="00F3377E"/>
    <w:rsid w:val="00F338A8"/>
    <w:rsid w:val="00F344C6"/>
    <w:rsid w:val="00F354C0"/>
    <w:rsid w:val="00F35D3D"/>
    <w:rsid w:val="00F35FFB"/>
    <w:rsid w:val="00F367C2"/>
    <w:rsid w:val="00F374A9"/>
    <w:rsid w:val="00F377D8"/>
    <w:rsid w:val="00F37DBC"/>
    <w:rsid w:val="00F407A6"/>
    <w:rsid w:val="00F40CC3"/>
    <w:rsid w:val="00F40FEA"/>
    <w:rsid w:val="00F41D79"/>
    <w:rsid w:val="00F4233B"/>
    <w:rsid w:val="00F425D4"/>
    <w:rsid w:val="00F4408D"/>
    <w:rsid w:val="00F4496D"/>
    <w:rsid w:val="00F45740"/>
    <w:rsid w:val="00F45C3C"/>
    <w:rsid w:val="00F46049"/>
    <w:rsid w:val="00F4631B"/>
    <w:rsid w:val="00F467CE"/>
    <w:rsid w:val="00F47024"/>
    <w:rsid w:val="00F47154"/>
    <w:rsid w:val="00F47224"/>
    <w:rsid w:val="00F500F0"/>
    <w:rsid w:val="00F505A4"/>
    <w:rsid w:val="00F5061F"/>
    <w:rsid w:val="00F51A04"/>
    <w:rsid w:val="00F51A21"/>
    <w:rsid w:val="00F52431"/>
    <w:rsid w:val="00F525FB"/>
    <w:rsid w:val="00F53534"/>
    <w:rsid w:val="00F54066"/>
    <w:rsid w:val="00F5666F"/>
    <w:rsid w:val="00F5677E"/>
    <w:rsid w:val="00F56844"/>
    <w:rsid w:val="00F61E7A"/>
    <w:rsid w:val="00F62E3E"/>
    <w:rsid w:val="00F6368F"/>
    <w:rsid w:val="00F63A25"/>
    <w:rsid w:val="00F645ED"/>
    <w:rsid w:val="00F65458"/>
    <w:rsid w:val="00F65516"/>
    <w:rsid w:val="00F655DD"/>
    <w:rsid w:val="00F65633"/>
    <w:rsid w:val="00F6630F"/>
    <w:rsid w:val="00F6708C"/>
    <w:rsid w:val="00F67DC3"/>
    <w:rsid w:val="00F7120F"/>
    <w:rsid w:val="00F7263D"/>
    <w:rsid w:val="00F7277F"/>
    <w:rsid w:val="00F73232"/>
    <w:rsid w:val="00F7409E"/>
    <w:rsid w:val="00F74317"/>
    <w:rsid w:val="00F74333"/>
    <w:rsid w:val="00F74AD0"/>
    <w:rsid w:val="00F75079"/>
    <w:rsid w:val="00F75830"/>
    <w:rsid w:val="00F75AAF"/>
    <w:rsid w:val="00F75D95"/>
    <w:rsid w:val="00F76006"/>
    <w:rsid w:val="00F76539"/>
    <w:rsid w:val="00F775A3"/>
    <w:rsid w:val="00F8013D"/>
    <w:rsid w:val="00F814A3"/>
    <w:rsid w:val="00F81853"/>
    <w:rsid w:val="00F827DE"/>
    <w:rsid w:val="00F82805"/>
    <w:rsid w:val="00F8298F"/>
    <w:rsid w:val="00F82C94"/>
    <w:rsid w:val="00F8322C"/>
    <w:rsid w:val="00F8331F"/>
    <w:rsid w:val="00F83D52"/>
    <w:rsid w:val="00F84061"/>
    <w:rsid w:val="00F847CF"/>
    <w:rsid w:val="00F853C6"/>
    <w:rsid w:val="00F854D1"/>
    <w:rsid w:val="00F85DC1"/>
    <w:rsid w:val="00F86EC2"/>
    <w:rsid w:val="00F87484"/>
    <w:rsid w:val="00F8754E"/>
    <w:rsid w:val="00F87654"/>
    <w:rsid w:val="00F87829"/>
    <w:rsid w:val="00F87ADC"/>
    <w:rsid w:val="00F87D8E"/>
    <w:rsid w:val="00F916EE"/>
    <w:rsid w:val="00F91B03"/>
    <w:rsid w:val="00F92082"/>
    <w:rsid w:val="00F92E40"/>
    <w:rsid w:val="00F93D77"/>
    <w:rsid w:val="00F93DBB"/>
    <w:rsid w:val="00F94322"/>
    <w:rsid w:val="00F95A52"/>
    <w:rsid w:val="00F96041"/>
    <w:rsid w:val="00F9633E"/>
    <w:rsid w:val="00FA0C30"/>
    <w:rsid w:val="00FA2060"/>
    <w:rsid w:val="00FA24AD"/>
    <w:rsid w:val="00FA290C"/>
    <w:rsid w:val="00FA2F0E"/>
    <w:rsid w:val="00FA3761"/>
    <w:rsid w:val="00FA42C4"/>
    <w:rsid w:val="00FA4C8F"/>
    <w:rsid w:val="00FA4E36"/>
    <w:rsid w:val="00FA5455"/>
    <w:rsid w:val="00FA5466"/>
    <w:rsid w:val="00FA6260"/>
    <w:rsid w:val="00FA643E"/>
    <w:rsid w:val="00FB04CB"/>
    <w:rsid w:val="00FB160A"/>
    <w:rsid w:val="00FB17DD"/>
    <w:rsid w:val="00FB1D6B"/>
    <w:rsid w:val="00FB28FF"/>
    <w:rsid w:val="00FB382C"/>
    <w:rsid w:val="00FB42FC"/>
    <w:rsid w:val="00FB45D9"/>
    <w:rsid w:val="00FB4A49"/>
    <w:rsid w:val="00FB4D81"/>
    <w:rsid w:val="00FB5045"/>
    <w:rsid w:val="00FB5A29"/>
    <w:rsid w:val="00FB5B40"/>
    <w:rsid w:val="00FB5D16"/>
    <w:rsid w:val="00FB5FAF"/>
    <w:rsid w:val="00FB65FD"/>
    <w:rsid w:val="00FB7547"/>
    <w:rsid w:val="00FC047F"/>
    <w:rsid w:val="00FC0560"/>
    <w:rsid w:val="00FC07D9"/>
    <w:rsid w:val="00FC2D0A"/>
    <w:rsid w:val="00FC3E88"/>
    <w:rsid w:val="00FC459D"/>
    <w:rsid w:val="00FC47DF"/>
    <w:rsid w:val="00FC4873"/>
    <w:rsid w:val="00FC4E3F"/>
    <w:rsid w:val="00FC50D9"/>
    <w:rsid w:val="00FC52C5"/>
    <w:rsid w:val="00FC58CC"/>
    <w:rsid w:val="00FC5B79"/>
    <w:rsid w:val="00FC6114"/>
    <w:rsid w:val="00FC64B9"/>
    <w:rsid w:val="00FC671C"/>
    <w:rsid w:val="00FC7107"/>
    <w:rsid w:val="00FD12C9"/>
    <w:rsid w:val="00FD1614"/>
    <w:rsid w:val="00FD19DC"/>
    <w:rsid w:val="00FD1E01"/>
    <w:rsid w:val="00FD1E78"/>
    <w:rsid w:val="00FD2ED4"/>
    <w:rsid w:val="00FD326C"/>
    <w:rsid w:val="00FD3BFC"/>
    <w:rsid w:val="00FD4120"/>
    <w:rsid w:val="00FD4446"/>
    <w:rsid w:val="00FD4A68"/>
    <w:rsid w:val="00FD5378"/>
    <w:rsid w:val="00FD5822"/>
    <w:rsid w:val="00FD5897"/>
    <w:rsid w:val="00FD593E"/>
    <w:rsid w:val="00FD5948"/>
    <w:rsid w:val="00FD59F8"/>
    <w:rsid w:val="00FD5E43"/>
    <w:rsid w:val="00FD658A"/>
    <w:rsid w:val="00FD6AE5"/>
    <w:rsid w:val="00FD7676"/>
    <w:rsid w:val="00FD7ED2"/>
    <w:rsid w:val="00FE06D7"/>
    <w:rsid w:val="00FE1F66"/>
    <w:rsid w:val="00FE21DC"/>
    <w:rsid w:val="00FE27B1"/>
    <w:rsid w:val="00FE2D12"/>
    <w:rsid w:val="00FE3105"/>
    <w:rsid w:val="00FE3D73"/>
    <w:rsid w:val="00FE3EB4"/>
    <w:rsid w:val="00FE5224"/>
    <w:rsid w:val="00FE5DF6"/>
    <w:rsid w:val="00FE6515"/>
    <w:rsid w:val="00FE669F"/>
    <w:rsid w:val="00FE6CD3"/>
    <w:rsid w:val="00FE7802"/>
    <w:rsid w:val="00FE7B75"/>
    <w:rsid w:val="00FF0286"/>
    <w:rsid w:val="00FF0AC5"/>
    <w:rsid w:val="00FF1399"/>
    <w:rsid w:val="00FF14F9"/>
    <w:rsid w:val="00FF3177"/>
    <w:rsid w:val="00FF441D"/>
    <w:rsid w:val="00FF482D"/>
    <w:rsid w:val="00FF5D1A"/>
    <w:rsid w:val="00FF65A7"/>
    <w:rsid w:val="00FF6E64"/>
    <w:rsid w:val="00FF6E8C"/>
    <w:rsid w:val="00FF7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898FB0"/>
  <w15:docId w15:val="{2A084F8B-513E-48FA-8ED1-EA5FA1FF4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4"/>
        <w:szCs w:val="24"/>
        <w:lang w:val="en" w:eastAsia="zh-CN"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E38"/>
    <w:pPr>
      <w:spacing w:after="0"/>
    </w:pPr>
    <w:rPr>
      <w:rFonts w:eastAsia="Times New Roman"/>
      <w:lang w:val="en-US"/>
    </w:rPr>
  </w:style>
  <w:style w:type="paragraph" w:styleId="Heading1">
    <w:name w:val="heading 1"/>
    <w:basedOn w:val="Normal"/>
    <w:next w:val="Normal"/>
    <w:link w:val="Heading1Char"/>
    <w:uiPriority w:val="9"/>
    <w:qFormat/>
    <w:pPr>
      <w:keepNext/>
      <w:keepLines/>
      <w:tabs>
        <w:tab w:val="left" w:pos="1165"/>
        <w:tab w:val="left" w:pos="1167"/>
      </w:tabs>
      <w:spacing w:before="55" w:after="240"/>
      <w:outlineLvl w:val="0"/>
    </w:pPr>
    <w:rPr>
      <w:rFonts w:eastAsiaTheme="minorEastAsia"/>
      <w:sz w:val="48"/>
      <w:szCs w:val="48"/>
      <w:lang w:val="en"/>
    </w:rPr>
  </w:style>
  <w:style w:type="paragraph" w:styleId="Heading2">
    <w:name w:val="heading 2"/>
    <w:basedOn w:val="Normal"/>
    <w:next w:val="Normal"/>
    <w:uiPriority w:val="9"/>
    <w:unhideWhenUsed/>
    <w:qFormat/>
    <w:pPr>
      <w:keepNext/>
      <w:keepLines/>
      <w:spacing w:after="240"/>
      <w:outlineLvl w:val="1"/>
    </w:pPr>
    <w:rPr>
      <w:rFonts w:eastAsiaTheme="minorEastAsia"/>
      <w:sz w:val="36"/>
      <w:szCs w:val="36"/>
      <w:lang w:val="en"/>
    </w:rPr>
  </w:style>
  <w:style w:type="paragraph" w:styleId="Heading3">
    <w:name w:val="heading 3"/>
    <w:basedOn w:val="Normal"/>
    <w:next w:val="Normal"/>
    <w:uiPriority w:val="9"/>
    <w:unhideWhenUsed/>
    <w:qFormat/>
    <w:pPr>
      <w:keepNext/>
      <w:keepLines/>
      <w:spacing w:after="240"/>
      <w:outlineLvl w:val="2"/>
    </w:pPr>
    <w:rPr>
      <w:rFonts w:eastAsiaTheme="minorEastAsia"/>
      <w:sz w:val="28"/>
      <w:szCs w:val="28"/>
      <w:lang w:val="en"/>
    </w:rPr>
  </w:style>
  <w:style w:type="paragraph" w:styleId="Heading4">
    <w:name w:val="heading 4"/>
    <w:basedOn w:val="Normal"/>
    <w:next w:val="Normal"/>
    <w:uiPriority w:val="9"/>
    <w:semiHidden/>
    <w:unhideWhenUsed/>
    <w:qFormat/>
    <w:pPr>
      <w:keepNext/>
      <w:keepLines/>
      <w:spacing w:before="280" w:after="80"/>
      <w:outlineLvl w:val="3"/>
    </w:pPr>
    <w:rPr>
      <w:rFonts w:eastAsiaTheme="minorEastAsia"/>
      <w:color w:val="666666"/>
      <w:lang w:val="en"/>
    </w:rPr>
  </w:style>
  <w:style w:type="paragraph" w:styleId="Heading5">
    <w:name w:val="heading 5"/>
    <w:basedOn w:val="Normal"/>
    <w:next w:val="Normal"/>
    <w:uiPriority w:val="9"/>
    <w:semiHidden/>
    <w:unhideWhenUsed/>
    <w:qFormat/>
    <w:pPr>
      <w:keepNext/>
      <w:keepLines/>
      <w:spacing w:before="240" w:after="80"/>
      <w:outlineLvl w:val="4"/>
    </w:pPr>
    <w:rPr>
      <w:rFonts w:eastAsiaTheme="minorEastAsia"/>
      <w:color w:val="666666"/>
      <w:sz w:val="22"/>
      <w:szCs w:val="22"/>
      <w:lang w:val="en"/>
    </w:rPr>
  </w:style>
  <w:style w:type="paragraph" w:styleId="Heading6">
    <w:name w:val="heading 6"/>
    <w:basedOn w:val="Normal"/>
    <w:next w:val="Normal"/>
    <w:uiPriority w:val="9"/>
    <w:semiHidden/>
    <w:unhideWhenUsed/>
    <w:qFormat/>
    <w:pPr>
      <w:keepNext/>
      <w:keepLines/>
      <w:spacing w:before="240" w:after="80"/>
      <w:outlineLvl w:val="5"/>
    </w:pPr>
    <w:rPr>
      <w:rFonts w:eastAsiaTheme="minorEastAsia"/>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eastAsiaTheme="minorEastAsia"/>
      <w:sz w:val="52"/>
      <w:szCs w:val="52"/>
      <w:lang w:val="en"/>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Bibliography">
    <w:name w:val="Bibliography"/>
    <w:basedOn w:val="Normal"/>
    <w:next w:val="Normal"/>
    <w:uiPriority w:val="37"/>
    <w:unhideWhenUsed/>
    <w:rsid w:val="00B0055A"/>
    <w:pPr>
      <w:spacing w:after="240"/>
      <w:ind w:left="720" w:hanging="720"/>
    </w:pPr>
    <w:rPr>
      <w:rFonts w:eastAsiaTheme="minorEastAsia"/>
      <w:lang w:val="en"/>
    </w:rPr>
  </w:style>
  <w:style w:type="paragraph" w:styleId="TOC1">
    <w:name w:val="toc 1"/>
    <w:basedOn w:val="Normal"/>
    <w:next w:val="Normal"/>
    <w:autoRedefine/>
    <w:uiPriority w:val="39"/>
    <w:unhideWhenUsed/>
    <w:rsid w:val="0038173F"/>
    <w:pPr>
      <w:spacing w:after="100"/>
    </w:pPr>
    <w:rPr>
      <w:rFonts w:eastAsiaTheme="minorEastAsia"/>
      <w:lang w:val="en"/>
    </w:rPr>
  </w:style>
  <w:style w:type="paragraph" w:styleId="TOC2">
    <w:name w:val="toc 2"/>
    <w:basedOn w:val="Normal"/>
    <w:next w:val="Normal"/>
    <w:autoRedefine/>
    <w:uiPriority w:val="39"/>
    <w:unhideWhenUsed/>
    <w:rsid w:val="0038173F"/>
    <w:pPr>
      <w:spacing w:after="100"/>
      <w:ind w:left="240"/>
    </w:pPr>
    <w:rPr>
      <w:rFonts w:eastAsiaTheme="minorEastAsia"/>
      <w:lang w:val="en"/>
    </w:rPr>
  </w:style>
  <w:style w:type="paragraph" w:styleId="TOC3">
    <w:name w:val="toc 3"/>
    <w:basedOn w:val="Normal"/>
    <w:next w:val="Normal"/>
    <w:autoRedefine/>
    <w:uiPriority w:val="39"/>
    <w:unhideWhenUsed/>
    <w:rsid w:val="0038173F"/>
    <w:pPr>
      <w:spacing w:after="100"/>
      <w:ind w:left="480"/>
    </w:pPr>
    <w:rPr>
      <w:rFonts w:eastAsiaTheme="minorEastAsia"/>
      <w:lang w:val="en"/>
    </w:rPr>
  </w:style>
  <w:style w:type="character" w:styleId="Hyperlink">
    <w:name w:val="Hyperlink"/>
    <w:basedOn w:val="DefaultParagraphFont"/>
    <w:uiPriority w:val="99"/>
    <w:unhideWhenUsed/>
    <w:rsid w:val="0038173F"/>
    <w:rPr>
      <w:color w:val="0000FF" w:themeColor="hyperlink"/>
      <w:u w:val="single"/>
    </w:rPr>
  </w:style>
  <w:style w:type="paragraph" w:styleId="Header">
    <w:name w:val="header"/>
    <w:basedOn w:val="Normal"/>
    <w:link w:val="HeaderChar"/>
    <w:uiPriority w:val="99"/>
    <w:unhideWhenUsed/>
    <w:rsid w:val="0038173F"/>
    <w:pPr>
      <w:tabs>
        <w:tab w:val="center" w:pos="4320"/>
        <w:tab w:val="right" w:pos="8640"/>
      </w:tabs>
    </w:pPr>
    <w:rPr>
      <w:rFonts w:eastAsiaTheme="minorEastAsia"/>
      <w:lang w:val="en"/>
    </w:rPr>
  </w:style>
  <w:style w:type="character" w:customStyle="1" w:styleId="HeaderChar">
    <w:name w:val="Header Char"/>
    <w:basedOn w:val="DefaultParagraphFont"/>
    <w:link w:val="Header"/>
    <w:uiPriority w:val="99"/>
    <w:rsid w:val="0038173F"/>
  </w:style>
  <w:style w:type="paragraph" w:styleId="Footer">
    <w:name w:val="footer"/>
    <w:basedOn w:val="Normal"/>
    <w:link w:val="FooterChar"/>
    <w:uiPriority w:val="99"/>
    <w:unhideWhenUsed/>
    <w:rsid w:val="0038173F"/>
    <w:pPr>
      <w:tabs>
        <w:tab w:val="center" w:pos="4320"/>
        <w:tab w:val="right" w:pos="8640"/>
      </w:tabs>
    </w:pPr>
    <w:rPr>
      <w:rFonts w:eastAsiaTheme="minorEastAsia"/>
      <w:lang w:val="en"/>
    </w:rPr>
  </w:style>
  <w:style w:type="character" w:customStyle="1" w:styleId="FooterChar">
    <w:name w:val="Footer Char"/>
    <w:basedOn w:val="DefaultParagraphFont"/>
    <w:link w:val="Footer"/>
    <w:uiPriority w:val="99"/>
    <w:rsid w:val="0038173F"/>
  </w:style>
  <w:style w:type="character" w:styleId="PlaceholderText">
    <w:name w:val="Placeholder Text"/>
    <w:basedOn w:val="DefaultParagraphFont"/>
    <w:uiPriority w:val="99"/>
    <w:semiHidden/>
    <w:rsid w:val="00C518C9"/>
    <w:rPr>
      <w:color w:val="666666"/>
    </w:rPr>
  </w:style>
  <w:style w:type="paragraph" w:styleId="NormalWeb">
    <w:name w:val="Normal (Web)"/>
    <w:basedOn w:val="Normal"/>
    <w:uiPriority w:val="99"/>
    <w:semiHidden/>
    <w:unhideWhenUsed/>
    <w:rsid w:val="004C23A9"/>
    <w:pPr>
      <w:spacing w:before="100" w:beforeAutospacing="1" w:after="100" w:afterAutospacing="1"/>
    </w:pPr>
    <w:rPr>
      <w:rFonts w:eastAsiaTheme="minorEastAsia"/>
    </w:rPr>
  </w:style>
  <w:style w:type="paragraph" w:styleId="Date">
    <w:name w:val="Date"/>
    <w:basedOn w:val="Normal"/>
    <w:next w:val="Normal"/>
    <w:link w:val="DateChar"/>
    <w:uiPriority w:val="99"/>
    <w:semiHidden/>
    <w:unhideWhenUsed/>
    <w:rsid w:val="0040579F"/>
    <w:pPr>
      <w:spacing w:after="240"/>
    </w:pPr>
    <w:rPr>
      <w:rFonts w:eastAsiaTheme="minorEastAsia"/>
      <w:lang w:val="en"/>
    </w:rPr>
  </w:style>
  <w:style w:type="character" w:customStyle="1" w:styleId="DateChar">
    <w:name w:val="Date Char"/>
    <w:basedOn w:val="DefaultParagraphFont"/>
    <w:link w:val="Date"/>
    <w:uiPriority w:val="99"/>
    <w:semiHidden/>
    <w:rsid w:val="0040579F"/>
  </w:style>
  <w:style w:type="character" w:styleId="Strong">
    <w:name w:val="Strong"/>
    <w:basedOn w:val="DefaultParagraphFont"/>
    <w:uiPriority w:val="22"/>
    <w:qFormat/>
    <w:rsid w:val="00D429B1"/>
    <w:rPr>
      <w:b/>
      <w:bCs/>
    </w:rPr>
  </w:style>
  <w:style w:type="character" w:customStyle="1" w:styleId="Heading1Char">
    <w:name w:val="Heading 1 Char"/>
    <w:basedOn w:val="DefaultParagraphFont"/>
    <w:link w:val="Heading1"/>
    <w:uiPriority w:val="9"/>
    <w:rsid w:val="009508E6"/>
    <w:rPr>
      <w:sz w:val="48"/>
      <w:szCs w:val="48"/>
    </w:rPr>
  </w:style>
  <w:style w:type="paragraph" w:styleId="Caption">
    <w:name w:val="caption"/>
    <w:basedOn w:val="Normal"/>
    <w:next w:val="Normal"/>
    <w:uiPriority w:val="35"/>
    <w:unhideWhenUsed/>
    <w:qFormat/>
    <w:rsid w:val="00955401"/>
    <w:pPr>
      <w:keepNext/>
      <w:spacing w:after="240"/>
      <w:jc w:val="center"/>
    </w:pPr>
    <w:rPr>
      <w:iCs/>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922647">
      <w:bodyDiv w:val="1"/>
      <w:marLeft w:val="0"/>
      <w:marRight w:val="0"/>
      <w:marTop w:val="0"/>
      <w:marBottom w:val="0"/>
      <w:divBdr>
        <w:top w:val="none" w:sz="0" w:space="0" w:color="auto"/>
        <w:left w:val="none" w:sz="0" w:space="0" w:color="auto"/>
        <w:bottom w:val="none" w:sz="0" w:space="0" w:color="auto"/>
        <w:right w:val="none" w:sz="0" w:space="0" w:color="auto"/>
      </w:divBdr>
      <w:divsChild>
        <w:div w:id="599414143">
          <w:marLeft w:val="0"/>
          <w:marRight w:val="0"/>
          <w:marTop w:val="0"/>
          <w:marBottom w:val="0"/>
          <w:divBdr>
            <w:top w:val="none" w:sz="0" w:space="0" w:color="auto"/>
            <w:left w:val="none" w:sz="0" w:space="0" w:color="auto"/>
            <w:bottom w:val="none" w:sz="0" w:space="0" w:color="auto"/>
            <w:right w:val="none" w:sz="0" w:space="0" w:color="auto"/>
          </w:divBdr>
        </w:div>
        <w:div w:id="231698883">
          <w:marLeft w:val="0"/>
          <w:marRight w:val="0"/>
          <w:marTop w:val="0"/>
          <w:marBottom w:val="0"/>
          <w:divBdr>
            <w:top w:val="none" w:sz="0" w:space="0" w:color="auto"/>
            <w:left w:val="none" w:sz="0" w:space="0" w:color="auto"/>
            <w:bottom w:val="none" w:sz="0" w:space="0" w:color="auto"/>
            <w:right w:val="none" w:sz="0" w:space="0" w:color="auto"/>
          </w:divBdr>
        </w:div>
        <w:div w:id="1631017037">
          <w:marLeft w:val="0"/>
          <w:marRight w:val="0"/>
          <w:marTop w:val="0"/>
          <w:marBottom w:val="0"/>
          <w:divBdr>
            <w:top w:val="none" w:sz="0" w:space="0" w:color="auto"/>
            <w:left w:val="none" w:sz="0" w:space="0" w:color="auto"/>
            <w:bottom w:val="none" w:sz="0" w:space="0" w:color="auto"/>
            <w:right w:val="none" w:sz="0" w:space="0" w:color="auto"/>
          </w:divBdr>
        </w:div>
      </w:divsChild>
    </w:div>
    <w:div w:id="1372224281">
      <w:bodyDiv w:val="1"/>
      <w:marLeft w:val="0"/>
      <w:marRight w:val="0"/>
      <w:marTop w:val="0"/>
      <w:marBottom w:val="0"/>
      <w:divBdr>
        <w:top w:val="none" w:sz="0" w:space="0" w:color="auto"/>
        <w:left w:val="none" w:sz="0" w:space="0" w:color="auto"/>
        <w:bottom w:val="none" w:sz="0" w:space="0" w:color="auto"/>
        <w:right w:val="none" w:sz="0" w:space="0" w:color="auto"/>
      </w:divBdr>
    </w:div>
    <w:div w:id="1622497591">
      <w:bodyDiv w:val="1"/>
      <w:marLeft w:val="0"/>
      <w:marRight w:val="0"/>
      <w:marTop w:val="0"/>
      <w:marBottom w:val="0"/>
      <w:divBdr>
        <w:top w:val="none" w:sz="0" w:space="0" w:color="auto"/>
        <w:left w:val="none" w:sz="0" w:space="0" w:color="auto"/>
        <w:bottom w:val="none" w:sz="0" w:space="0" w:color="auto"/>
        <w:right w:val="none" w:sz="0" w:space="0" w:color="auto"/>
      </w:divBdr>
    </w:div>
    <w:div w:id="1703937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78F3A-0FCE-4E4A-98DD-129A1515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2333</TotalTime>
  <Pages>38</Pages>
  <Words>37481</Words>
  <Characters>213647</Characters>
  <Application>Microsoft Office Word</Application>
  <DocSecurity>0</DocSecurity>
  <Lines>1780</Lines>
  <Paragraphs>501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vt:lpstr/>
      <vt:lpstr>1. Introduction</vt:lpstr>
      <vt:lpstr>2. Literature Review</vt:lpstr>
      <vt:lpstr>    2.1 Interconnectedness among Commodities</vt:lpstr>
      <vt:lpstr>        2.1.1 Metal and Energy Commodities</vt:lpstr>
      <vt:lpstr>        2.1.2 Metal and Agricultural Commodities</vt:lpstr>
      <vt:lpstr>        2.1.3 Energy and Agricultural Commodities</vt:lpstr>
      <vt:lpstr>    2.2 Models for Interconnectedness </vt:lpstr>
      <vt:lpstr>        2.2.1 GARCH Models</vt:lpstr>
      <vt:lpstr>        2.2.2 Copula Models</vt:lpstr>
      <vt:lpstr>        2.2.3 Granger Causality Test</vt:lpstr>
    </vt:vector>
  </TitlesOfParts>
  <Company/>
  <LinksUpToDate>false</LinksUpToDate>
  <CharactersWithSpaces>250627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Qianqian Yang</cp:lastModifiedBy>
  <cp:revision>3833</cp:revision>
  <cp:lastPrinted>2024-05-29T15:10:00Z</cp:lastPrinted>
  <dcterms:created xsi:type="dcterms:W3CDTF">2024-05-20T10:47:00Z</dcterms:created>
  <dcterms:modified xsi:type="dcterms:W3CDTF">2024-05-29T15:10:00Z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{"style":{"styleID":"http://www.zotero.org/styles/lund-university-school-of-economics-and-management","hasBibliography":true,"bibliographyStyleHasBeenSet":true},"prefs":{"fieldType":"Field","automaticJournalAbbreviations":true,"delayCitationUpdates":false</vt:lpwstr>
  </property>
  <property fmtid="{D5CDD505-2E9C-101B-9397-08002B2CF9AE}" pid="3" name="ZOTERO_PREF_2">
    <vt:lpwstr>,"noteType":0,"dontAskDelayCitationUpdates":true},"sessionID":"8uaVsHOq","zoteroVersion":"6.0.36","dataVersion":4}</vt:lpwstr>
  </property>
  <property fmtid="{D5CDD505-2E9C-101B-9397-08002B2CF9AE}" pid="4" name="GrammarlyDocumentId">
    <vt:lpwstr>eca56c5d67511670d694d9b198f28d2e98880d45a51fdaa9c04af22f14b817bb</vt:lpwstr>
  </property>
</Properties>
</file>