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Completeness Check SOP</w:t>
      </w:r>
    </w:p>
    <w:p>
      <w:r>
        <w:rPr>
          <w:b/>
        </w:rPr>
        <w:t xml:space="preserve">Owner: </w:t>
      </w:r>
      <w:r>
        <w:t>AI Governance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Validate that required approval evidence is present before assigning reviewers.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Risk tier recorded</w:t>
      </w:r>
    </w:p>
    <w:p>
      <w:pPr>
        <w:pStyle w:val="ListBullet"/>
        <w:spacing w:after="80"/>
        <w:ind w:left="540" w:hanging="271"/>
      </w:pPr>
      <w:r>
        <w:t>Affected policies listed</w:t>
      </w:r>
    </w:p>
    <w:p>
      <w:pPr>
        <w:pStyle w:val="ListBullet"/>
        <w:spacing w:after="80"/>
        <w:ind w:left="540" w:hanging="271"/>
      </w:pPr>
      <w:r>
        <w:t>Evidence packet and due dates complete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