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Legal Review Packet</w:t>
      </w:r>
    </w:p>
    <w:p>
      <w:r>
        <w:rPr>
          <w:b/>
        </w:rPr>
        <w:t xml:space="preserve">Owner: </w:t>
      </w:r>
      <w:r>
        <w:t>Legal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Review customer-facing language, vendor obligations, retention, and non-binding decision controls.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Customer wording reviewed</w:t>
      </w:r>
    </w:p>
    <w:p>
      <w:pPr>
        <w:pStyle w:val="ListBullet"/>
        <w:spacing w:after="80"/>
        <w:ind w:left="540" w:hanging="271"/>
      </w:pPr>
      <w:r>
        <w:t>Vendor terms checked</w:t>
      </w:r>
    </w:p>
    <w:p>
      <w:pPr>
        <w:pStyle w:val="ListBullet"/>
        <w:spacing w:after="80"/>
        <w:ind w:left="540" w:hanging="271"/>
      </w:pPr>
      <w:r>
        <w:t>Retention language acceptable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