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c9593d8945433b4ec35d52107b7d8a61d474f5"/>
    <w:p>
      <w:pPr>
        <w:pStyle w:val="Heading1"/>
      </w:pPr>
      <w:r>
        <w:t xml:space="preserve">Supplementary Information for A bounded audit of conductivity records and prediction tasks in starch materials</w:t>
      </w:r>
    </w:p>
    <w:p>
      <w:pPr>
        <w:pStyle w:val="FirstParagraph"/>
      </w:pPr>
      <w:r>
        <w:rPr>
          <w:bCs/>
          <w:b/>
        </w:rPr>
        <w:t xml:space="preserve">Review supplement, 18 September 2026.</w:t>
      </w:r>
      <w:r>
        <w:t xml:space="preserve"> </w:t>
      </w:r>
      <w:r>
        <w:t xml:space="preserve">This supplement accompanies the applicability-audit review draft. It reorganizes existing frozen evidence and computations and reports no new scientific run or independent human verification.</w:t>
      </w:r>
    </w:p>
    <w:bookmarkStart w:id="20" w:name="s1-units-and-the-historical-frame"/>
    <w:p>
      <w:pPr>
        <w:pStyle w:val="Heading2"/>
      </w:pPr>
      <w:r>
        <w:t xml:space="preserve">S1 Units and the historical frame</w:t>
      </w:r>
    </w:p>
    <w:p>
      <w:pPr>
        <w:pStyle w:val="FirstParagraph"/>
      </w:pPr>
      <w:r>
        <w:t xml:space="preserve">A</w:t>
      </w:r>
      <w:r>
        <w:t xml:space="preserve"> </w:t>
      </w:r>
      <w:r>
        <w:rPr>
          <w:bCs/>
          <w:b/>
        </w:rPr>
        <w:t xml:space="preserve">legacy row</w:t>
      </w:r>
      <w:r>
        <w:t xml:space="preserve"> </w:t>
      </w:r>
      <w:r>
        <w:t xml:space="preserve">is an old computational sample key, not necessarily one unique experiment. A</w:t>
      </w:r>
      <w:r>
        <w:t xml:space="preserve"> </w:t>
      </w:r>
      <w:r>
        <w:rPr>
          <w:bCs/>
          <w:b/>
        </w:rPr>
        <w:t xml:space="preserve">fact</w:t>
      </w:r>
      <w:r>
        <w:t xml:space="preserve"> </w:t>
      </w:r>
      <w:r>
        <w:t xml:space="preserve">is an extracted property statement linked to an old row. An</w:t>
      </w:r>
      <w:r>
        <w:t xml:space="preserve"> </w:t>
      </w:r>
      <w:r>
        <w:rPr>
          <w:bCs/>
          <w:b/>
        </w:rPr>
        <w:t xml:space="preserve">observation report</w:t>
      </w:r>
      <w:r>
        <w:t xml:space="preserve"> </w:t>
      </w:r>
      <w:r>
        <w:t xml:space="preserve">is a located statement about a measurement; different statements can describe one event. A</w:t>
      </w:r>
      <w:r>
        <w:t xml:space="preserve"> </w:t>
      </w:r>
      <w:r>
        <w:rPr>
          <w:bCs/>
          <w:b/>
        </w:rPr>
        <w:t xml:space="preserve">profile</w:t>
      </w:r>
      <w:r>
        <w:t xml:space="preserve"> </w:t>
      </w:r>
      <w:r>
        <w:t xml:space="preserve">is a recorded formulation and processing identity. A</w:t>
      </w:r>
      <w:r>
        <w:t xml:space="preserve"> </w:t>
      </w:r>
      <w:r>
        <w:rPr>
          <w:bCs/>
          <w:b/>
        </w:rPr>
        <w:t xml:space="preserve">reporting carrier</w:t>
      </w:r>
      <w:r>
        <w:t xml:space="preserve"> </w:t>
      </w:r>
      <w:r>
        <w:t xml:space="preserve">is the article in which evidence appears, which can quote measurements from another article. A</w:t>
      </w:r>
      <w:r>
        <w:t xml:space="preserve"> </w:t>
      </w:r>
      <w:r>
        <w:rPr>
          <w:bCs/>
          <w:b/>
        </w:rPr>
        <w:t xml:space="preserve">source component</w:t>
      </w:r>
      <w:r>
        <w:t xml:space="preserve"> </w:t>
      </w:r>
      <w:r>
        <w:t xml:space="preserve">connects carriers by confirmed or conservatively retained possible reuse. No component count certifies independent experiments.</w:t>
      </w:r>
    </w:p>
    <w:p>
      <w:pPr>
        <w:pStyle w:val="BodyText"/>
      </w:pPr>
      <w:r>
        <w:t xml:space="preserve">The acquisition frame had 501 full-text files and 207 historically retained extraction records. It combined legacy sources and fixed retrievals, so neither count defines a field-wide systematic sample. The current inventory covers 603 conductivity rows and 162 ingestion paths; 684 other rows in the all-record wide table were not included in this conductivity audit. A separately located prior article did not increase the 603-row denominator.</w:t>
      </w:r>
    </w:p>
    <w:p>
      <w:pPr>
        <w:pStyle w:val="BodyText"/>
      </w:pPr>
      <w:r>
        <w:t xml:space="preserve">The fixed 20-key sample was drawn from the 100 legacy keys in the 545-row primary view with seed 20260908, without replacement, taking all associated rows. It comprised 118 rows and 130 facts. Its 152 observation reports and 14 separate follow-up items must not be pooled into a larger random sample. Under that original design, each legacy group and row had inclusion probability 0.2 and design weight 5; these weights do not apply to subsequently deduplicated sources or to the corrected core records. The original human packet remains uncompleted; its preparation and mechanical integrity checks supply no human accuracy estimate.</w:t>
      </w:r>
    </w:p>
    <w:p>
      <w:pPr>
        <w:pStyle w:val="BodyText"/>
        <w:keepNext/>
      </w:pPr>
      <w:r>
        <w:rPr>
          <w:bCs/>
          <w:b/>
        </w:rPr>
        <w:t xml:space="preserve">Table S1. All 17 inventoried historical views.</w:t>
      </w:r>
      <w:r>
        <w:t xml:space="preserve"> </w:t>
      </w:r>
      <w:r>
        <w:t xml:space="preserve">The four eligibility counts are core-compatible/noncore/outside-scope/unresolved, restricted to the audited conductivity rows. Wider-table row counts include unreviewed nonconductivity rows. These overlapping views are not independent replications. The term verified is a legacy pipeline flag, not human or current material certification.</w:t>
      </w:r>
    </w:p>
    <w:tbl>
      <w:tblPr>
        <w:tblStyle w:val="Table"/>
        <w:tblW w:type="pct" w:w="5000"/>
        <w:tblLayout w:type="fixed"/>
        <w:tblLook w:firstRow="1" w:lastRow="0" w:firstColumn="0" w:lastColumn="0" w:noHBand="0" w:noVBand="0" w:val="0020"/>
        <w:jc w:val="start"/>
      </w:tblPr>
      <w:tblGrid>
        <w:gridCol w:w="2520"/>
        <w:gridCol w:w="1229"/>
        <w:gridCol w:w="1229"/>
        <w:gridCol w:w="1229"/>
        <w:gridCol w:w="1229"/>
        <w:gridCol w:w="1229"/>
        <w:gridCol w:w="1229"/>
      </w:tblGrid>
      <w:tr>
        <w:trPr>
          <w:tblHeader w:val="true"/>
          <w:cantSplit/>
          <w:tblHeader/>
        </w:trPr>
        <w:tc>
          <w:tcPr>
            <w:tcW w:type="dxa" w:w="2520"/>
            <w:shd w:fill="EEEEEE"/>
          </w:tcPr>
          <w:p>
            <w:pPr>
              <w:pStyle w:val="Compact"/>
              <w:spacing w:after="80" w:line="240" w:lineRule="auto"/>
              <w:jc w:val="left"/>
            </w:pPr>
            <w:r>
              <w:rPr>
                <w:b/>
                <w:sz w:val="17"/>
              </w:rPr>
              <w:t xml:space="preserve">Legacy view</w:t>
            </w:r>
          </w:p>
        </w:tc>
        <w:tc>
          <w:tcPr>
            <w:tcW w:type="dxa" w:w="1229"/>
            <w:shd w:fill="EEEEEE"/>
          </w:tcPr>
          <w:p>
            <w:pPr>
              <w:pStyle w:val="Compact"/>
              <w:spacing w:after="80" w:line="240" w:lineRule="auto"/>
              <w:jc w:val="right"/>
            </w:pPr>
            <w:r>
              <w:rPr>
                <w:b/>
                <w:sz w:val="17"/>
              </w:rPr>
              <w:t xml:space="preserve">All rows</w:t>
            </w:r>
          </w:p>
        </w:tc>
        <w:tc>
          <w:tcPr>
            <w:tcW w:type="dxa" w:w="1229"/>
            <w:shd w:fill="EEEEEE"/>
          </w:tcPr>
          <w:p>
            <w:pPr>
              <w:pStyle w:val="Compact"/>
              <w:spacing w:after="80" w:line="240" w:lineRule="auto"/>
              <w:jc w:val="right"/>
            </w:pPr>
            <w:r>
              <w:rPr>
                <w:b/>
                <w:sz w:val="17"/>
              </w:rPr>
              <w:t xml:space="preserve">Legacy keys</w:t>
            </w:r>
          </w:p>
        </w:tc>
        <w:tc>
          <w:tcPr>
            <w:tcW w:type="dxa" w:w="1229"/>
            <w:shd w:fill="EEEEEE"/>
          </w:tcPr>
          <w:p>
            <w:pPr>
              <w:pStyle w:val="Compact"/>
              <w:spacing w:after="80" w:line="240" w:lineRule="auto"/>
              <w:jc w:val="right"/>
            </w:pPr>
            <w:r>
              <w:rPr>
                <w:b/>
                <w:sz w:val="17"/>
              </w:rPr>
              <w:t xml:space="preserve">Audited EC rows</w:t>
            </w:r>
          </w:p>
        </w:tc>
        <w:tc>
          <w:tcPr>
            <w:tcW w:type="dxa" w:w="1229"/>
            <w:shd w:fill="EEEEEE"/>
          </w:tcPr>
          <w:p>
            <w:pPr>
              <w:pStyle w:val="Compact"/>
              <w:spacing w:after="80" w:line="240" w:lineRule="auto"/>
              <w:jc w:val="right"/>
            </w:pPr>
            <w:r>
              <w:rPr>
                <w:b/>
                <w:sz w:val="17"/>
              </w:rPr>
              <w:t xml:space="preserve">Rows in primary view</w:t>
            </w:r>
          </w:p>
        </w:tc>
        <w:tc>
          <w:tcPr>
            <w:tcW w:type="dxa" w:w="1229"/>
            <w:shd w:fill="EEEEEE"/>
          </w:tcPr>
          <w:p>
            <w:pPr>
              <w:pStyle w:val="Compact"/>
              <w:spacing w:after="80" w:line="240" w:lineRule="auto"/>
              <w:jc w:val="right"/>
            </w:pPr>
            <w:r>
              <w:rPr>
                <w:b/>
                <w:sz w:val="17"/>
              </w:rPr>
              <w:t xml:space="preserve">Other non-EC rows</w:t>
            </w:r>
          </w:p>
        </w:tc>
        <w:tc>
          <w:tcPr>
            <w:tcW w:type="dxa" w:w="1229"/>
            <w:shd w:fill="EEEEEE"/>
          </w:tcPr>
          <w:p>
            <w:pPr>
              <w:pStyle w:val="Compact"/>
              <w:spacing w:after="80" w:line="240" w:lineRule="auto"/>
              <w:jc w:val="left"/>
            </w:pPr>
            <w:r>
              <w:rPr>
                <w:b/>
                <w:sz w:val="17"/>
              </w:rPr>
              <w:t xml:space="preserve">EC eligibility C/N/O/U</w:t>
            </w:r>
          </w:p>
        </w:tc>
      </w:tr>
      <w:tr>
        <w:trPr>
          <w:cantSplit/>
        </w:trPr>
        <w:tc>
          <w:tcPr>
            <w:tcW w:type="dxa" w:w="2520"/>
          </w:tcPr>
          <w:p>
            <w:pPr>
              <w:pStyle w:val="Compact"/>
              <w:spacing w:after="80" w:line="240" w:lineRule="auto"/>
              <w:jc w:val="left"/>
            </w:pPr>
            <w:r>
              <w:rPr>
                <w:sz w:val="17"/>
              </w:rPr>
              <w:t xml:space="preserve">wide_all207</w:t>
            </w:r>
          </w:p>
        </w:tc>
        <w:tc>
          <w:tcPr>
            <w:tcW w:type="dxa" w:w="1229"/>
          </w:tcPr>
          <w:p>
            <w:pPr>
              <w:pStyle w:val="Compact"/>
              <w:spacing w:after="80" w:line="240" w:lineRule="auto"/>
              <w:jc w:val="right"/>
            </w:pPr>
            <w:r>
              <w:rPr>
                <w:sz w:val="17"/>
              </w:rPr>
              <w:t xml:space="preserve">1287</w:t>
            </w:r>
          </w:p>
        </w:tc>
        <w:tc>
          <w:tcPr>
            <w:tcW w:type="dxa" w:w="1229"/>
          </w:tcPr>
          <w:p>
            <w:pPr>
              <w:pStyle w:val="Compact"/>
              <w:spacing w:after="80" w:line="240" w:lineRule="auto"/>
              <w:jc w:val="right"/>
            </w:pPr>
            <w:r>
              <w:rPr>
                <w:sz w:val="17"/>
              </w:rPr>
              <w:t xml:space="preserve">201</w:t>
            </w:r>
          </w:p>
        </w:tc>
        <w:tc>
          <w:tcPr>
            <w:tcW w:type="dxa" w:w="1229"/>
          </w:tcPr>
          <w:p>
            <w:pPr>
              <w:pStyle w:val="Compact"/>
              <w:spacing w:after="80" w:line="240" w:lineRule="auto"/>
              <w:jc w:val="right"/>
            </w:pPr>
            <w:r>
              <w:rPr>
                <w:sz w:val="17"/>
              </w:rPr>
              <w:t xml:space="preserve">603</w:t>
            </w:r>
          </w:p>
        </w:tc>
        <w:tc>
          <w:tcPr>
            <w:tcW w:type="dxa" w:w="1229"/>
          </w:tcPr>
          <w:p>
            <w:pPr>
              <w:pStyle w:val="Compact"/>
              <w:spacing w:after="80" w:line="240" w:lineRule="auto"/>
              <w:jc w:val="right"/>
            </w:pPr>
            <w:r>
              <w:rPr>
                <w:sz w:val="17"/>
              </w:rPr>
              <w:t xml:space="preserve">545</w:t>
            </w:r>
          </w:p>
        </w:tc>
        <w:tc>
          <w:tcPr>
            <w:tcW w:type="dxa" w:w="1229"/>
          </w:tcPr>
          <w:p>
            <w:pPr>
              <w:pStyle w:val="Compact"/>
              <w:spacing w:after="80" w:line="240" w:lineRule="auto"/>
              <w:jc w:val="right"/>
            </w:pPr>
            <w:r>
              <w:rPr>
                <w:sz w:val="17"/>
              </w:rPr>
              <w:t xml:space="preserve">684</w:t>
            </w:r>
          </w:p>
        </w:tc>
        <w:tc>
          <w:tcPr>
            <w:tcW w:type="dxa" w:w="1229"/>
          </w:tcPr>
          <w:p>
            <w:pPr>
              <w:pStyle w:val="Compact"/>
              <w:spacing w:after="80" w:line="240" w:lineRule="auto"/>
              <w:jc w:val="left"/>
            </w:pPr>
            <w:r>
              <w:rPr>
                <w:sz w:val="17"/>
              </w:rPr>
              <w:t xml:space="preserve">49/57/379/118</w:t>
            </w:r>
          </w:p>
        </w:tc>
      </w:tr>
      <w:tr>
        <w:trPr>
          <w:cantSplit/>
        </w:trPr>
        <w:tc>
          <w:tcPr>
            <w:tcW w:type="dxa" w:w="2520"/>
          </w:tcPr>
          <w:p>
            <w:pPr>
              <w:pStyle w:val="Compact"/>
              <w:spacing w:after="80" w:line="240" w:lineRule="auto"/>
              <w:jc w:val="left"/>
            </w:pPr>
            <w:r>
              <w:rPr>
                <w:sz w:val="17"/>
              </w:rPr>
              <w:t xml:space="preserve">wide_verified</w:t>
            </w:r>
          </w:p>
        </w:tc>
        <w:tc>
          <w:tcPr>
            <w:tcW w:type="dxa" w:w="1229"/>
          </w:tcPr>
          <w:p>
            <w:pPr>
              <w:pStyle w:val="Compact"/>
              <w:spacing w:after="80" w:line="240" w:lineRule="auto"/>
              <w:jc w:val="right"/>
            </w:pPr>
            <w:r>
              <w:rPr>
                <w:sz w:val="17"/>
              </w:rPr>
              <w:t xml:space="preserve">496</w:t>
            </w:r>
          </w:p>
        </w:tc>
        <w:tc>
          <w:tcPr>
            <w:tcW w:type="dxa" w:w="1229"/>
          </w:tcPr>
          <w:p>
            <w:pPr>
              <w:pStyle w:val="Compact"/>
              <w:spacing w:after="80" w:line="240" w:lineRule="auto"/>
              <w:jc w:val="right"/>
            </w:pPr>
            <w:r>
              <w:rPr>
                <w:sz w:val="17"/>
              </w:rPr>
              <w:t xml:space="preserve">72</w:t>
            </w:r>
          </w:p>
        </w:tc>
        <w:tc>
          <w:tcPr>
            <w:tcW w:type="dxa" w:w="1229"/>
          </w:tcPr>
          <w:p>
            <w:pPr>
              <w:pStyle w:val="Compact"/>
              <w:spacing w:after="80" w:line="240" w:lineRule="auto"/>
              <w:jc w:val="right"/>
            </w:pPr>
            <w:r>
              <w:rPr>
                <w:sz w:val="17"/>
              </w:rPr>
              <w:t xml:space="preserve">323</w:t>
            </w:r>
          </w:p>
        </w:tc>
        <w:tc>
          <w:tcPr>
            <w:tcW w:type="dxa" w:w="1229"/>
          </w:tcPr>
          <w:p>
            <w:pPr>
              <w:pStyle w:val="Compact"/>
              <w:spacing w:after="80" w:line="240" w:lineRule="auto"/>
              <w:jc w:val="right"/>
            </w:pPr>
            <w:r>
              <w:rPr>
                <w:sz w:val="17"/>
              </w:rPr>
              <w:t xml:space="preserve">304</w:t>
            </w:r>
          </w:p>
        </w:tc>
        <w:tc>
          <w:tcPr>
            <w:tcW w:type="dxa" w:w="1229"/>
          </w:tcPr>
          <w:p>
            <w:pPr>
              <w:pStyle w:val="Compact"/>
              <w:spacing w:after="80" w:line="240" w:lineRule="auto"/>
              <w:jc w:val="right"/>
            </w:pPr>
            <w:r>
              <w:rPr>
                <w:sz w:val="17"/>
              </w:rPr>
              <w:t xml:space="preserve">173</w:t>
            </w:r>
          </w:p>
        </w:tc>
        <w:tc>
          <w:tcPr>
            <w:tcW w:type="dxa" w:w="1229"/>
          </w:tcPr>
          <w:p>
            <w:pPr>
              <w:pStyle w:val="Compact"/>
              <w:spacing w:after="80" w:line="240" w:lineRule="auto"/>
              <w:jc w:val="left"/>
            </w:pPr>
            <w:r>
              <w:rPr>
                <w:sz w:val="17"/>
              </w:rPr>
              <w:t xml:space="preserve">48/2/202/71</w:t>
            </w:r>
          </w:p>
        </w:tc>
      </w:tr>
      <w:tr>
        <w:trPr>
          <w:cantSplit/>
        </w:trPr>
        <w:tc>
          <w:tcPr>
            <w:tcW w:type="dxa" w:w="2520"/>
          </w:tcPr>
          <w:p>
            <w:pPr>
              <w:pStyle w:val="Compact"/>
              <w:spacing w:after="80" w:line="240" w:lineRule="auto"/>
              <w:jc w:val="left"/>
            </w:pPr>
            <w:r>
              <w:rPr>
                <w:sz w:val="17"/>
              </w:rPr>
              <w:t xml:space="preserve">wide_core_release</w:t>
            </w:r>
          </w:p>
        </w:tc>
        <w:tc>
          <w:tcPr>
            <w:tcW w:type="dxa" w:w="1229"/>
          </w:tcPr>
          <w:p>
            <w:pPr>
              <w:pStyle w:val="Compact"/>
              <w:spacing w:after="80" w:line="240" w:lineRule="auto"/>
              <w:jc w:val="right"/>
            </w:pPr>
            <w:r>
              <w:rPr>
                <w:sz w:val="17"/>
              </w:rPr>
              <w:t xml:space="preserve">496</w:t>
            </w:r>
          </w:p>
        </w:tc>
        <w:tc>
          <w:tcPr>
            <w:tcW w:type="dxa" w:w="1229"/>
          </w:tcPr>
          <w:p>
            <w:pPr>
              <w:pStyle w:val="Compact"/>
              <w:spacing w:after="80" w:line="240" w:lineRule="auto"/>
              <w:jc w:val="right"/>
            </w:pPr>
            <w:r>
              <w:rPr>
                <w:sz w:val="17"/>
              </w:rPr>
              <w:t xml:space="preserve">72</w:t>
            </w:r>
          </w:p>
        </w:tc>
        <w:tc>
          <w:tcPr>
            <w:tcW w:type="dxa" w:w="1229"/>
          </w:tcPr>
          <w:p>
            <w:pPr>
              <w:pStyle w:val="Compact"/>
              <w:spacing w:after="80" w:line="240" w:lineRule="auto"/>
              <w:jc w:val="right"/>
            </w:pPr>
            <w:r>
              <w:rPr>
                <w:sz w:val="17"/>
              </w:rPr>
              <w:t xml:space="preserve">323</w:t>
            </w:r>
          </w:p>
        </w:tc>
        <w:tc>
          <w:tcPr>
            <w:tcW w:type="dxa" w:w="1229"/>
          </w:tcPr>
          <w:p>
            <w:pPr>
              <w:pStyle w:val="Compact"/>
              <w:spacing w:after="80" w:line="240" w:lineRule="auto"/>
              <w:jc w:val="right"/>
            </w:pPr>
            <w:r>
              <w:rPr>
                <w:sz w:val="17"/>
              </w:rPr>
              <w:t xml:space="preserve">304</w:t>
            </w:r>
          </w:p>
        </w:tc>
        <w:tc>
          <w:tcPr>
            <w:tcW w:type="dxa" w:w="1229"/>
          </w:tcPr>
          <w:p>
            <w:pPr>
              <w:pStyle w:val="Compact"/>
              <w:spacing w:after="80" w:line="240" w:lineRule="auto"/>
              <w:jc w:val="right"/>
            </w:pPr>
            <w:r>
              <w:rPr>
                <w:sz w:val="17"/>
              </w:rPr>
              <w:t xml:space="preserve">173</w:t>
            </w:r>
          </w:p>
        </w:tc>
        <w:tc>
          <w:tcPr>
            <w:tcW w:type="dxa" w:w="1229"/>
          </w:tcPr>
          <w:p>
            <w:pPr>
              <w:pStyle w:val="Compact"/>
              <w:spacing w:after="80" w:line="240" w:lineRule="auto"/>
              <w:jc w:val="left"/>
            </w:pPr>
            <w:r>
              <w:rPr>
                <w:sz w:val="17"/>
              </w:rPr>
              <w:t xml:space="preserve">48/2/202/71</w:t>
            </w:r>
          </w:p>
        </w:tc>
      </w:tr>
      <w:tr>
        <w:trPr>
          <w:cantSplit/>
        </w:trPr>
        <w:tc>
          <w:tcPr>
            <w:tcW w:type="dxa" w:w="2520"/>
          </w:tcPr>
          <w:p>
            <w:pPr>
              <w:pStyle w:val="Compact"/>
              <w:spacing w:after="80" w:line="240" w:lineRule="auto"/>
              <w:jc w:val="left"/>
            </w:pPr>
            <w:r>
              <w:rPr>
                <w:sz w:val="17"/>
              </w:rPr>
              <w:t xml:space="preserve">S_all</w:t>
            </w:r>
          </w:p>
        </w:tc>
        <w:tc>
          <w:tcPr>
            <w:tcW w:type="dxa" w:w="1229"/>
          </w:tcPr>
          <w:p>
            <w:pPr>
              <w:pStyle w:val="Compact"/>
              <w:spacing w:after="80" w:line="240" w:lineRule="auto"/>
              <w:jc w:val="right"/>
            </w:pPr>
            <w:r>
              <w:rPr>
                <w:sz w:val="17"/>
              </w:rPr>
              <w:t xml:space="preserve">603</w:t>
            </w:r>
          </w:p>
        </w:tc>
        <w:tc>
          <w:tcPr>
            <w:tcW w:type="dxa" w:w="1229"/>
          </w:tcPr>
          <w:p>
            <w:pPr>
              <w:pStyle w:val="Compact"/>
              <w:spacing w:after="80" w:line="240" w:lineRule="auto"/>
              <w:jc w:val="right"/>
            </w:pPr>
            <w:r>
              <w:rPr>
                <w:sz w:val="17"/>
              </w:rPr>
              <w:t xml:space="preserve">158</w:t>
            </w:r>
          </w:p>
        </w:tc>
        <w:tc>
          <w:tcPr>
            <w:tcW w:type="dxa" w:w="1229"/>
          </w:tcPr>
          <w:p>
            <w:pPr>
              <w:pStyle w:val="Compact"/>
              <w:spacing w:after="80" w:line="240" w:lineRule="auto"/>
              <w:jc w:val="right"/>
            </w:pPr>
            <w:r>
              <w:rPr>
                <w:sz w:val="17"/>
              </w:rPr>
              <w:t xml:space="preserve">603</w:t>
            </w:r>
          </w:p>
        </w:tc>
        <w:tc>
          <w:tcPr>
            <w:tcW w:type="dxa" w:w="1229"/>
          </w:tcPr>
          <w:p>
            <w:pPr>
              <w:pStyle w:val="Compact"/>
              <w:spacing w:after="80" w:line="240" w:lineRule="auto"/>
              <w:jc w:val="right"/>
            </w:pPr>
            <w:r>
              <w:rPr>
                <w:sz w:val="17"/>
              </w:rPr>
              <w:t xml:space="preserve">545</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49/57/379/118</w:t>
            </w:r>
          </w:p>
        </w:tc>
      </w:tr>
      <w:tr>
        <w:trPr>
          <w:cantSplit/>
        </w:trPr>
        <w:tc>
          <w:tcPr>
            <w:tcW w:type="dxa" w:w="2520"/>
          </w:tcPr>
          <w:p>
            <w:pPr>
              <w:pStyle w:val="Compact"/>
              <w:spacing w:after="80" w:line="240" w:lineRule="auto"/>
              <w:jc w:val="left"/>
            </w:pPr>
            <w:r>
              <w:rPr>
                <w:sz w:val="17"/>
              </w:rPr>
              <w:t xml:space="preserve">S_all_ge2</w:t>
            </w:r>
          </w:p>
        </w:tc>
        <w:tc>
          <w:tcPr>
            <w:tcW w:type="dxa" w:w="1229"/>
          </w:tcPr>
          <w:p>
            <w:pPr>
              <w:pStyle w:val="Compact"/>
              <w:spacing w:after="80" w:line="240" w:lineRule="auto"/>
              <w:jc w:val="right"/>
            </w:pPr>
            <w:r>
              <w:rPr>
                <w:sz w:val="17"/>
              </w:rPr>
              <w:t xml:space="preserve">545</w:t>
            </w:r>
          </w:p>
        </w:tc>
        <w:tc>
          <w:tcPr>
            <w:tcW w:type="dxa" w:w="1229"/>
          </w:tcPr>
          <w:p>
            <w:pPr>
              <w:pStyle w:val="Compact"/>
              <w:spacing w:after="80" w:line="240" w:lineRule="auto"/>
              <w:jc w:val="right"/>
            </w:pPr>
            <w:r>
              <w:rPr>
                <w:sz w:val="17"/>
              </w:rPr>
              <w:t xml:space="preserve">100</w:t>
            </w:r>
          </w:p>
        </w:tc>
        <w:tc>
          <w:tcPr>
            <w:tcW w:type="dxa" w:w="1229"/>
          </w:tcPr>
          <w:p>
            <w:pPr>
              <w:pStyle w:val="Compact"/>
              <w:spacing w:after="80" w:line="240" w:lineRule="auto"/>
              <w:jc w:val="right"/>
            </w:pPr>
            <w:r>
              <w:rPr>
                <w:sz w:val="17"/>
              </w:rPr>
              <w:t xml:space="preserve">545</w:t>
            </w:r>
          </w:p>
        </w:tc>
        <w:tc>
          <w:tcPr>
            <w:tcW w:type="dxa" w:w="1229"/>
          </w:tcPr>
          <w:p>
            <w:pPr>
              <w:pStyle w:val="Compact"/>
              <w:spacing w:after="80" w:line="240" w:lineRule="auto"/>
              <w:jc w:val="right"/>
            </w:pPr>
            <w:r>
              <w:rPr>
                <w:sz w:val="17"/>
              </w:rPr>
              <w:t xml:space="preserve">545</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43/39/364/99</w:t>
            </w:r>
          </w:p>
        </w:tc>
      </w:tr>
      <w:tr>
        <w:trPr>
          <w:cantSplit/>
        </w:trPr>
        <w:tc>
          <w:tcPr>
            <w:tcW w:type="dxa" w:w="2520"/>
          </w:tcPr>
          <w:p>
            <w:pPr>
              <w:pStyle w:val="Compact"/>
              <w:spacing w:after="80" w:line="240" w:lineRule="auto"/>
              <w:jc w:val="left"/>
            </w:pPr>
            <w:r>
              <w:rPr>
                <w:sz w:val="17"/>
              </w:rPr>
              <w:t xml:space="preserve">S_all_ge3</w:t>
            </w:r>
          </w:p>
        </w:tc>
        <w:tc>
          <w:tcPr>
            <w:tcW w:type="dxa" w:w="1229"/>
          </w:tcPr>
          <w:p>
            <w:pPr>
              <w:pStyle w:val="Compact"/>
              <w:spacing w:after="80" w:line="240" w:lineRule="auto"/>
              <w:jc w:val="right"/>
            </w:pPr>
            <w:r>
              <w:rPr>
                <w:sz w:val="17"/>
              </w:rPr>
              <w:t xml:space="preserve">507</w:t>
            </w:r>
          </w:p>
        </w:tc>
        <w:tc>
          <w:tcPr>
            <w:tcW w:type="dxa" w:w="1229"/>
          </w:tcPr>
          <w:p>
            <w:pPr>
              <w:pStyle w:val="Compact"/>
              <w:spacing w:after="80" w:line="240" w:lineRule="auto"/>
              <w:jc w:val="right"/>
            </w:pPr>
            <w:r>
              <w:rPr>
                <w:sz w:val="17"/>
              </w:rPr>
              <w:t xml:space="preserve">81</w:t>
            </w:r>
          </w:p>
        </w:tc>
        <w:tc>
          <w:tcPr>
            <w:tcW w:type="dxa" w:w="1229"/>
          </w:tcPr>
          <w:p>
            <w:pPr>
              <w:pStyle w:val="Compact"/>
              <w:spacing w:after="80" w:line="240" w:lineRule="auto"/>
              <w:jc w:val="right"/>
            </w:pPr>
            <w:r>
              <w:rPr>
                <w:sz w:val="17"/>
              </w:rPr>
              <w:t xml:space="preserve">507</w:t>
            </w:r>
          </w:p>
        </w:tc>
        <w:tc>
          <w:tcPr>
            <w:tcW w:type="dxa" w:w="1229"/>
          </w:tcPr>
          <w:p>
            <w:pPr>
              <w:pStyle w:val="Compact"/>
              <w:spacing w:after="80" w:line="240" w:lineRule="auto"/>
              <w:jc w:val="right"/>
            </w:pPr>
            <w:r>
              <w:rPr>
                <w:sz w:val="17"/>
              </w:rPr>
              <w:t xml:space="preserve">507</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38/35/342/92</w:t>
            </w:r>
          </w:p>
        </w:tc>
      </w:tr>
      <w:tr>
        <w:trPr>
          <w:cantSplit/>
        </w:trPr>
        <w:tc>
          <w:tcPr>
            <w:tcW w:type="dxa" w:w="2520"/>
          </w:tcPr>
          <w:p>
            <w:pPr>
              <w:pStyle w:val="Compact"/>
              <w:spacing w:after="80" w:line="240" w:lineRule="auto"/>
              <w:jc w:val="left"/>
            </w:pPr>
            <w:r>
              <w:rPr>
                <w:sz w:val="17"/>
              </w:rPr>
              <w:t xml:space="preserve">S_verified</w:t>
            </w:r>
          </w:p>
        </w:tc>
        <w:tc>
          <w:tcPr>
            <w:tcW w:type="dxa" w:w="1229"/>
          </w:tcPr>
          <w:p>
            <w:pPr>
              <w:pStyle w:val="Compact"/>
              <w:spacing w:after="80" w:line="240" w:lineRule="auto"/>
              <w:jc w:val="right"/>
            </w:pPr>
            <w:r>
              <w:rPr>
                <w:sz w:val="17"/>
              </w:rPr>
              <w:t xml:space="preserve">323</w:t>
            </w:r>
          </w:p>
        </w:tc>
        <w:tc>
          <w:tcPr>
            <w:tcW w:type="dxa" w:w="1229"/>
          </w:tcPr>
          <w:p>
            <w:pPr>
              <w:pStyle w:val="Compact"/>
              <w:spacing w:after="80" w:line="240" w:lineRule="auto"/>
              <w:jc w:val="right"/>
            </w:pPr>
            <w:r>
              <w:rPr>
                <w:sz w:val="17"/>
              </w:rPr>
              <w:t xml:space="preserve">70</w:t>
            </w:r>
          </w:p>
        </w:tc>
        <w:tc>
          <w:tcPr>
            <w:tcW w:type="dxa" w:w="1229"/>
          </w:tcPr>
          <w:p>
            <w:pPr>
              <w:pStyle w:val="Compact"/>
              <w:spacing w:after="80" w:line="240" w:lineRule="auto"/>
              <w:jc w:val="right"/>
            </w:pPr>
            <w:r>
              <w:rPr>
                <w:sz w:val="17"/>
              </w:rPr>
              <w:t xml:space="preserve">323</w:t>
            </w:r>
          </w:p>
        </w:tc>
        <w:tc>
          <w:tcPr>
            <w:tcW w:type="dxa" w:w="1229"/>
          </w:tcPr>
          <w:p>
            <w:pPr>
              <w:pStyle w:val="Compact"/>
              <w:spacing w:after="80" w:line="240" w:lineRule="auto"/>
              <w:jc w:val="right"/>
            </w:pPr>
            <w:r>
              <w:rPr>
                <w:sz w:val="17"/>
              </w:rPr>
              <w:t xml:space="preserve">304</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48/2/202/71</w:t>
            </w:r>
          </w:p>
        </w:tc>
      </w:tr>
      <w:tr>
        <w:trPr>
          <w:cantSplit/>
        </w:trPr>
        <w:tc>
          <w:tcPr>
            <w:tcW w:type="dxa" w:w="2520"/>
          </w:tcPr>
          <w:p>
            <w:pPr>
              <w:pStyle w:val="Compact"/>
              <w:spacing w:after="80" w:line="240" w:lineRule="auto"/>
              <w:jc w:val="left"/>
            </w:pPr>
            <w:r>
              <w:rPr>
                <w:sz w:val="17"/>
              </w:rPr>
              <w:t xml:space="preserve">S_verified_ge2</w:t>
            </w:r>
          </w:p>
        </w:tc>
        <w:tc>
          <w:tcPr>
            <w:tcW w:type="dxa" w:w="1229"/>
          </w:tcPr>
          <w:p>
            <w:pPr>
              <w:pStyle w:val="Compact"/>
              <w:spacing w:after="80" w:line="240" w:lineRule="auto"/>
              <w:jc w:val="right"/>
            </w:pPr>
            <w:r>
              <w:rPr>
                <w:sz w:val="17"/>
              </w:rPr>
              <w:t xml:space="preserve">304</w:t>
            </w:r>
          </w:p>
        </w:tc>
        <w:tc>
          <w:tcPr>
            <w:tcW w:type="dxa" w:w="1229"/>
          </w:tcPr>
          <w:p>
            <w:pPr>
              <w:pStyle w:val="Compact"/>
              <w:spacing w:after="80" w:line="240" w:lineRule="auto"/>
              <w:jc w:val="right"/>
            </w:pPr>
            <w:r>
              <w:rPr>
                <w:sz w:val="17"/>
              </w:rPr>
              <w:t xml:space="preserve">51</w:t>
            </w:r>
          </w:p>
        </w:tc>
        <w:tc>
          <w:tcPr>
            <w:tcW w:type="dxa" w:w="1229"/>
          </w:tcPr>
          <w:p>
            <w:pPr>
              <w:pStyle w:val="Compact"/>
              <w:spacing w:after="80" w:line="240" w:lineRule="auto"/>
              <w:jc w:val="right"/>
            </w:pPr>
            <w:r>
              <w:rPr>
                <w:sz w:val="17"/>
              </w:rPr>
              <w:t xml:space="preserve">304</w:t>
            </w:r>
          </w:p>
        </w:tc>
        <w:tc>
          <w:tcPr>
            <w:tcW w:type="dxa" w:w="1229"/>
          </w:tcPr>
          <w:p>
            <w:pPr>
              <w:pStyle w:val="Compact"/>
              <w:spacing w:after="80" w:line="240" w:lineRule="auto"/>
              <w:jc w:val="right"/>
            </w:pPr>
            <w:r>
              <w:rPr>
                <w:sz w:val="17"/>
              </w:rPr>
              <w:t xml:space="preserve">304</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42/2/194/66</w:t>
            </w:r>
          </w:p>
        </w:tc>
      </w:tr>
      <w:tr>
        <w:trPr>
          <w:cantSplit/>
        </w:trPr>
        <w:tc>
          <w:tcPr>
            <w:tcW w:type="dxa" w:w="2520"/>
          </w:tcPr>
          <w:p>
            <w:pPr>
              <w:pStyle w:val="Compact"/>
              <w:spacing w:after="80" w:line="240" w:lineRule="auto"/>
              <w:jc w:val="left"/>
            </w:pPr>
            <w:r>
              <w:rPr>
                <w:sz w:val="17"/>
              </w:rPr>
              <w:t xml:space="preserve">S_verified_ge3</w:t>
            </w:r>
          </w:p>
        </w:tc>
        <w:tc>
          <w:tcPr>
            <w:tcW w:type="dxa" w:w="1229"/>
          </w:tcPr>
          <w:p>
            <w:pPr>
              <w:pStyle w:val="Compact"/>
              <w:spacing w:after="80" w:line="240" w:lineRule="auto"/>
              <w:jc w:val="right"/>
            </w:pPr>
            <w:r>
              <w:rPr>
                <w:sz w:val="17"/>
              </w:rPr>
              <w:t xml:space="preserve">282</w:t>
            </w:r>
          </w:p>
        </w:tc>
        <w:tc>
          <w:tcPr>
            <w:tcW w:type="dxa" w:w="1229"/>
          </w:tcPr>
          <w:p>
            <w:pPr>
              <w:pStyle w:val="Compact"/>
              <w:spacing w:after="80" w:line="240" w:lineRule="auto"/>
              <w:jc w:val="right"/>
            </w:pPr>
            <w:r>
              <w:rPr>
                <w:sz w:val="17"/>
              </w:rPr>
              <w:t xml:space="preserve">40</w:t>
            </w:r>
          </w:p>
        </w:tc>
        <w:tc>
          <w:tcPr>
            <w:tcW w:type="dxa" w:w="1229"/>
          </w:tcPr>
          <w:p>
            <w:pPr>
              <w:pStyle w:val="Compact"/>
              <w:spacing w:after="80" w:line="240" w:lineRule="auto"/>
              <w:jc w:val="right"/>
            </w:pPr>
            <w:r>
              <w:rPr>
                <w:sz w:val="17"/>
              </w:rPr>
              <w:t xml:space="preserve">282</w:t>
            </w:r>
          </w:p>
        </w:tc>
        <w:tc>
          <w:tcPr>
            <w:tcW w:type="dxa" w:w="1229"/>
          </w:tcPr>
          <w:p>
            <w:pPr>
              <w:pStyle w:val="Compact"/>
              <w:spacing w:after="80" w:line="240" w:lineRule="auto"/>
              <w:jc w:val="right"/>
            </w:pPr>
            <w:r>
              <w:rPr>
                <w:sz w:val="17"/>
              </w:rPr>
              <w:t xml:space="preserve">282</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37/2/181/62</w:t>
            </w:r>
          </w:p>
        </w:tc>
      </w:tr>
      <w:tr>
        <w:trPr>
          <w:cantSplit/>
        </w:trPr>
        <w:tc>
          <w:tcPr>
            <w:tcW w:type="dxa" w:w="2520"/>
          </w:tcPr>
          <w:p>
            <w:pPr>
              <w:pStyle w:val="Compact"/>
              <w:spacing w:after="80" w:line="240" w:lineRule="auto"/>
              <w:jc w:val="left"/>
            </w:pPr>
            <w:r>
              <w:rPr>
                <w:sz w:val="17"/>
              </w:rPr>
              <w:t xml:space="preserve">strict</w:t>
            </w:r>
          </w:p>
        </w:tc>
        <w:tc>
          <w:tcPr>
            <w:tcW w:type="dxa" w:w="1229"/>
          </w:tcPr>
          <w:p>
            <w:pPr>
              <w:pStyle w:val="Compact"/>
              <w:spacing w:after="80" w:line="240" w:lineRule="auto"/>
              <w:jc w:val="right"/>
            </w:pPr>
            <w:r>
              <w:rPr>
                <w:sz w:val="17"/>
              </w:rPr>
              <w:t xml:space="preserve">272</w:t>
            </w:r>
          </w:p>
        </w:tc>
        <w:tc>
          <w:tcPr>
            <w:tcW w:type="dxa" w:w="1229"/>
          </w:tcPr>
          <w:p>
            <w:pPr>
              <w:pStyle w:val="Compact"/>
              <w:spacing w:after="80" w:line="240" w:lineRule="auto"/>
              <w:jc w:val="right"/>
            </w:pPr>
            <w:r>
              <w:rPr>
                <w:sz w:val="17"/>
              </w:rPr>
              <w:t xml:space="preserve">67</w:t>
            </w:r>
          </w:p>
        </w:tc>
        <w:tc>
          <w:tcPr>
            <w:tcW w:type="dxa" w:w="1229"/>
          </w:tcPr>
          <w:p>
            <w:pPr>
              <w:pStyle w:val="Compact"/>
              <w:spacing w:after="80" w:line="240" w:lineRule="auto"/>
              <w:jc w:val="right"/>
            </w:pPr>
            <w:r>
              <w:rPr>
                <w:sz w:val="17"/>
              </w:rPr>
              <w:t xml:space="preserve">272</w:t>
            </w:r>
          </w:p>
        </w:tc>
        <w:tc>
          <w:tcPr>
            <w:tcW w:type="dxa" w:w="1229"/>
          </w:tcPr>
          <w:p>
            <w:pPr>
              <w:pStyle w:val="Compact"/>
              <w:spacing w:after="80" w:line="240" w:lineRule="auto"/>
              <w:jc w:val="right"/>
            </w:pPr>
            <w:r>
              <w:rPr>
                <w:sz w:val="17"/>
              </w:rPr>
              <w:t xml:space="preserve">253</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38/2/176/56</w:t>
            </w:r>
          </w:p>
        </w:tc>
      </w:tr>
      <w:tr>
        <w:trPr>
          <w:cantSplit/>
        </w:trPr>
        <w:tc>
          <w:tcPr>
            <w:tcW w:type="dxa" w:w="2520"/>
          </w:tcPr>
          <w:p>
            <w:pPr>
              <w:pStyle w:val="Compact"/>
              <w:spacing w:after="80" w:line="240" w:lineRule="auto"/>
              <w:jc w:val="left"/>
            </w:pPr>
            <w:r>
              <w:rPr>
                <w:sz w:val="17"/>
              </w:rPr>
              <w:t xml:space="preserve">strict_ge2</w:t>
            </w:r>
          </w:p>
        </w:tc>
        <w:tc>
          <w:tcPr>
            <w:tcW w:type="dxa" w:w="1229"/>
          </w:tcPr>
          <w:p>
            <w:pPr>
              <w:pStyle w:val="Compact"/>
              <w:spacing w:after="80" w:line="240" w:lineRule="auto"/>
              <w:jc w:val="right"/>
            </w:pPr>
            <w:r>
              <w:rPr>
                <w:sz w:val="17"/>
              </w:rPr>
              <w:t xml:space="preserve">251</w:t>
            </w:r>
          </w:p>
        </w:tc>
        <w:tc>
          <w:tcPr>
            <w:tcW w:type="dxa" w:w="1229"/>
          </w:tcPr>
          <w:p>
            <w:pPr>
              <w:pStyle w:val="Compact"/>
              <w:spacing w:after="80" w:line="240" w:lineRule="auto"/>
              <w:jc w:val="right"/>
            </w:pPr>
            <w:r>
              <w:rPr>
                <w:sz w:val="17"/>
              </w:rPr>
              <w:t xml:space="preserve">46</w:t>
            </w:r>
          </w:p>
        </w:tc>
        <w:tc>
          <w:tcPr>
            <w:tcW w:type="dxa" w:w="1229"/>
          </w:tcPr>
          <w:p>
            <w:pPr>
              <w:pStyle w:val="Compact"/>
              <w:spacing w:after="80" w:line="240" w:lineRule="auto"/>
              <w:jc w:val="right"/>
            </w:pPr>
            <w:r>
              <w:rPr>
                <w:sz w:val="17"/>
              </w:rPr>
              <w:t xml:space="preserve">251</w:t>
            </w:r>
          </w:p>
        </w:tc>
        <w:tc>
          <w:tcPr>
            <w:tcW w:type="dxa" w:w="1229"/>
          </w:tcPr>
          <w:p>
            <w:pPr>
              <w:pStyle w:val="Compact"/>
              <w:spacing w:after="80" w:line="240" w:lineRule="auto"/>
              <w:jc w:val="right"/>
            </w:pPr>
            <w:r>
              <w:rPr>
                <w:sz w:val="17"/>
              </w:rPr>
              <w:t xml:space="preserve">251</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32/2/166/51</w:t>
            </w:r>
          </w:p>
        </w:tc>
      </w:tr>
      <w:tr>
        <w:trPr>
          <w:cantSplit/>
        </w:trPr>
        <w:tc>
          <w:tcPr>
            <w:tcW w:type="dxa" w:w="2520"/>
          </w:tcPr>
          <w:p>
            <w:pPr>
              <w:pStyle w:val="Compact"/>
              <w:spacing w:after="80" w:line="240" w:lineRule="auto"/>
              <w:jc w:val="left"/>
            </w:pPr>
            <w:r>
              <w:rPr>
                <w:sz w:val="17"/>
              </w:rPr>
              <w:t xml:space="preserve">strict_ge3</w:t>
            </w:r>
          </w:p>
        </w:tc>
        <w:tc>
          <w:tcPr>
            <w:tcW w:type="dxa" w:w="1229"/>
          </w:tcPr>
          <w:p>
            <w:pPr>
              <w:pStyle w:val="Compact"/>
              <w:spacing w:after="80" w:line="240" w:lineRule="auto"/>
              <w:jc w:val="right"/>
            </w:pPr>
            <w:r>
              <w:rPr>
                <w:sz w:val="17"/>
              </w:rPr>
              <w:t xml:space="preserve">227</w:t>
            </w:r>
          </w:p>
        </w:tc>
        <w:tc>
          <w:tcPr>
            <w:tcW w:type="dxa" w:w="1229"/>
          </w:tcPr>
          <w:p>
            <w:pPr>
              <w:pStyle w:val="Compact"/>
              <w:spacing w:after="80" w:line="240" w:lineRule="auto"/>
              <w:jc w:val="right"/>
            </w:pPr>
            <w:r>
              <w:rPr>
                <w:sz w:val="17"/>
              </w:rPr>
              <w:t xml:space="preserve">34</w:t>
            </w:r>
          </w:p>
        </w:tc>
        <w:tc>
          <w:tcPr>
            <w:tcW w:type="dxa" w:w="1229"/>
          </w:tcPr>
          <w:p>
            <w:pPr>
              <w:pStyle w:val="Compact"/>
              <w:spacing w:after="80" w:line="240" w:lineRule="auto"/>
              <w:jc w:val="right"/>
            </w:pPr>
            <w:r>
              <w:rPr>
                <w:sz w:val="17"/>
              </w:rPr>
              <w:t xml:space="preserve">227</w:t>
            </w:r>
          </w:p>
        </w:tc>
        <w:tc>
          <w:tcPr>
            <w:tcW w:type="dxa" w:w="1229"/>
          </w:tcPr>
          <w:p>
            <w:pPr>
              <w:pStyle w:val="Compact"/>
              <w:spacing w:after="80" w:line="240" w:lineRule="auto"/>
              <w:jc w:val="right"/>
            </w:pPr>
            <w:r>
              <w:rPr>
                <w:sz w:val="17"/>
              </w:rPr>
              <w:t xml:space="preserve">227</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29/2/151/45</w:t>
            </w:r>
          </w:p>
        </w:tc>
      </w:tr>
      <w:tr>
        <w:trPr>
          <w:cantSplit/>
        </w:trPr>
        <w:tc>
          <w:tcPr>
            <w:tcW w:type="dxa" w:w="2520"/>
          </w:tcPr>
          <w:p>
            <w:pPr>
              <w:pStyle w:val="Compact"/>
              <w:spacing w:after="80" w:line="240" w:lineRule="auto"/>
              <w:jc w:val="left"/>
            </w:pPr>
            <w:r>
              <w:rPr>
                <w:sz w:val="17"/>
              </w:rPr>
              <w:t xml:space="preserve">aqueous_from_verdicts</w:t>
            </w:r>
          </w:p>
        </w:tc>
        <w:tc>
          <w:tcPr>
            <w:tcW w:type="dxa" w:w="1229"/>
          </w:tcPr>
          <w:p>
            <w:pPr>
              <w:pStyle w:val="Compact"/>
              <w:spacing w:after="80" w:line="240" w:lineRule="auto"/>
              <w:jc w:val="right"/>
            </w:pPr>
            <w:r>
              <w:rPr>
                <w:sz w:val="17"/>
              </w:rPr>
              <w:t xml:space="preserve">447</w:t>
            </w:r>
          </w:p>
        </w:tc>
        <w:tc>
          <w:tcPr>
            <w:tcW w:type="dxa" w:w="1229"/>
          </w:tcPr>
          <w:p>
            <w:pPr>
              <w:pStyle w:val="Compact"/>
              <w:spacing w:after="80" w:line="240" w:lineRule="auto"/>
              <w:jc w:val="right"/>
            </w:pPr>
            <w:r>
              <w:rPr>
                <w:sz w:val="17"/>
              </w:rPr>
              <w:t xml:space="preserve">114</w:t>
            </w:r>
          </w:p>
        </w:tc>
        <w:tc>
          <w:tcPr>
            <w:tcW w:type="dxa" w:w="1229"/>
          </w:tcPr>
          <w:p>
            <w:pPr>
              <w:pStyle w:val="Compact"/>
              <w:spacing w:after="80" w:line="240" w:lineRule="auto"/>
              <w:jc w:val="right"/>
            </w:pPr>
            <w:r>
              <w:rPr>
                <w:sz w:val="17"/>
              </w:rPr>
              <w:t xml:space="preserve">447</w:t>
            </w:r>
          </w:p>
        </w:tc>
        <w:tc>
          <w:tcPr>
            <w:tcW w:type="dxa" w:w="1229"/>
          </w:tcPr>
          <w:p>
            <w:pPr>
              <w:pStyle w:val="Compact"/>
              <w:spacing w:after="80" w:line="240" w:lineRule="auto"/>
              <w:jc w:val="right"/>
            </w:pPr>
            <w:r>
              <w:rPr>
                <w:sz w:val="17"/>
              </w:rPr>
              <w:t xml:space="preserve">408</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49/16/278/104</w:t>
            </w:r>
          </w:p>
        </w:tc>
      </w:tr>
      <w:tr>
        <w:trPr>
          <w:cantSplit/>
        </w:trPr>
        <w:tc>
          <w:tcPr>
            <w:tcW w:type="dxa" w:w="2520"/>
          </w:tcPr>
          <w:p>
            <w:pPr>
              <w:pStyle w:val="Compact"/>
              <w:spacing w:after="80" w:line="240" w:lineRule="auto"/>
              <w:jc w:val="left"/>
            </w:pPr>
            <w:r>
              <w:rPr>
                <w:sz w:val="17"/>
              </w:rPr>
              <w:t xml:space="preserve">aqueous_from_papers</w:t>
            </w:r>
          </w:p>
        </w:tc>
        <w:tc>
          <w:tcPr>
            <w:tcW w:type="dxa" w:w="1229"/>
          </w:tcPr>
          <w:p>
            <w:pPr>
              <w:pStyle w:val="Compact"/>
              <w:spacing w:after="80" w:line="240" w:lineRule="auto"/>
              <w:jc w:val="right"/>
            </w:pPr>
            <w:r>
              <w:rPr>
                <w:sz w:val="17"/>
              </w:rPr>
              <w:t xml:space="preserve">455</w:t>
            </w:r>
          </w:p>
        </w:tc>
        <w:tc>
          <w:tcPr>
            <w:tcW w:type="dxa" w:w="1229"/>
          </w:tcPr>
          <w:p>
            <w:pPr>
              <w:pStyle w:val="Compact"/>
              <w:spacing w:after="80" w:line="240" w:lineRule="auto"/>
              <w:jc w:val="right"/>
            </w:pPr>
            <w:r>
              <w:rPr>
                <w:sz w:val="17"/>
              </w:rPr>
              <w:t xml:space="preserve">115</w:t>
            </w:r>
          </w:p>
        </w:tc>
        <w:tc>
          <w:tcPr>
            <w:tcW w:type="dxa" w:w="1229"/>
          </w:tcPr>
          <w:p>
            <w:pPr>
              <w:pStyle w:val="Compact"/>
              <w:spacing w:after="80" w:line="240" w:lineRule="auto"/>
              <w:jc w:val="right"/>
            </w:pPr>
            <w:r>
              <w:rPr>
                <w:sz w:val="17"/>
              </w:rPr>
              <w:t xml:space="preserve">455</w:t>
            </w:r>
          </w:p>
        </w:tc>
        <w:tc>
          <w:tcPr>
            <w:tcW w:type="dxa" w:w="1229"/>
          </w:tcPr>
          <w:p>
            <w:pPr>
              <w:pStyle w:val="Compact"/>
              <w:spacing w:after="80" w:line="240" w:lineRule="auto"/>
              <w:jc w:val="right"/>
            </w:pPr>
            <w:r>
              <w:rPr>
                <w:sz w:val="17"/>
              </w:rPr>
              <w:t xml:space="preserve">416</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49/16/286/104</w:t>
            </w:r>
          </w:p>
        </w:tc>
      </w:tr>
      <w:tr>
        <w:trPr>
          <w:cantSplit/>
        </w:trPr>
        <w:tc>
          <w:tcPr>
            <w:tcW w:type="dxa" w:w="2520"/>
          </w:tcPr>
          <w:p>
            <w:pPr>
              <w:pStyle w:val="Compact"/>
              <w:spacing w:after="80" w:line="240" w:lineRule="auto"/>
              <w:jc w:val="left"/>
            </w:pPr>
            <w:r>
              <w:rPr>
                <w:sz w:val="17"/>
              </w:rPr>
              <w:t xml:space="preserve">shipped_aqueous_matrix</w:t>
            </w:r>
          </w:p>
        </w:tc>
        <w:tc>
          <w:tcPr>
            <w:tcW w:type="dxa" w:w="1229"/>
          </w:tcPr>
          <w:p>
            <w:pPr>
              <w:pStyle w:val="Compact"/>
              <w:spacing w:after="80" w:line="240" w:lineRule="auto"/>
              <w:jc w:val="right"/>
            </w:pPr>
            <w:r>
              <w:rPr>
                <w:sz w:val="17"/>
              </w:rPr>
              <w:t xml:space="preserve">343</w:t>
            </w:r>
          </w:p>
        </w:tc>
        <w:tc>
          <w:tcPr>
            <w:tcW w:type="dxa" w:w="1229"/>
          </w:tcPr>
          <w:p>
            <w:pPr>
              <w:pStyle w:val="Compact"/>
              <w:spacing w:after="80" w:line="240" w:lineRule="auto"/>
              <w:jc w:val="right"/>
            </w:pPr>
            <w:r>
              <w:rPr>
                <w:sz w:val="17"/>
              </w:rPr>
              <w:t xml:space="preserve">74</w:t>
            </w:r>
          </w:p>
        </w:tc>
        <w:tc>
          <w:tcPr>
            <w:tcW w:type="dxa" w:w="1229"/>
          </w:tcPr>
          <w:p>
            <w:pPr>
              <w:pStyle w:val="Compact"/>
              <w:spacing w:after="80" w:line="240" w:lineRule="auto"/>
              <w:jc w:val="right"/>
            </w:pPr>
            <w:r>
              <w:rPr>
                <w:sz w:val="17"/>
              </w:rPr>
              <w:t xml:space="preserve">343</w:t>
            </w:r>
          </w:p>
        </w:tc>
        <w:tc>
          <w:tcPr>
            <w:tcW w:type="dxa" w:w="1229"/>
          </w:tcPr>
          <w:p>
            <w:pPr>
              <w:pStyle w:val="Compact"/>
              <w:spacing w:after="80" w:line="240" w:lineRule="auto"/>
              <w:jc w:val="right"/>
            </w:pPr>
            <w:r>
              <w:rPr>
                <w:sz w:val="17"/>
              </w:rPr>
              <w:t xml:space="preserve">324</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48/2/217/76</w:t>
            </w:r>
          </w:p>
        </w:tc>
      </w:tr>
      <w:tr>
        <w:trPr>
          <w:cantSplit/>
        </w:trPr>
        <w:tc>
          <w:tcPr>
            <w:tcW w:type="dxa" w:w="2520"/>
          </w:tcPr>
          <w:p>
            <w:pPr>
              <w:pStyle w:val="Compact"/>
              <w:spacing w:after="80" w:line="240" w:lineRule="auto"/>
              <w:jc w:val="left"/>
            </w:pPr>
            <w:r>
              <w:rPr>
                <w:sz w:val="17"/>
              </w:rPr>
              <w:t xml:space="preserve">shipped_drop_known_solid_gt60</w:t>
            </w:r>
          </w:p>
        </w:tc>
        <w:tc>
          <w:tcPr>
            <w:tcW w:type="dxa" w:w="1229"/>
          </w:tcPr>
          <w:p>
            <w:pPr>
              <w:pStyle w:val="Compact"/>
              <w:spacing w:after="80" w:line="240" w:lineRule="auto"/>
              <w:jc w:val="right"/>
            </w:pPr>
            <w:r>
              <w:rPr>
                <w:sz w:val="17"/>
              </w:rPr>
              <w:t xml:space="preserve">272</w:t>
            </w:r>
          </w:p>
        </w:tc>
        <w:tc>
          <w:tcPr>
            <w:tcW w:type="dxa" w:w="1229"/>
          </w:tcPr>
          <w:p>
            <w:pPr>
              <w:pStyle w:val="Compact"/>
              <w:spacing w:after="80" w:line="240" w:lineRule="auto"/>
              <w:jc w:val="right"/>
            </w:pPr>
            <w:r>
              <w:rPr>
                <w:sz w:val="17"/>
              </w:rPr>
              <w:t xml:space="preserve">68</w:t>
            </w:r>
          </w:p>
        </w:tc>
        <w:tc>
          <w:tcPr>
            <w:tcW w:type="dxa" w:w="1229"/>
          </w:tcPr>
          <w:p>
            <w:pPr>
              <w:pStyle w:val="Compact"/>
              <w:spacing w:after="80" w:line="240" w:lineRule="auto"/>
              <w:jc w:val="right"/>
            </w:pPr>
            <w:r>
              <w:rPr>
                <w:sz w:val="17"/>
              </w:rPr>
              <w:t xml:space="preserve">272</w:t>
            </w:r>
          </w:p>
        </w:tc>
        <w:tc>
          <w:tcPr>
            <w:tcW w:type="dxa" w:w="1229"/>
          </w:tcPr>
          <w:p>
            <w:pPr>
              <w:pStyle w:val="Compact"/>
              <w:spacing w:after="80" w:line="240" w:lineRule="auto"/>
              <w:jc w:val="right"/>
            </w:pPr>
            <w:r>
              <w:rPr>
                <w:sz w:val="17"/>
              </w:rPr>
              <w:t xml:space="preserve">254</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48/2/168/54</w:t>
            </w:r>
          </w:p>
        </w:tc>
      </w:tr>
      <w:tr>
        <w:trPr>
          <w:cantSplit/>
        </w:trPr>
        <w:tc>
          <w:tcPr>
            <w:tcW w:type="dxa" w:w="2520"/>
          </w:tcPr>
          <w:p>
            <w:pPr>
              <w:pStyle w:val="Compact"/>
              <w:spacing w:after="80" w:line="240" w:lineRule="auto"/>
              <w:jc w:val="left"/>
            </w:pPr>
            <w:r>
              <w:rPr>
                <w:sz w:val="17"/>
              </w:rPr>
              <w:t xml:space="preserve">process_L1_lineage</w:t>
            </w:r>
          </w:p>
        </w:tc>
        <w:tc>
          <w:tcPr>
            <w:tcW w:type="dxa" w:w="1229"/>
          </w:tcPr>
          <w:p>
            <w:pPr>
              <w:pStyle w:val="Compact"/>
              <w:spacing w:after="80" w:line="240" w:lineRule="auto"/>
              <w:jc w:val="right"/>
            </w:pPr>
            <w:r>
              <w:rPr>
                <w:sz w:val="17"/>
              </w:rPr>
              <w:t xml:space="preserve">272</w:t>
            </w:r>
          </w:p>
        </w:tc>
        <w:tc>
          <w:tcPr>
            <w:tcW w:type="dxa" w:w="1229"/>
          </w:tcPr>
          <w:p>
            <w:pPr>
              <w:pStyle w:val="Compact"/>
              <w:spacing w:after="80" w:line="240" w:lineRule="auto"/>
              <w:jc w:val="right"/>
            </w:pPr>
            <w:r>
              <w:rPr>
                <w:sz w:val="17"/>
              </w:rPr>
              <w:t xml:space="preserve">67</w:t>
            </w:r>
          </w:p>
        </w:tc>
        <w:tc>
          <w:tcPr>
            <w:tcW w:type="dxa" w:w="1229"/>
          </w:tcPr>
          <w:p>
            <w:pPr>
              <w:pStyle w:val="Compact"/>
              <w:spacing w:after="80" w:line="240" w:lineRule="auto"/>
              <w:jc w:val="right"/>
            </w:pPr>
            <w:r>
              <w:rPr>
                <w:sz w:val="17"/>
              </w:rPr>
              <w:t xml:space="preserve">272</w:t>
            </w:r>
          </w:p>
        </w:tc>
        <w:tc>
          <w:tcPr>
            <w:tcW w:type="dxa" w:w="1229"/>
          </w:tcPr>
          <w:p>
            <w:pPr>
              <w:pStyle w:val="Compact"/>
              <w:spacing w:after="80" w:line="240" w:lineRule="auto"/>
              <w:jc w:val="right"/>
            </w:pPr>
            <w:r>
              <w:rPr>
                <w:sz w:val="17"/>
              </w:rPr>
              <w:t xml:space="preserve">253</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left"/>
            </w:pPr>
            <w:r>
              <w:rPr>
                <w:sz w:val="17"/>
              </w:rPr>
              <w:t xml:space="preserve">38/2/176/56</w:t>
            </w:r>
          </w:p>
        </w:tc>
      </w:tr>
    </w:tbl>
    <w:p>
      <w:pPr>
        <w:pStyle w:val="BodyText"/>
      </w:pPr>
      <w:r>
        <w:t xml:space="preserve">Source:</w:t>
      </w:r>
      <w:r>
        <w:t xml:space="preserve"> </w:t>
      </w:r>
      <w:r>
        <w:rPr>
          <w:rStyle w:val="VerbatimChar"/>
          <w:rFonts w:ascii="Liberation Mono" w:hAnsi="Liberation Mono"/>
          <w:sz w:val="18"/>
        </w:rPr>
        <w:t xml:space="preserve">artifacts/modeling/manuscript_revision/local_evidence/scope_view_coverage.csv</w:t>
      </w:r>
      <w:r>
        <w:t xml:space="preserve">. The corrected table connects to 39 legacy rows; 30 corrected records connect to the 545-row primary view and 5 originate outside it. It is not a simple filtered copy of that primary view.</w:t>
      </w:r>
    </w:p>
    <w:bookmarkEnd w:id="20"/>
    <w:bookmarkStart w:id="21" w:name="X2708225e127ed56b3b1fbf11196e354ee76a6f6"/>
    <w:p>
      <w:pPr>
        <w:pStyle w:val="Heading2"/>
      </w:pPr>
      <w:r>
        <w:t xml:space="preserve">S2 Material criteria and corrected record dispositions</w:t>
      </w:r>
    </w:p>
    <w:p>
      <w:pPr>
        <w:pStyle w:val="FirstParagraph"/>
      </w:pPr>
      <w:r>
        <w:t xml:space="preserve">The frozen criteria are in</w:t>
      </w:r>
      <w:r>
        <w:t xml:space="preserve"> </w:t>
      </w:r>
      <w:r>
        <w:rPr>
          <w:rStyle w:val="VerbatimChar"/>
          <w:rFonts w:ascii="Liberation Mono" w:hAnsi="Liberation Mono"/>
          <w:sz w:val="18"/>
        </w:rPr>
        <w:t xml:space="preserve">docs/spec/criteria_and_schema.md</w:t>
      </w:r>
      <w:r>
        <w:t xml:space="preserve">. Starch matrix status uses approximately 50% of network-forming polymers; approximately 15–50% co-network compositions can be retained as noncore. The denominator excludes solvent, salts and fillers and includes polymerized synthetic monomers. Dry films, solutions and pellets fail the project’s gel-state gate. Predominantly electronic, redox/proton and unresolved mixed-conduction systems do not become core ionic aqueous hydrogels simply because conductivity is reported. Other solvent families and co-networks remain separately identified.</w:t>
      </w:r>
    </w:p>
    <w:p>
      <w:pPr>
        <w:pStyle w:val="BodyText"/>
      </w:pPr>
      <w:r>
        <w:t xml:space="preserve">The correction protocol in</w:t>
      </w:r>
      <w:r>
        <w:t xml:space="preserve"> </w:t>
      </w:r>
      <w:r>
        <w:rPr>
          <w:rStyle w:val="VerbatimChar"/>
          <w:rFonts w:ascii="Liberation Mono" w:hAnsi="Liberation Mono"/>
          <w:sz w:val="18"/>
        </w:rPr>
        <w:t xml:space="preserve">artifacts/modeling/manuscript_revision/local_evidence/corrected_data_protocol.md</w:t>
      </w:r>
      <w:r>
        <w:t xml:space="preserve"> </w:t>
      </w:r>
      <w:r>
        <w:t xml:space="preserve">was committed before the derived table, after the evidence problems and earlier results were known. Its status is retrospective correction, not blinded preregistration. It distinguishes nominal composition boundaries, test state, author-reported printed point values, approximate values, graphs, ranges and conflicts. It keeps possible reuse separate from confirmed duplicates, and preparation quantities separate from quantities bound to conductivity measurement.</w:t>
      </w:r>
    </w:p>
    <w:p>
      <w:pPr>
        <w:pStyle w:val="BodyText"/>
      </w:pPr>
      <w:r>
        <w:rPr>
          <w:rStyle w:val="VerbatimChar"/>
          <w:rFonts w:ascii="Liberation Mono" w:hAnsi="Liberation Mono"/>
          <w:sz w:val="18"/>
        </w:rPr>
        <w:t xml:space="preserve">Author-reported printed point value</w:t>
      </w:r>
      <w:r>
        <w:t xml:space="preserve"> </w:t>
      </w:r>
      <w:r>
        <w:t xml:space="preserve">denotes a scalar value explicitly displayed by the authors in a form admissible under the frozen protocol. It is a reporting-form label, not a claim of physical exactness or independent accuracy. Approximate values, graph-derived values, ranges, orders of magnitude and unresolved conflicting reports remain separate evidence classes.</w:t>
      </w:r>
    </w:p>
    <w:p>
      <w:pPr>
        <w:pStyle w:val="BodyText"/>
        <w:keepNext/>
      </w:pPr>
      <w:r>
        <w:rPr>
          <w:bCs/>
          <w:b/>
        </w:rPr>
        <w:t xml:space="preserve">Table S2. Mutually exclusive dispositions of the 603 old conductivity rows.</w:t>
      </w:r>
      <w:r>
        <w:t xml:space="preserve"> </w:t>
      </w:r>
      <w:r>
        <w:t xml:space="preserve">Dispositions preserve the old records and describe the new table’s relation to them.</w:t>
      </w:r>
    </w:p>
    <w:tbl>
      <w:tblPr>
        <w:tblStyle w:val="Table"/>
        <w:tblW w:type="auto" w:w="0"/>
        <w:tblLayout w:type="fixed"/>
        <w:tblLook w:firstRow="1" w:lastRow="0" w:firstColumn="0" w:lastColumn="0" w:noHBand="0" w:noVBand="0" w:val="0020"/>
        <w:jc w:val="start"/>
      </w:tblPr>
      <w:tblGrid>
        <w:gridCol w:w="4946"/>
        <w:gridCol w:w="4946"/>
      </w:tblGrid>
      <w:tr>
        <w:trPr>
          <w:tblHeader w:val="true"/>
          <w:cantSplit/>
          <w:tblHeader/>
        </w:trPr>
        <w:tc>
          <w:tcPr>
            <w:tcW w:type="dxa" w:w="4946"/>
            <w:shd w:fill="EEEEEE"/>
          </w:tcPr>
          <w:p>
            <w:pPr>
              <w:pStyle w:val="Compact"/>
              <w:spacing w:after="80" w:line="240" w:lineRule="auto"/>
              <w:jc w:val="left"/>
            </w:pPr>
            <w:r>
              <w:rPr>
                <w:b/>
                <w:sz w:val="17"/>
              </w:rPr>
              <w:t xml:space="preserve">Disposition</w:t>
            </w:r>
          </w:p>
        </w:tc>
        <w:tc>
          <w:tcPr>
            <w:tcW w:type="dxa" w:w="4946"/>
            <w:shd w:fill="EEEEEE"/>
          </w:tcPr>
          <w:p>
            <w:pPr>
              <w:pStyle w:val="Compact"/>
              <w:spacing w:after="80" w:line="240" w:lineRule="auto"/>
              <w:jc w:val="right"/>
            </w:pPr>
            <w:r>
              <w:rPr>
                <w:b/>
                <w:sz w:val="17"/>
              </w:rPr>
              <w:t xml:space="preserve">Legacy rows</w:t>
            </w:r>
          </w:p>
        </w:tc>
      </w:tr>
      <w:tr>
        <w:trPr>
          <w:cantSplit/>
        </w:trPr>
        <w:tc>
          <w:tcPr>
            <w:tcW w:type="dxa" w:w="4946"/>
          </w:tcPr>
          <w:p>
            <w:pPr>
              <w:pStyle w:val="Compact"/>
              <w:spacing w:after="80" w:line="240" w:lineRule="auto"/>
              <w:jc w:val="left"/>
            </w:pPr>
            <w:r>
              <w:rPr>
                <w:sz w:val="17"/>
              </w:rPr>
              <w:t xml:space="preserve">Outside the defined scope</w:t>
            </w:r>
          </w:p>
        </w:tc>
        <w:tc>
          <w:tcPr>
            <w:tcW w:type="dxa" w:w="4946"/>
          </w:tcPr>
          <w:p>
            <w:pPr>
              <w:pStyle w:val="Compact"/>
              <w:spacing w:after="80" w:line="240" w:lineRule="auto"/>
              <w:jc w:val="right"/>
            </w:pPr>
            <w:r>
              <w:rPr>
                <w:sz w:val="17"/>
              </w:rPr>
              <w:t xml:space="preserve">379</w:t>
            </w:r>
          </w:p>
        </w:tc>
      </w:tr>
      <w:tr>
        <w:trPr>
          <w:cantSplit/>
        </w:trPr>
        <w:tc>
          <w:tcPr>
            <w:tcW w:type="dxa" w:w="4946"/>
          </w:tcPr>
          <w:p>
            <w:pPr>
              <w:pStyle w:val="Compact"/>
              <w:spacing w:after="80" w:line="240" w:lineRule="auto"/>
              <w:jc w:val="left"/>
            </w:pPr>
            <w:r>
              <w:rPr>
                <w:sz w:val="17"/>
              </w:rPr>
              <w:t xml:space="preserve">Material unresolved and held</w:t>
            </w:r>
          </w:p>
        </w:tc>
        <w:tc>
          <w:tcPr>
            <w:tcW w:type="dxa" w:w="4946"/>
          </w:tcPr>
          <w:p>
            <w:pPr>
              <w:pStyle w:val="Compact"/>
              <w:spacing w:after="80" w:line="240" w:lineRule="auto"/>
              <w:jc w:val="right"/>
            </w:pPr>
            <w:r>
              <w:rPr>
                <w:sz w:val="17"/>
              </w:rPr>
              <w:t xml:space="preserve">118</w:t>
            </w:r>
          </w:p>
        </w:tc>
      </w:tr>
      <w:tr>
        <w:trPr>
          <w:cantSplit/>
        </w:trPr>
        <w:tc>
          <w:tcPr>
            <w:tcW w:type="dxa" w:w="4946"/>
          </w:tcPr>
          <w:p>
            <w:pPr>
              <w:pStyle w:val="Compact"/>
              <w:spacing w:after="80" w:line="240" w:lineRule="auto"/>
              <w:jc w:val="left"/>
            </w:pPr>
            <w:r>
              <w:rPr>
                <w:sz w:val="17"/>
              </w:rPr>
              <w:t xml:space="preserve">Noncore and retained only in the inventory</w:t>
            </w:r>
          </w:p>
        </w:tc>
        <w:tc>
          <w:tcPr>
            <w:tcW w:type="dxa" w:w="4946"/>
          </w:tcPr>
          <w:p>
            <w:pPr>
              <w:pStyle w:val="Compact"/>
              <w:spacing w:after="80" w:line="240" w:lineRule="auto"/>
              <w:jc w:val="right"/>
            </w:pPr>
            <w:r>
              <w:rPr>
                <w:sz w:val="17"/>
              </w:rPr>
              <w:t xml:space="preserve">57</w:t>
            </w:r>
          </w:p>
        </w:tc>
      </w:tr>
      <w:tr>
        <w:trPr>
          <w:cantSplit/>
        </w:trPr>
        <w:tc>
          <w:tcPr>
            <w:tcW w:type="dxa" w:w="4946"/>
          </w:tcPr>
          <w:p>
            <w:pPr>
              <w:pStyle w:val="Compact"/>
              <w:spacing w:after="80" w:line="240" w:lineRule="auto"/>
              <w:jc w:val="left"/>
            </w:pPr>
            <w:r>
              <w:rPr>
                <w:sz w:val="17"/>
              </w:rPr>
              <w:t xml:space="preserve">Retained directly</w:t>
            </w:r>
          </w:p>
        </w:tc>
        <w:tc>
          <w:tcPr>
            <w:tcW w:type="dxa" w:w="4946"/>
          </w:tcPr>
          <w:p>
            <w:pPr>
              <w:pStyle w:val="Compact"/>
              <w:spacing w:after="80" w:line="240" w:lineRule="auto"/>
              <w:jc w:val="right"/>
            </w:pPr>
            <w:r>
              <w:rPr>
                <w:sz w:val="17"/>
              </w:rPr>
              <w:t xml:space="preserve">28</w:t>
            </w:r>
          </w:p>
        </w:tc>
      </w:tr>
      <w:tr>
        <w:trPr>
          <w:cantSplit/>
        </w:trPr>
        <w:tc>
          <w:tcPr>
            <w:tcW w:type="dxa" w:w="4946"/>
          </w:tcPr>
          <w:p>
            <w:pPr>
              <w:pStyle w:val="Compact"/>
              <w:spacing w:after="80" w:line="240" w:lineRule="auto"/>
              <w:jc w:val="left"/>
            </w:pPr>
            <w:r>
              <w:rPr>
                <w:sz w:val="17"/>
              </w:rPr>
              <w:t xml:space="preserve">Material-compatible but no admissible scalar or unique sample</w:t>
            </w:r>
          </w:p>
        </w:tc>
        <w:tc>
          <w:tcPr>
            <w:tcW w:type="dxa" w:w="4946"/>
          </w:tcPr>
          <w:p>
            <w:pPr>
              <w:pStyle w:val="Compact"/>
              <w:spacing w:after="80" w:line="240" w:lineRule="auto"/>
              <w:jc w:val="right"/>
            </w:pPr>
            <w:r>
              <w:rPr>
                <w:sz w:val="17"/>
              </w:rPr>
              <w:t xml:space="preserve">10</w:t>
            </w:r>
          </w:p>
        </w:tc>
      </w:tr>
      <w:tr>
        <w:trPr>
          <w:cantSplit/>
        </w:trPr>
        <w:tc>
          <w:tcPr>
            <w:tcW w:type="dxa" w:w="4946"/>
          </w:tcPr>
          <w:p>
            <w:pPr>
              <w:pStyle w:val="Compact"/>
              <w:spacing w:after="80" w:line="240" w:lineRule="auto"/>
              <w:jc w:val="left"/>
            </w:pPr>
            <w:r>
              <w:rPr>
                <w:sz w:val="17"/>
              </w:rPr>
              <w:t xml:space="preserve">Involved in merging confirmed repeated reports</w:t>
            </w:r>
          </w:p>
        </w:tc>
        <w:tc>
          <w:tcPr>
            <w:tcW w:type="dxa" w:w="4946"/>
          </w:tcPr>
          <w:p>
            <w:pPr>
              <w:pStyle w:val="Compact"/>
              <w:spacing w:after="80" w:line="240" w:lineRule="auto"/>
              <w:jc w:val="right"/>
            </w:pPr>
            <w:r>
              <w:rPr>
                <w:sz w:val="17"/>
              </w:rPr>
              <w:t xml:space="preserve">10</w:t>
            </w:r>
          </w:p>
        </w:tc>
      </w:tr>
      <w:tr>
        <w:trPr>
          <w:cantSplit/>
        </w:trPr>
        <w:tc>
          <w:tcPr>
            <w:tcW w:type="dxa" w:w="4946"/>
          </w:tcPr>
          <w:p>
            <w:pPr>
              <w:pStyle w:val="Compact"/>
              <w:spacing w:after="80" w:line="240" w:lineRule="auto"/>
              <w:jc w:val="left"/>
            </w:pPr>
            <w:r>
              <w:rPr>
                <w:sz w:val="17"/>
              </w:rPr>
              <w:t xml:space="preserve">Split into distinct condition records</w:t>
            </w:r>
          </w:p>
        </w:tc>
        <w:tc>
          <w:tcPr>
            <w:tcW w:type="dxa" w:w="4946"/>
          </w:tcPr>
          <w:p>
            <w:pPr>
              <w:pStyle w:val="Compact"/>
              <w:spacing w:after="80" w:line="240" w:lineRule="auto"/>
              <w:jc w:val="right"/>
            </w:pPr>
            <w:r>
              <w:rPr>
                <w:sz w:val="17"/>
              </w:rPr>
              <w:t xml:space="preserve">1</w:t>
            </w:r>
          </w:p>
        </w:tc>
      </w:tr>
      <w:tr>
        <w:trPr>
          <w:cantSplit/>
        </w:trPr>
        <w:tc>
          <w:tcPr>
            <w:tcW w:type="dxa" w:w="4946"/>
          </w:tcPr>
          <w:p>
            <w:pPr>
              <w:pStyle w:val="Compact"/>
              <w:spacing w:after="80" w:line="240" w:lineRule="auto"/>
              <w:jc w:val="left"/>
            </w:pPr>
            <w:r>
              <w:rPr>
                <w:sz w:val="17"/>
              </w:rPr>
              <w:t xml:space="preserve">Total</w:t>
            </w:r>
          </w:p>
        </w:tc>
        <w:tc>
          <w:tcPr>
            <w:tcW w:type="dxa" w:w="4946"/>
          </w:tcPr>
          <w:p>
            <w:pPr>
              <w:pStyle w:val="Compact"/>
              <w:spacing w:after="80" w:line="240" w:lineRule="auto"/>
              <w:jc w:val="right"/>
            </w:pPr>
            <w:r>
              <w:rPr>
                <w:sz w:val="17"/>
              </w:rPr>
              <w:t xml:space="preserve">603</w:t>
            </w:r>
          </w:p>
        </w:tc>
      </w:tr>
    </w:tbl>
    <w:p>
      <w:pPr>
        <w:pStyle w:val="BodyText"/>
      </w:pPr>
      <w:r>
        <w:t xml:space="preserve">The last four categories account for the 49 material-compatible rows. The 28 directly retained rows plus five merged reports from ten rows plus two condition records from one row yield 35 records. They represent 34 profiles and 15 conservative source groups. The 1601 ledger entries are dispositions and links, not samples or research contributions. All corrected records carry an AI observer identity, incomplete human-review status and no certification of source independence.</w:t>
      </w:r>
    </w:p>
    <w:p>
      <w:pPr>
        <w:pStyle w:val="BodyText"/>
      </w:pPr>
      <w:r>
        <w:t xml:space="preserve">Conductivity conversions used S/m ×0.01, mS/cm ×0.001 and μS/cm ×10⁻⁶. Kelvin was converted by subtracting 273.15. Resistivity was inverted only when the reported quantity and geometry supported that interpretation. Conductance or resistance alone was not relabeled conductivity. The author-reported printed point label indicates reporting form and display precision, not physical exactness or an independent accuracy assessment. Unknown temperature was not filled with 25°C and unknown water was not filled with zero.</w:t>
      </w:r>
    </w:p>
    <w:p>
      <w:pPr>
        <w:pStyle w:val="BodyText"/>
      </w:pPr>
      <w:r>
        <w:t xml:space="preserve">The old sample target was a linear-S/cm median followed by log10. New records do not average different temperatures, states, methods or incompatible source values. Exact source/report identifiers, units and all old-to-new links remain in</w:t>
      </w:r>
      <w:r>
        <w:t xml:space="preserve"> </w:t>
      </w:r>
      <w:r>
        <w:rPr>
          <w:rStyle w:val="VerbatimChar"/>
          <w:rFonts w:ascii="Liberation Mono" w:hAnsi="Liberation Mono"/>
          <w:sz w:val="18"/>
        </w:rPr>
        <w:t xml:space="preserve">corrected_rows.csv</w:t>
      </w:r>
      <w:r>
        <w:t xml:space="preserve"> </w:t>
      </w:r>
      <w:r>
        <w:t xml:space="preserve">and</w:t>
      </w:r>
      <w:r>
        <w:t xml:space="preserve"> </w:t>
      </w:r>
      <w:r>
        <w:rPr>
          <w:rStyle w:val="VerbatimChar"/>
          <w:rFonts w:ascii="Liberation Mono" w:hAnsi="Liberation Mono"/>
          <w:sz w:val="18"/>
        </w:rPr>
        <w:t xml:space="preserve">change_ledger.csv</w:t>
      </w:r>
      <w:r>
        <w:t xml:space="preserve"> </w:t>
      </w:r>
      <w:r>
        <w:t xml:space="preserve">in the same evidence directory. The corrected features retain raw recipe expressions, units, denominators, preparation-versus-measurement stage and missingness rather than inheriting the old feature matrix.</w:t>
      </w:r>
    </w:p>
    <w:bookmarkEnd w:id="21"/>
    <w:bookmarkStart w:id="22" w:name="s3-every-corrected-hydrogel-task"/>
    <w:p>
      <w:pPr>
        <w:pStyle w:val="Heading2"/>
      </w:pPr>
      <w:r>
        <w:t xml:space="preserve">S3 Every corrected hydrogel task</w:t>
      </w:r>
    </w:p>
    <w:p>
      <w:pPr>
        <w:pStyle w:val="FirstParagraph"/>
      </w:pPr>
      <w:r>
        <w:t xml:space="preserve">Bulk means a material-level conductivity estimate based on impedance resistance and geometry. Complete-device/interface estimates, four-probe or other procedures, and unknown methods remain distinct. The numerical near-ambient task chooses the eligible point nearest 25°C within 20–30°C, breaking an equal-distance tie toward the lower temperature. It does not normalize measurements to 25°C. Text-only room temperature is a separate task.</w:t>
      </w:r>
    </w:p>
    <w:p>
      <w:pPr>
        <w:pStyle w:val="BodyText"/>
        <w:keepNext/>
      </w:pPr>
      <w:r>
        <w:rPr>
          <w:bCs/>
          <w:b/>
        </w:rPr>
        <w:t xml:space="preserve">Table S3. All recorded corrected-hydrogel tasks and fixed sensitivities.</w:t>
      </w:r>
      <w:r>
        <w:t xml:space="preserve"> </w:t>
      </w:r>
      <w:r>
        <w:t xml:space="preserve">Group sizes count distinct profiles. Task rows overlap; the numerical bulk task includes the near-ambient task. Empty rows are reported, not silently removed.</w:t>
      </w:r>
    </w:p>
    <w:tbl>
      <w:tblPr>
        <w:tblStyle w:val="Table"/>
        <w:tblW w:type="pct" w:w="5000"/>
        <w:tblLayout w:type="fixed"/>
        <w:tblLook w:firstRow="1" w:lastRow="0" w:firstColumn="0" w:lastColumn="0" w:noHBand="0" w:noVBand="0" w:val="0020"/>
        <w:jc w:val="start"/>
      </w:tblPr>
      <w:tblGrid>
        <w:gridCol w:w="2304"/>
        <w:gridCol w:w="3701"/>
        <w:gridCol w:w="936"/>
        <w:gridCol w:w="1008"/>
        <w:gridCol w:w="1944"/>
      </w:tblGrid>
      <w:tr>
        <w:trPr>
          <w:tblHeader w:val="true"/>
          <w:cantSplit/>
          <w:tblHeader/>
        </w:trPr>
        <w:tc>
          <w:tcPr>
            <w:tcW w:type="dxa" w:w="2304"/>
            <w:shd w:fill="EEEEEE"/>
          </w:tcPr>
          <w:p>
            <w:pPr>
              <w:pStyle w:val="Compact"/>
              <w:spacing w:after="80" w:line="240" w:lineRule="auto"/>
              <w:jc w:val="left"/>
            </w:pPr>
            <w:r>
              <w:rPr>
                <w:b/>
                <w:sz w:val="17"/>
              </w:rPr>
              <w:t xml:space="preserve">Task</w:t>
            </w:r>
          </w:p>
        </w:tc>
        <w:tc>
          <w:tcPr>
            <w:tcW w:type="dxa" w:w="3701"/>
            <w:shd w:fill="EEEEEE"/>
          </w:tcPr>
          <w:p>
            <w:pPr>
              <w:pStyle w:val="Compact"/>
              <w:spacing w:after="80" w:line="240" w:lineRule="auto"/>
              <w:jc w:val="right"/>
            </w:pPr>
            <w:r>
              <w:rPr>
                <w:b/>
                <w:sz w:val="17"/>
              </w:rPr>
              <w:t xml:space="preserve">Records</w:t>
            </w:r>
          </w:p>
        </w:tc>
        <w:tc>
          <w:tcPr>
            <w:tcW w:type="dxa" w:w="936"/>
            <w:shd w:fill="EEEEEE"/>
          </w:tcPr>
          <w:p>
            <w:pPr>
              <w:pStyle w:val="Compact"/>
              <w:spacing w:after="80" w:line="240" w:lineRule="auto"/>
              <w:jc w:val="right"/>
            </w:pPr>
            <w:r>
              <w:rPr>
                <w:b/>
                <w:sz w:val="17"/>
              </w:rPr>
              <w:t xml:space="preserve">Profiles</w:t>
            </w:r>
          </w:p>
        </w:tc>
        <w:tc>
          <w:tcPr>
            <w:tcW w:type="dxa" w:w="1008"/>
            <w:shd w:fill="EEEEEE"/>
          </w:tcPr>
          <w:p>
            <w:pPr>
              <w:pStyle w:val="Compact"/>
              <w:spacing w:after="80" w:line="240" w:lineRule="auto"/>
              <w:jc w:val="right"/>
            </w:pPr>
            <w:r>
              <w:rPr>
                <w:b/>
                <w:sz w:val="17"/>
              </w:rPr>
              <w:t xml:space="preserve">Groups</w:t>
            </w:r>
          </w:p>
        </w:tc>
        <w:tc>
          <w:tcPr>
            <w:tcW w:type="dxa" w:w="1944"/>
            <w:shd w:fill="EEEEEE"/>
          </w:tcPr>
          <w:p>
            <w:pPr>
              <w:pStyle w:val="Compact"/>
              <w:spacing w:after="80" w:line="240" w:lineRule="auto"/>
              <w:jc w:val="left"/>
            </w:pPr>
            <w:r>
              <w:rPr>
                <w:b/>
                <w:sz w:val="17"/>
              </w:rPr>
              <w:t xml:space="preserve">Profiles per group</w:t>
            </w:r>
          </w:p>
        </w:tc>
      </w:tr>
      <w:tr>
        <w:trPr>
          <w:cantSplit/>
        </w:trPr>
        <w:tc>
          <w:tcPr>
            <w:tcW w:type="dxa" w:w="2304"/>
          </w:tcPr>
          <w:p>
            <w:pPr>
              <w:pStyle w:val="Compact"/>
              <w:spacing w:after="80" w:line="240" w:lineRule="auto"/>
              <w:jc w:val="left"/>
            </w:pPr>
            <w:r>
              <w:rPr>
                <w:sz w:val="17"/>
              </w:rPr>
              <w:t xml:space="preserve">Bulk at numerical 20–30°C</w:t>
            </w:r>
          </w:p>
        </w:tc>
        <w:tc>
          <w:tcPr>
            <w:tcW w:type="dxa" w:w="3701"/>
          </w:tcPr>
          <w:p>
            <w:pPr>
              <w:pStyle w:val="Compact"/>
              <w:spacing w:after="80" w:line="240" w:lineRule="auto"/>
              <w:jc w:val="right"/>
            </w:pPr>
            <w:r>
              <w:rPr>
                <w:sz w:val="17"/>
              </w:rPr>
              <w:t xml:space="preserve">2</w:t>
            </w:r>
          </w:p>
        </w:tc>
        <w:tc>
          <w:tcPr>
            <w:tcW w:type="dxa" w:w="936"/>
          </w:tcPr>
          <w:p>
            <w:pPr>
              <w:pStyle w:val="Compact"/>
              <w:spacing w:after="80" w:line="240" w:lineRule="auto"/>
              <w:jc w:val="right"/>
            </w:pPr>
            <w:r>
              <w:rPr>
                <w:sz w:val="17"/>
              </w:rPr>
              <w:t xml:space="preserve">2</w:t>
            </w:r>
          </w:p>
        </w:tc>
        <w:tc>
          <w:tcPr>
            <w:tcW w:type="dxa" w:w="1008"/>
          </w:tcPr>
          <w:p>
            <w:pPr>
              <w:pStyle w:val="Compact"/>
              <w:spacing w:after="80" w:line="240" w:lineRule="auto"/>
              <w:jc w:val="right"/>
            </w:pPr>
            <w:r>
              <w:rPr>
                <w:sz w:val="17"/>
              </w:rPr>
              <w:t xml:space="preserve">2</w:t>
            </w:r>
          </w:p>
        </w:tc>
        <w:tc>
          <w:tcPr>
            <w:tcW w:type="dxa" w:w="1944"/>
          </w:tcPr>
          <w:p>
            <w:pPr>
              <w:pStyle w:val="Compact"/>
              <w:spacing w:after="80" w:line="240" w:lineRule="auto"/>
              <w:jc w:val="left"/>
            </w:pPr>
            <w:r>
              <w:rPr>
                <w:sz w:val="17"/>
              </w:rPr>
              <w:t xml:space="preserve">1,1</w:t>
            </w:r>
          </w:p>
        </w:tc>
      </w:tr>
      <w:tr>
        <w:trPr>
          <w:cantSplit/>
        </w:trPr>
        <w:tc>
          <w:tcPr>
            <w:tcW w:type="dxa" w:w="2304"/>
          </w:tcPr>
          <w:p>
            <w:pPr>
              <w:pStyle w:val="Compact"/>
              <w:spacing w:after="80" w:line="240" w:lineRule="auto"/>
              <w:jc w:val="left"/>
            </w:pPr>
            <w:r>
              <w:rPr>
                <w:sz w:val="17"/>
              </w:rPr>
              <w:t xml:space="preserve">Bulk at exactly 25°C</w:t>
            </w:r>
          </w:p>
        </w:tc>
        <w:tc>
          <w:tcPr>
            <w:tcW w:type="dxa" w:w="3701"/>
          </w:tcPr>
          <w:p>
            <w:pPr>
              <w:pStyle w:val="Compact"/>
              <w:spacing w:after="80" w:line="240" w:lineRule="auto"/>
              <w:jc w:val="right"/>
            </w:pPr>
            <w:r>
              <w:rPr>
                <w:sz w:val="17"/>
              </w:rPr>
              <w:t xml:space="preserve">0</w:t>
            </w:r>
          </w:p>
        </w:tc>
        <w:tc>
          <w:tcPr>
            <w:tcW w:type="dxa" w:w="936"/>
          </w:tcPr>
          <w:p>
            <w:pPr>
              <w:pStyle w:val="Compact"/>
              <w:spacing w:after="80" w:line="240" w:lineRule="auto"/>
              <w:jc w:val="right"/>
            </w:pPr>
            <w:r>
              <w:rPr>
                <w:sz w:val="17"/>
              </w:rPr>
              <w:t xml:space="preserve">0</w:t>
            </w:r>
          </w:p>
        </w:tc>
        <w:tc>
          <w:tcPr>
            <w:tcW w:type="dxa" w:w="1008"/>
          </w:tcPr>
          <w:p>
            <w:pPr>
              <w:pStyle w:val="Compact"/>
              <w:spacing w:after="80" w:line="240" w:lineRule="auto"/>
              <w:jc w:val="right"/>
            </w:pPr>
            <w:r>
              <w:rPr>
                <w:sz w:val="17"/>
              </w:rPr>
              <w:t xml:space="preserve">0</w:t>
            </w:r>
          </w:p>
        </w:tc>
        <w:tc>
          <w:tcPr>
            <w:tcW w:type="dxa" w:w="1944"/>
          </w:tcPr>
          <w:p>
            <w:pPr>
              <w:pStyle w:val="Compact"/>
              <w:spacing w:after="80" w:line="240" w:lineRule="auto"/>
              <w:jc w:val="left"/>
            </w:pPr>
            <w:r>
              <w:rPr>
                <w:sz w:val="17"/>
              </w:rPr>
              <w:t xml:space="preserve">None</w:t>
            </w:r>
          </w:p>
        </w:tc>
      </w:tr>
      <w:tr>
        <w:trPr>
          <w:cantSplit/>
        </w:trPr>
        <w:tc>
          <w:tcPr>
            <w:tcW w:type="dxa" w:w="2304"/>
          </w:tcPr>
          <w:p>
            <w:pPr>
              <w:pStyle w:val="Compact"/>
              <w:spacing w:after="80" w:line="240" w:lineRule="auto"/>
              <w:jc w:val="left"/>
            </w:pPr>
            <w:r>
              <w:rPr>
                <w:sz w:val="17"/>
              </w:rPr>
              <w:t xml:space="preserve">Bulk at text-only room temperature</w:t>
            </w:r>
          </w:p>
        </w:tc>
        <w:tc>
          <w:tcPr>
            <w:tcW w:type="dxa" w:w="3701"/>
          </w:tcPr>
          <w:p>
            <w:pPr>
              <w:pStyle w:val="Compact"/>
              <w:spacing w:after="80" w:line="240" w:lineRule="auto"/>
              <w:jc w:val="right"/>
            </w:pPr>
            <w:r>
              <w:rPr>
                <w:sz w:val="17"/>
              </w:rPr>
              <w:t xml:space="preserve">11</w:t>
            </w:r>
          </w:p>
        </w:tc>
        <w:tc>
          <w:tcPr>
            <w:tcW w:type="dxa" w:w="936"/>
          </w:tcPr>
          <w:p>
            <w:pPr>
              <w:pStyle w:val="Compact"/>
              <w:spacing w:after="80" w:line="240" w:lineRule="auto"/>
              <w:jc w:val="right"/>
            </w:pPr>
            <w:r>
              <w:rPr>
                <w:sz w:val="17"/>
              </w:rPr>
              <w:t xml:space="preserve">11</w:t>
            </w:r>
          </w:p>
        </w:tc>
        <w:tc>
          <w:tcPr>
            <w:tcW w:type="dxa" w:w="1008"/>
          </w:tcPr>
          <w:p>
            <w:pPr>
              <w:pStyle w:val="Compact"/>
              <w:spacing w:after="80" w:line="240" w:lineRule="auto"/>
              <w:jc w:val="right"/>
            </w:pPr>
            <w:r>
              <w:rPr>
                <w:sz w:val="17"/>
              </w:rPr>
              <w:t xml:space="preserve">4</w:t>
            </w:r>
          </w:p>
        </w:tc>
        <w:tc>
          <w:tcPr>
            <w:tcW w:type="dxa" w:w="1944"/>
          </w:tcPr>
          <w:p>
            <w:pPr>
              <w:pStyle w:val="Compact"/>
              <w:spacing w:after="80" w:line="240" w:lineRule="auto"/>
              <w:jc w:val="left"/>
            </w:pPr>
            <w:r>
              <w:rPr>
                <w:sz w:val="17"/>
              </w:rPr>
              <w:t xml:space="preserve">1,1,4,5</w:t>
            </w:r>
          </w:p>
        </w:tc>
      </w:tr>
      <w:tr>
        <w:trPr>
          <w:cantSplit/>
        </w:trPr>
        <w:tc>
          <w:tcPr>
            <w:tcW w:type="dxa" w:w="2304"/>
          </w:tcPr>
          <w:p>
            <w:pPr>
              <w:pStyle w:val="Compact"/>
              <w:spacing w:after="80" w:line="240" w:lineRule="auto"/>
              <w:jc w:val="left"/>
            </w:pPr>
            <w:r>
              <w:rPr>
                <w:sz w:val="17"/>
              </w:rPr>
              <w:t xml:space="preserve">Bulk at any numerical temperature</w:t>
            </w:r>
          </w:p>
        </w:tc>
        <w:tc>
          <w:tcPr>
            <w:tcW w:type="dxa" w:w="3701"/>
          </w:tcPr>
          <w:p>
            <w:pPr>
              <w:pStyle w:val="Compact"/>
              <w:spacing w:after="80" w:line="240" w:lineRule="auto"/>
              <w:jc w:val="right"/>
            </w:pPr>
            <w:r>
              <w:rPr>
                <w:sz w:val="17"/>
              </w:rPr>
              <w:t xml:space="preserve">3</w:t>
            </w:r>
          </w:p>
        </w:tc>
        <w:tc>
          <w:tcPr>
            <w:tcW w:type="dxa" w:w="936"/>
          </w:tcPr>
          <w:p>
            <w:pPr>
              <w:pStyle w:val="Compact"/>
              <w:spacing w:after="80" w:line="240" w:lineRule="auto"/>
              <w:jc w:val="right"/>
            </w:pPr>
            <w:r>
              <w:rPr>
                <w:sz w:val="17"/>
              </w:rPr>
              <w:t xml:space="preserve">3</w:t>
            </w:r>
          </w:p>
        </w:tc>
        <w:tc>
          <w:tcPr>
            <w:tcW w:type="dxa" w:w="1008"/>
          </w:tcPr>
          <w:p>
            <w:pPr>
              <w:pStyle w:val="Compact"/>
              <w:spacing w:after="80" w:line="240" w:lineRule="auto"/>
              <w:jc w:val="right"/>
            </w:pPr>
            <w:r>
              <w:rPr>
                <w:sz w:val="17"/>
              </w:rPr>
              <w:t xml:space="preserve">3</w:t>
            </w:r>
          </w:p>
        </w:tc>
        <w:tc>
          <w:tcPr>
            <w:tcW w:type="dxa" w:w="1944"/>
          </w:tcPr>
          <w:p>
            <w:pPr>
              <w:pStyle w:val="Compact"/>
              <w:spacing w:after="80" w:line="240" w:lineRule="auto"/>
              <w:jc w:val="left"/>
            </w:pPr>
            <w:r>
              <w:rPr>
                <w:sz w:val="17"/>
              </w:rPr>
              <w:t xml:space="preserve">1,1,1</w:t>
            </w:r>
          </w:p>
        </w:tc>
      </w:tr>
      <w:tr>
        <w:trPr>
          <w:cantSplit/>
        </w:trPr>
        <w:tc>
          <w:tcPr>
            <w:tcW w:type="dxa" w:w="2304"/>
          </w:tcPr>
          <w:p>
            <w:pPr>
              <w:pStyle w:val="Compact"/>
              <w:spacing w:after="80" w:line="240" w:lineRule="auto"/>
              <w:jc w:val="left"/>
            </w:pPr>
            <w:r>
              <w:rPr>
                <w:sz w:val="17"/>
              </w:rPr>
              <w:t xml:space="preserve">Bulk with unknown temperature</w:t>
            </w:r>
          </w:p>
        </w:tc>
        <w:tc>
          <w:tcPr>
            <w:tcW w:type="dxa" w:w="3701"/>
          </w:tcPr>
          <w:p>
            <w:pPr>
              <w:pStyle w:val="Compact"/>
              <w:spacing w:after="80" w:line="240" w:lineRule="auto"/>
              <w:jc w:val="right"/>
            </w:pPr>
            <w:r>
              <w:rPr>
                <w:sz w:val="17"/>
              </w:rPr>
              <w:t xml:space="preserve">8</w:t>
            </w:r>
          </w:p>
        </w:tc>
        <w:tc>
          <w:tcPr>
            <w:tcW w:type="dxa" w:w="936"/>
          </w:tcPr>
          <w:p>
            <w:pPr>
              <w:pStyle w:val="Compact"/>
              <w:spacing w:after="80" w:line="240" w:lineRule="auto"/>
              <w:jc w:val="right"/>
            </w:pPr>
            <w:r>
              <w:rPr>
                <w:sz w:val="17"/>
              </w:rPr>
              <w:t xml:space="preserve">8</w:t>
            </w:r>
          </w:p>
        </w:tc>
        <w:tc>
          <w:tcPr>
            <w:tcW w:type="dxa" w:w="1008"/>
          </w:tcPr>
          <w:p>
            <w:pPr>
              <w:pStyle w:val="Compact"/>
              <w:spacing w:after="80" w:line="240" w:lineRule="auto"/>
              <w:jc w:val="right"/>
            </w:pPr>
            <w:r>
              <w:rPr>
                <w:sz w:val="17"/>
              </w:rPr>
              <w:t xml:space="preserve">4</w:t>
            </w:r>
          </w:p>
        </w:tc>
        <w:tc>
          <w:tcPr>
            <w:tcW w:type="dxa" w:w="1944"/>
          </w:tcPr>
          <w:p>
            <w:pPr>
              <w:pStyle w:val="Compact"/>
              <w:spacing w:after="80" w:line="240" w:lineRule="auto"/>
              <w:jc w:val="left"/>
            </w:pPr>
            <w:r>
              <w:rPr>
                <w:sz w:val="17"/>
              </w:rPr>
              <w:t xml:space="preserve">2,2,2,2</w:t>
            </w:r>
          </w:p>
        </w:tc>
      </w:tr>
      <w:tr>
        <w:trPr>
          <w:cantSplit/>
        </w:trPr>
        <w:tc>
          <w:tcPr>
            <w:tcW w:type="dxa" w:w="2304"/>
          </w:tcPr>
          <w:p>
            <w:pPr>
              <w:pStyle w:val="Compact"/>
              <w:spacing w:after="80" w:line="240" w:lineRule="auto"/>
              <w:jc w:val="left"/>
            </w:pPr>
            <w:r>
              <w:rPr>
                <w:sz w:val="17"/>
              </w:rPr>
              <w:t xml:space="preserve">Complete device or interface estimate</w:t>
            </w:r>
          </w:p>
        </w:tc>
        <w:tc>
          <w:tcPr>
            <w:tcW w:type="dxa" w:w="3701"/>
          </w:tcPr>
          <w:p>
            <w:pPr>
              <w:pStyle w:val="Compact"/>
              <w:spacing w:after="80" w:line="240" w:lineRule="auto"/>
              <w:jc w:val="right"/>
            </w:pPr>
            <w:r>
              <w:rPr>
                <w:sz w:val="17"/>
              </w:rPr>
              <w:t xml:space="preserve">9</w:t>
            </w:r>
          </w:p>
        </w:tc>
        <w:tc>
          <w:tcPr>
            <w:tcW w:type="dxa" w:w="936"/>
          </w:tcPr>
          <w:p>
            <w:pPr>
              <w:pStyle w:val="Compact"/>
              <w:spacing w:after="80" w:line="240" w:lineRule="auto"/>
              <w:jc w:val="right"/>
            </w:pPr>
            <w:r>
              <w:rPr>
                <w:sz w:val="17"/>
              </w:rPr>
              <w:t xml:space="preserve">9</w:t>
            </w:r>
          </w:p>
        </w:tc>
        <w:tc>
          <w:tcPr>
            <w:tcW w:type="dxa" w:w="1008"/>
          </w:tcPr>
          <w:p>
            <w:pPr>
              <w:pStyle w:val="Compact"/>
              <w:spacing w:after="80" w:line="240" w:lineRule="auto"/>
              <w:jc w:val="right"/>
            </w:pPr>
            <w:r>
              <w:rPr>
                <w:sz w:val="17"/>
              </w:rPr>
              <w:t xml:space="preserve">2</w:t>
            </w:r>
          </w:p>
        </w:tc>
        <w:tc>
          <w:tcPr>
            <w:tcW w:type="dxa" w:w="1944"/>
          </w:tcPr>
          <w:p>
            <w:pPr>
              <w:pStyle w:val="Compact"/>
              <w:spacing w:after="80" w:line="240" w:lineRule="auto"/>
              <w:jc w:val="left"/>
            </w:pPr>
            <w:r>
              <w:rPr>
                <w:sz w:val="17"/>
              </w:rPr>
              <w:t xml:space="preserve">3,6</w:t>
            </w:r>
          </w:p>
        </w:tc>
      </w:tr>
      <w:tr>
        <w:trPr>
          <w:cantSplit/>
        </w:trPr>
        <w:tc>
          <w:tcPr>
            <w:tcW w:type="dxa" w:w="2304"/>
          </w:tcPr>
          <w:p>
            <w:pPr>
              <w:pStyle w:val="Compact"/>
              <w:spacing w:after="80" w:line="240" w:lineRule="auto"/>
              <w:jc w:val="left"/>
            </w:pPr>
            <w:r>
              <w:rPr>
                <w:sz w:val="17"/>
              </w:rPr>
              <w:t xml:space="preserve">Other measurement methods</w:t>
            </w:r>
          </w:p>
        </w:tc>
        <w:tc>
          <w:tcPr>
            <w:tcW w:type="dxa" w:w="3701"/>
          </w:tcPr>
          <w:p>
            <w:pPr>
              <w:pStyle w:val="Compact"/>
              <w:spacing w:after="80" w:line="240" w:lineRule="auto"/>
              <w:jc w:val="right"/>
            </w:pPr>
            <w:r>
              <w:rPr>
                <w:sz w:val="17"/>
              </w:rPr>
              <w:t xml:space="preserve">3</w:t>
            </w:r>
          </w:p>
        </w:tc>
        <w:tc>
          <w:tcPr>
            <w:tcW w:type="dxa" w:w="936"/>
          </w:tcPr>
          <w:p>
            <w:pPr>
              <w:pStyle w:val="Compact"/>
              <w:spacing w:after="80" w:line="240" w:lineRule="auto"/>
              <w:jc w:val="right"/>
            </w:pPr>
            <w:r>
              <w:rPr>
                <w:sz w:val="17"/>
              </w:rPr>
              <w:t xml:space="preserve">3</w:t>
            </w:r>
          </w:p>
        </w:tc>
        <w:tc>
          <w:tcPr>
            <w:tcW w:type="dxa" w:w="1008"/>
          </w:tcPr>
          <w:p>
            <w:pPr>
              <w:pStyle w:val="Compact"/>
              <w:spacing w:after="80" w:line="240" w:lineRule="auto"/>
              <w:jc w:val="right"/>
            </w:pPr>
            <w:r>
              <w:rPr>
                <w:sz w:val="17"/>
              </w:rPr>
              <w:t xml:space="preserve">3</w:t>
            </w:r>
          </w:p>
        </w:tc>
        <w:tc>
          <w:tcPr>
            <w:tcW w:type="dxa" w:w="1944"/>
          </w:tcPr>
          <w:p>
            <w:pPr>
              <w:pStyle w:val="Compact"/>
              <w:spacing w:after="80" w:line="240" w:lineRule="auto"/>
              <w:jc w:val="left"/>
            </w:pPr>
            <w:r>
              <w:rPr>
                <w:sz w:val="17"/>
              </w:rPr>
              <w:t xml:space="preserve">1,1,1</w:t>
            </w:r>
          </w:p>
        </w:tc>
      </w:tr>
      <w:tr>
        <w:trPr>
          <w:cantSplit/>
        </w:trPr>
        <w:tc>
          <w:tcPr>
            <w:tcW w:type="dxa" w:w="2304"/>
          </w:tcPr>
          <w:p>
            <w:pPr>
              <w:pStyle w:val="Compact"/>
              <w:spacing w:after="80" w:line="240" w:lineRule="auto"/>
              <w:jc w:val="left"/>
            </w:pPr>
            <w:r>
              <w:rPr>
                <w:sz w:val="17"/>
              </w:rPr>
              <w:t xml:space="preserve">Unspecified method</w:t>
            </w:r>
          </w:p>
        </w:tc>
        <w:tc>
          <w:tcPr>
            <w:tcW w:type="dxa" w:w="3701"/>
          </w:tcPr>
          <w:p>
            <w:pPr>
              <w:pStyle w:val="Compact"/>
              <w:spacing w:after="80" w:line="240" w:lineRule="auto"/>
              <w:jc w:val="right"/>
            </w:pPr>
            <w:r>
              <w:rPr>
                <w:sz w:val="17"/>
              </w:rPr>
              <w:t xml:space="preserve">1</w:t>
            </w:r>
          </w:p>
        </w:tc>
        <w:tc>
          <w:tcPr>
            <w:tcW w:type="dxa" w:w="936"/>
          </w:tcPr>
          <w:p>
            <w:pPr>
              <w:pStyle w:val="Compact"/>
              <w:spacing w:after="80" w:line="240" w:lineRule="auto"/>
              <w:jc w:val="right"/>
            </w:pPr>
            <w:r>
              <w:rPr>
                <w:sz w:val="17"/>
              </w:rPr>
              <w:t xml:space="preserve">1</w:t>
            </w:r>
          </w:p>
        </w:tc>
        <w:tc>
          <w:tcPr>
            <w:tcW w:type="dxa" w:w="1008"/>
          </w:tcPr>
          <w:p>
            <w:pPr>
              <w:pStyle w:val="Compact"/>
              <w:spacing w:after="80" w:line="240" w:lineRule="auto"/>
              <w:jc w:val="right"/>
            </w:pPr>
            <w:r>
              <w:rPr>
                <w:sz w:val="17"/>
              </w:rPr>
              <w:t xml:space="preserve">1</w:t>
            </w:r>
          </w:p>
        </w:tc>
        <w:tc>
          <w:tcPr>
            <w:tcW w:type="dxa" w:w="1944"/>
          </w:tcPr>
          <w:p>
            <w:pPr>
              <w:pStyle w:val="Compact"/>
              <w:spacing w:after="80" w:line="240" w:lineRule="auto"/>
              <w:jc w:val="left"/>
            </w:pPr>
            <w:r>
              <w:rPr>
                <w:sz w:val="17"/>
              </w:rPr>
              <w:t xml:space="preserve">1</w:t>
            </w:r>
          </w:p>
        </w:tc>
      </w:tr>
      <w:tr>
        <w:trPr>
          <w:cantSplit/>
        </w:trPr>
        <w:tc>
          <w:tcPr>
            <w:tcW w:type="dxa" w:w="2304"/>
          </w:tcPr>
          <w:p>
            <w:pPr>
              <w:pStyle w:val="Compact"/>
              <w:spacing w:after="80" w:line="240" w:lineRule="auto"/>
              <w:jc w:val="left"/>
            </w:pPr>
            <w:r>
              <w:rPr>
                <w:sz w:val="17"/>
              </w:rPr>
              <w:t xml:space="preserve">20–30°C and ≥2 profiles per group</w:t>
            </w:r>
          </w:p>
        </w:tc>
        <w:tc>
          <w:tcPr>
            <w:tcW w:type="dxa" w:w="3701"/>
          </w:tcPr>
          <w:p>
            <w:pPr>
              <w:pStyle w:val="Compact"/>
              <w:spacing w:after="80" w:line="240" w:lineRule="auto"/>
              <w:jc w:val="right"/>
            </w:pPr>
            <w:r>
              <w:rPr>
                <w:sz w:val="17"/>
              </w:rPr>
              <w:t xml:space="preserve">0</w:t>
            </w:r>
          </w:p>
        </w:tc>
        <w:tc>
          <w:tcPr>
            <w:tcW w:type="dxa" w:w="936"/>
          </w:tcPr>
          <w:p>
            <w:pPr>
              <w:pStyle w:val="Compact"/>
              <w:spacing w:after="80" w:line="240" w:lineRule="auto"/>
              <w:jc w:val="right"/>
            </w:pPr>
            <w:r>
              <w:rPr>
                <w:sz w:val="17"/>
              </w:rPr>
              <w:t xml:space="preserve">0</w:t>
            </w:r>
          </w:p>
        </w:tc>
        <w:tc>
          <w:tcPr>
            <w:tcW w:type="dxa" w:w="1008"/>
          </w:tcPr>
          <w:p>
            <w:pPr>
              <w:pStyle w:val="Compact"/>
              <w:spacing w:after="80" w:line="240" w:lineRule="auto"/>
              <w:jc w:val="right"/>
            </w:pPr>
            <w:r>
              <w:rPr>
                <w:sz w:val="17"/>
              </w:rPr>
              <w:t xml:space="preserve">0</w:t>
            </w:r>
          </w:p>
        </w:tc>
        <w:tc>
          <w:tcPr>
            <w:tcW w:type="dxa" w:w="1944"/>
          </w:tcPr>
          <w:p>
            <w:pPr>
              <w:pStyle w:val="Compact"/>
              <w:spacing w:after="80" w:line="240" w:lineRule="auto"/>
              <w:jc w:val="left"/>
            </w:pPr>
            <w:r>
              <w:rPr>
                <w:sz w:val="17"/>
              </w:rPr>
              <w:t xml:space="preserve">None</w:t>
            </w:r>
          </w:p>
        </w:tc>
      </w:tr>
      <w:tr>
        <w:trPr>
          <w:cantSplit/>
        </w:trPr>
        <w:tc>
          <w:tcPr>
            <w:tcW w:type="dxa" w:w="2304"/>
          </w:tcPr>
          <w:p>
            <w:pPr>
              <w:pStyle w:val="Compact"/>
              <w:spacing w:after="80" w:line="240" w:lineRule="auto"/>
              <w:jc w:val="left"/>
            </w:pPr>
            <w:r>
              <w:rPr>
                <w:sz w:val="17"/>
              </w:rPr>
              <w:t xml:space="preserve">Text-only room temperature and ≥2 profiles per group</w:t>
            </w:r>
          </w:p>
        </w:tc>
        <w:tc>
          <w:tcPr>
            <w:tcW w:type="dxa" w:w="3701"/>
          </w:tcPr>
          <w:p>
            <w:pPr>
              <w:pStyle w:val="Compact"/>
              <w:spacing w:after="80" w:line="240" w:lineRule="auto"/>
              <w:jc w:val="right"/>
            </w:pPr>
            <w:r>
              <w:rPr>
                <w:sz w:val="17"/>
              </w:rPr>
              <w:t xml:space="preserve">9</w:t>
            </w:r>
          </w:p>
        </w:tc>
        <w:tc>
          <w:tcPr>
            <w:tcW w:type="dxa" w:w="936"/>
          </w:tcPr>
          <w:p>
            <w:pPr>
              <w:pStyle w:val="Compact"/>
              <w:spacing w:after="80" w:line="240" w:lineRule="auto"/>
              <w:jc w:val="right"/>
            </w:pPr>
            <w:r>
              <w:rPr>
                <w:sz w:val="17"/>
              </w:rPr>
              <w:t xml:space="preserve">9</w:t>
            </w:r>
          </w:p>
        </w:tc>
        <w:tc>
          <w:tcPr>
            <w:tcW w:type="dxa" w:w="1008"/>
          </w:tcPr>
          <w:p>
            <w:pPr>
              <w:pStyle w:val="Compact"/>
              <w:spacing w:after="80" w:line="240" w:lineRule="auto"/>
              <w:jc w:val="right"/>
            </w:pPr>
            <w:r>
              <w:rPr>
                <w:sz w:val="17"/>
              </w:rPr>
              <w:t xml:space="preserve">2</w:t>
            </w:r>
          </w:p>
        </w:tc>
        <w:tc>
          <w:tcPr>
            <w:tcW w:type="dxa" w:w="1944"/>
          </w:tcPr>
          <w:p>
            <w:pPr>
              <w:pStyle w:val="Compact"/>
              <w:spacing w:after="80" w:line="240" w:lineRule="auto"/>
              <w:jc w:val="left"/>
            </w:pPr>
            <w:r>
              <w:rPr>
                <w:sz w:val="17"/>
              </w:rPr>
              <w:t xml:space="preserve">4,5</w:t>
            </w:r>
          </w:p>
        </w:tc>
      </w:tr>
      <w:tr>
        <w:trPr>
          <w:cantSplit/>
        </w:trPr>
        <w:tc>
          <w:tcPr>
            <w:tcW w:type="dxa" w:w="2304"/>
          </w:tcPr>
          <w:p>
            <w:pPr>
              <w:pStyle w:val="Compact"/>
              <w:spacing w:after="80" w:line="240" w:lineRule="auto"/>
              <w:jc w:val="left"/>
            </w:pPr>
            <w:r>
              <w:rPr>
                <w:sz w:val="17"/>
              </w:rPr>
              <w:t xml:space="preserve">20–30°C without nominal composition boundary</w:t>
            </w:r>
          </w:p>
        </w:tc>
        <w:tc>
          <w:tcPr>
            <w:tcW w:type="dxa" w:w="3701"/>
          </w:tcPr>
          <w:p>
            <w:pPr>
              <w:pStyle w:val="Compact"/>
              <w:spacing w:after="80" w:line="240" w:lineRule="auto"/>
              <w:jc w:val="right"/>
            </w:pPr>
            <w:r>
              <w:rPr>
                <w:sz w:val="17"/>
              </w:rPr>
              <w:t xml:space="preserve">1</w:t>
            </w:r>
          </w:p>
        </w:tc>
        <w:tc>
          <w:tcPr>
            <w:tcW w:type="dxa" w:w="936"/>
          </w:tcPr>
          <w:p>
            <w:pPr>
              <w:pStyle w:val="Compact"/>
              <w:spacing w:after="80" w:line="240" w:lineRule="auto"/>
              <w:jc w:val="right"/>
            </w:pPr>
            <w:r>
              <w:rPr>
                <w:sz w:val="17"/>
              </w:rPr>
              <w:t xml:space="preserve">1</w:t>
            </w:r>
          </w:p>
        </w:tc>
        <w:tc>
          <w:tcPr>
            <w:tcW w:type="dxa" w:w="1008"/>
          </w:tcPr>
          <w:p>
            <w:pPr>
              <w:pStyle w:val="Compact"/>
              <w:spacing w:after="80" w:line="240" w:lineRule="auto"/>
              <w:jc w:val="right"/>
            </w:pPr>
            <w:r>
              <w:rPr>
                <w:sz w:val="17"/>
              </w:rPr>
              <w:t xml:space="preserve">1</w:t>
            </w:r>
          </w:p>
        </w:tc>
        <w:tc>
          <w:tcPr>
            <w:tcW w:type="dxa" w:w="1944"/>
          </w:tcPr>
          <w:p>
            <w:pPr>
              <w:pStyle w:val="Compact"/>
              <w:spacing w:after="80" w:line="240" w:lineRule="auto"/>
              <w:jc w:val="left"/>
            </w:pPr>
            <w:r>
              <w:rPr>
                <w:sz w:val="17"/>
              </w:rPr>
              <w:t xml:space="preserve">1</w:t>
            </w:r>
          </w:p>
        </w:tc>
      </w:tr>
      <w:tr>
        <w:trPr>
          <w:cantSplit/>
        </w:trPr>
        <w:tc>
          <w:tcPr>
            <w:tcW w:type="dxa" w:w="2304"/>
          </w:tcPr>
          <w:p>
            <w:pPr>
              <w:pStyle w:val="Compact"/>
              <w:spacing w:after="80" w:line="240" w:lineRule="auto"/>
              <w:jc w:val="left"/>
            </w:pPr>
            <w:r>
              <w:rPr>
                <w:sz w:val="17"/>
              </w:rPr>
              <w:t xml:space="preserve">20–30°C without ancillary discrepancy</w:t>
            </w:r>
          </w:p>
        </w:tc>
        <w:tc>
          <w:tcPr>
            <w:tcW w:type="dxa" w:w="3701"/>
          </w:tcPr>
          <w:p>
            <w:pPr>
              <w:pStyle w:val="Compact"/>
              <w:spacing w:after="80" w:line="240" w:lineRule="auto"/>
              <w:jc w:val="right"/>
            </w:pPr>
            <w:r>
              <w:rPr>
                <w:sz w:val="17"/>
              </w:rPr>
              <w:t xml:space="preserve">1</w:t>
            </w:r>
          </w:p>
        </w:tc>
        <w:tc>
          <w:tcPr>
            <w:tcW w:type="dxa" w:w="936"/>
          </w:tcPr>
          <w:p>
            <w:pPr>
              <w:pStyle w:val="Compact"/>
              <w:spacing w:after="80" w:line="240" w:lineRule="auto"/>
              <w:jc w:val="right"/>
            </w:pPr>
            <w:r>
              <w:rPr>
                <w:sz w:val="17"/>
              </w:rPr>
              <w:t xml:space="preserve">1</w:t>
            </w:r>
          </w:p>
        </w:tc>
        <w:tc>
          <w:tcPr>
            <w:tcW w:type="dxa" w:w="1008"/>
          </w:tcPr>
          <w:p>
            <w:pPr>
              <w:pStyle w:val="Compact"/>
              <w:spacing w:after="80" w:line="240" w:lineRule="auto"/>
              <w:jc w:val="right"/>
            </w:pPr>
            <w:r>
              <w:rPr>
                <w:sz w:val="17"/>
              </w:rPr>
              <w:t xml:space="preserve">1</w:t>
            </w:r>
          </w:p>
        </w:tc>
        <w:tc>
          <w:tcPr>
            <w:tcW w:type="dxa" w:w="1944"/>
          </w:tcPr>
          <w:p>
            <w:pPr>
              <w:pStyle w:val="Compact"/>
              <w:spacing w:after="80" w:line="240" w:lineRule="auto"/>
              <w:jc w:val="left"/>
            </w:pPr>
            <w:r>
              <w:rPr>
                <w:sz w:val="17"/>
              </w:rPr>
              <w:t xml:space="preserve">1</w:t>
            </w:r>
          </w:p>
        </w:tc>
      </w:tr>
    </w:tbl>
    <w:p>
      <w:pPr>
        <w:pStyle w:val="BodyText"/>
      </w:pPr>
      <w:r>
        <w:t xml:space="preserve">Source:</w:t>
      </w:r>
      <w:r>
        <w:t xml:space="preserve"> </w:t>
      </w:r>
      <w:r>
        <w:rPr>
          <w:rStyle w:val="VerbatimChar"/>
          <w:rFonts w:ascii="Liberation Mono" w:hAnsi="Liberation Mono"/>
          <w:sz w:val="18"/>
        </w:rPr>
        <w:t xml:space="preserve">artifacts/modeling/manuscript_revision/local_evidence/corrected_data_summary.json</w:t>
      </w:r>
      <w:r>
        <w:t xml:space="preserve">, cross-checked against</w:t>
      </w:r>
      <w:r>
        <w:t xml:space="preserve"> </w:t>
      </w:r>
      <w:r>
        <w:rPr>
          <w:rStyle w:val="VerbatimChar"/>
          <w:rFonts w:ascii="Liberation Mono" w:hAnsi="Liberation Mono"/>
          <w:sz w:val="18"/>
        </w:rPr>
        <w:t xml:space="preserve">corrected_rows.csv</w:t>
      </w:r>
      <w:r>
        <w:t xml:space="preserve">.</w:t>
      </w:r>
    </w:p>
    <w:p>
      <w:pPr>
        <w:pStyle w:val="BodyText"/>
      </w:pPr>
      <w:r>
        <w:t xml:space="preserve">The six mutually exclusive record-level measurement categories are numerical-temperature bulk (3), text-only room-temperature bulk (11), temperature-unknown bulk (8), complete-device/interface (9), other methods (3), and method-unknown (1), totaling 35 retained records. Profiles and conservative source groups are not additive across those rows. The 20–30°C, exactly-25°C, group-size and two one-record sensitivity views are derived subsets of the same retained evidence.</w:t>
      </w:r>
    </w:p>
    <w:p>
      <w:pPr>
        <w:pStyle w:val="BodyText"/>
      </w:pPr>
      <w:r>
        <w:t xml:space="preserve">The two near-ambient rows are L03R-39b70655fb428ae234d2, sample CS:A 3:3 Sw, 0.027 S/cm at 30°C, and L03R-96c452f294df04db07e6, sample SHEM, 0.349 S/cm at 30°C. Their legacy rows are A207:0278 and A207:0820, respectively. The former has both a nominal network-composition boundary and an ancillary comparison-table discrepancy. These flags are retained; they are not newly resolved here. The 35-record table has no certified numerical wet-basis water fraction bound to its conductivity measurements. Other water-related measurements or recipe quantities in the articles are not thereby declared absent.</w:t>
      </w:r>
    </w:p>
    <w:p>
      <w:pPr>
        <w:pStyle w:val="BodyText"/>
      </w:pPr>
      <w:r>
        <w:t xml:space="preserve">No listed corrected-hydrogel task contained five source groups. Five-fold source hold-out is therefore undefined under the recorded design. The separate historical small-size flag (</w:t>
      </w:r>
      <w:r>
        <w:rPr>
          <w:rStyle w:val="VerbatimChar"/>
          <w:rFonts w:ascii="Liberation Mono" w:hAnsi="Liberation Mono"/>
          <w:sz w:val="18"/>
        </w:rPr>
        <w:t xml:space="preserve">n&lt;100</w:t>
      </w:r>
      <w:r>
        <w:t xml:space="preserve"> </w:t>
      </w:r>
      <w:r>
        <w:t xml:space="preserve">and</w:t>
      </w:r>
      <w:r>
        <w:t xml:space="preserve"> </w:t>
      </w:r>
      <w:r>
        <w:rPr>
          <w:rStyle w:val="VerbatimChar"/>
          <w:rFonts w:ascii="Liberation Mono" w:hAnsi="Liberation Mono"/>
          <w:sz w:val="18"/>
        </w:rPr>
        <w:t xml:space="preserve">groups&lt;25</w:t>
      </w:r>
      <w:r>
        <w:t xml:space="preserve">) restricts interpretation to descriptive evidence. Neither criterion proves that a material can never be modeled or that five groups would alone be sufficient.</w:t>
      </w:r>
    </w:p>
    <w:bookmarkEnd w:id="22"/>
    <w:bookmarkStart w:id="23" w:name="s4-every-dry-film-feasibility-task"/>
    <w:p>
      <w:pPr>
        <w:pStyle w:val="Heading2"/>
      </w:pPr>
      <w:r>
        <w:t xml:space="preserve">S4 Every dry-film feasibility task</w:t>
      </w:r>
    </w:p>
    <w:p>
      <w:pPr>
        <w:pStyle w:val="FirstParagraph"/>
      </w:pPr>
      <w:r>
        <w:t xml:space="preserve">The gate envelope comprised 234 old rows and 46 reporting carriers. Two potato-starch samples were pellets and the PSK6 sample was a solution; removing these left 231 dry-film rows from 45 carriers and 232 observation reports. Confirmed links gave 220 report components, 212 mapped profiles and 8 unresolved profile mappings. Carrier-level source components numbered 44 with confirmed links and 42 with conservative possible links; neither is a count of certified independent studies.</w:t>
      </w:r>
    </w:p>
    <w:p>
      <w:pPr>
        <w:pStyle w:val="BodyText"/>
      </w:pPr>
      <w:r>
        <w:t xml:space="preserve">Of the 231 old rows, 187 had registered observations and 44 did not. After confirmed report deduplication, 38 components had no observations; 30 had mapped profiles and 8 did not. The 232 observation reports comprised 215 author-reported printed point values, 9 author approximate values, 4 graph-derived reports, 2 orders of magnitude and 2 conflicted reports. Three otherwise printed-point reports were additionally held for location or sample-assignment conflicts, yielding five point-held observations in total. Those are observations, not five independent papers.</w:t>
      </w:r>
    </w:p>
    <w:p>
      <w:pPr>
        <w:pStyle w:val="BodyText"/>
      </w:pPr>
      <w:r>
        <w:t xml:space="preserve">Numerical temperature was available for 95 reports; 93 supplied only room-temperature text and 44 had other missing or ambiguous temperature. Method families were bulk impedance 209, spectral plateau 7, Jonscher fitted conductivity 6, fractal-model DC conductivity 4, fractal-model sigma0 4 and incompletely specified impedance estimate 2. Counts in this paragraph are mutually exclusive observation-level classifications. The legacy-row precision flags in the source inventory are overlapping and cannot replace these denominators.</w:t>
      </w:r>
    </w:p>
    <w:p>
      <w:pPr>
        <w:pStyle w:val="BodyText"/>
        <w:keepNext/>
      </w:pPr>
      <w:r>
        <w:rPr>
          <w:bCs/>
          <w:b/>
        </w:rPr>
        <w:t xml:space="preserve">Table S4. All 19 specified dry-film uses.</w:t>
      </w:r>
      <w:r>
        <w:t xml:space="preserve"> </w:t>
      </w:r>
      <w:r>
        <w:t xml:space="preserve">P/G denotes mapped profiles/conservative source groups. The ≥2 arm retains groups with at least two distinct profiles. The last column removes whole groups with registered unresolved measurement lineage; it does not certify independence. Counts include no new target extraction.</w:t>
      </w:r>
    </w:p>
    <w:tbl>
      <w:tblPr>
        <w:tblStyle w:val="Table"/>
        <w:tblW w:type="pct" w:w="5000"/>
        <w:tblLayout w:type="fixed"/>
        <w:tblLook w:firstRow="1" w:lastRow="0" w:firstColumn="0" w:lastColumn="0" w:noHBand="0" w:noVBand="0" w:val="0020"/>
        <w:jc w:val="start"/>
      </w:tblPr>
      <w:tblGrid>
        <w:gridCol w:w="1649"/>
        <w:gridCol w:w="1649"/>
        <w:gridCol w:w="1649"/>
        <w:gridCol w:w="1649"/>
        <w:gridCol w:w="1649"/>
        <w:gridCol w:w="1649"/>
      </w:tblGrid>
      <w:tr>
        <w:trPr>
          <w:tblHeader w:val="true"/>
          <w:cantSplit/>
          <w:tblHeader/>
        </w:trPr>
        <w:tc>
          <w:tcPr>
            <w:tcW w:type="dxa" w:w="1649"/>
            <w:shd w:fill="EEEEEE"/>
          </w:tcPr>
          <w:p>
            <w:pPr>
              <w:pStyle w:val="Compact"/>
              <w:spacing w:after="80" w:line="240" w:lineRule="auto"/>
              <w:jc w:val="left"/>
            </w:pPr>
            <w:r>
              <w:rPr>
                <w:b/>
                <w:sz w:val="17"/>
              </w:rPr>
              <w:t xml:space="preserve">Use</w:t>
            </w:r>
          </w:p>
        </w:tc>
        <w:tc>
          <w:tcPr>
            <w:tcW w:type="dxa" w:w="1649"/>
            <w:shd w:fill="EEEEEE"/>
          </w:tcPr>
          <w:p>
            <w:pPr>
              <w:pStyle w:val="Compact"/>
              <w:spacing w:after="80" w:line="240" w:lineRule="auto"/>
              <w:jc w:val="right"/>
            </w:pPr>
            <w:r>
              <w:rPr>
                <w:b/>
                <w:sz w:val="17"/>
              </w:rPr>
              <w:t xml:space="preserve">Reports</w:t>
            </w:r>
          </w:p>
        </w:tc>
        <w:tc>
          <w:tcPr>
            <w:tcW w:type="dxa" w:w="1649"/>
            <w:shd w:fill="EEEEEE"/>
          </w:tcPr>
          <w:p>
            <w:pPr>
              <w:pStyle w:val="Compact"/>
              <w:spacing w:after="80" w:line="240" w:lineRule="auto"/>
              <w:jc w:val="left"/>
            </w:pPr>
            <w:r>
              <w:rPr>
                <w:b/>
                <w:sz w:val="17"/>
              </w:rPr>
              <w:t xml:space="preserve">P/G</w:t>
            </w:r>
          </w:p>
        </w:tc>
        <w:tc>
          <w:tcPr>
            <w:tcW w:type="dxa" w:w="1649"/>
            <w:shd w:fill="EEEEEE"/>
          </w:tcPr>
          <w:p>
            <w:pPr>
              <w:pStyle w:val="Compact"/>
              <w:spacing w:after="80" w:line="240" w:lineRule="auto"/>
              <w:jc w:val="right"/>
            </w:pPr>
            <w:r>
              <w:rPr>
                <w:b/>
                <w:sz w:val="17"/>
              </w:rPr>
              <w:t xml:space="preserve">Singleton groups</w:t>
            </w:r>
          </w:p>
        </w:tc>
        <w:tc>
          <w:tcPr>
            <w:tcW w:type="dxa" w:w="1649"/>
            <w:shd w:fill="EEEEEE"/>
          </w:tcPr>
          <w:p>
            <w:pPr>
              <w:pStyle w:val="Compact"/>
              <w:spacing w:after="80" w:line="240" w:lineRule="auto"/>
              <w:jc w:val="left"/>
            </w:pPr>
            <w:r>
              <w:rPr>
                <w:b/>
                <w:sz w:val="17"/>
              </w:rPr>
              <w:t xml:space="preserve">≥2 arm P/G</w:t>
            </w:r>
          </w:p>
        </w:tc>
        <w:tc>
          <w:tcPr>
            <w:tcW w:type="dxa" w:w="1649"/>
            <w:shd w:fill="EEEEEE"/>
          </w:tcPr>
          <w:p>
            <w:pPr>
              <w:pStyle w:val="Compact"/>
              <w:spacing w:after="80" w:line="240" w:lineRule="auto"/>
              <w:jc w:val="left"/>
            </w:pPr>
            <w:r>
              <w:rPr>
                <w:b/>
                <w:sz w:val="17"/>
              </w:rPr>
              <w:t xml:space="preserve">Without registered unresolved lineage P/G</w:t>
            </w:r>
          </w:p>
        </w:tc>
      </w:tr>
      <w:tr>
        <w:trPr>
          <w:cantSplit/>
        </w:trPr>
        <w:tc>
          <w:tcPr>
            <w:tcW w:type="dxa" w:w="1649"/>
          </w:tcPr>
          <w:p>
            <w:pPr>
              <w:pStyle w:val="Compact"/>
              <w:spacing w:after="80" w:line="240" w:lineRule="auto"/>
              <w:jc w:val="left"/>
            </w:pPr>
            <w:r>
              <w:rPr>
                <w:sz w:val="17"/>
              </w:rPr>
              <w:t xml:space="preserve">Bulk at numerical 20–30°C, approximate temperature allowed</w:t>
            </w:r>
          </w:p>
        </w:tc>
        <w:tc>
          <w:tcPr>
            <w:tcW w:type="dxa" w:w="1649"/>
          </w:tcPr>
          <w:p>
            <w:pPr>
              <w:pStyle w:val="Compact"/>
              <w:spacing w:after="80" w:line="240" w:lineRule="auto"/>
              <w:jc w:val="right"/>
            </w:pPr>
            <w:r>
              <w:rPr>
                <w:sz w:val="17"/>
              </w:rPr>
              <w:t xml:space="preserve">35</w:t>
            </w:r>
          </w:p>
        </w:tc>
        <w:tc>
          <w:tcPr>
            <w:tcW w:type="dxa" w:w="1649"/>
          </w:tcPr>
          <w:p>
            <w:pPr>
              <w:pStyle w:val="Compact"/>
              <w:spacing w:after="80" w:line="240" w:lineRule="auto"/>
              <w:jc w:val="left"/>
            </w:pPr>
            <w:r>
              <w:rPr>
                <w:sz w:val="17"/>
              </w:rPr>
              <w:t xml:space="preserve">35/11</w:t>
            </w:r>
          </w:p>
        </w:tc>
        <w:tc>
          <w:tcPr>
            <w:tcW w:type="dxa" w:w="1649"/>
          </w:tcPr>
          <w:p>
            <w:pPr>
              <w:pStyle w:val="Compact"/>
              <w:spacing w:after="80" w:line="240" w:lineRule="auto"/>
              <w:jc w:val="right"/>
            </w:pPr>
            <w:r>
              <w:rPr>
                <w:sz w:val="17"/>
              </w:rPr>
              <w:t xml:space="preserve">4</w:t>
            </w:r>
          </w:p>
        </w:tc>
        <w:tc>
          <w:tcPr>
            <w:tcW w:type="dxa" w:w="1649"/>
          </w:tcPr>
          <w:p>
            <w:pPr>
              <w:pStyle w:val="Compact"/>
              <w:spacing w:after="80" w:line="240" w:lineRule="auto"/>
              <w:jc w:val="left"/>
            </w:pPr>
            <w:r>
              <w:rPr>
                <w:sz w:val="17"/>
              </w:rPr>
              <w:t xml:space="preserve">31/7</w:t>
            </w:r>
          </w:p>
        </w:tc>
        <w:tc>
          <w:tcPr>
            <w:tcW w:type="dxa" w:w="1649"/>
          </w:tcPr>
          <w:p>
            <w:pPr>
              <w:pStyle w:val="Compact"/>
              <w:spacing w:after="80" w:line="240" w:lineRule="auto"/>
              <w:jc w:val="left"/>
            </w:pPr>
            <w:r>
              <w:rPr>
                <w:sz w:val="17"/>
              </w:rPr>
              <w:t xml:space="preserve">29/10</w:t>
            </w:r>
          </w:p>
        </w:tc>
      </w:tr>
      <w:tr>
        <w:trPr>
          <w:cantSplit/>
        </w:trPr>
        <w:tc>
          <w:tcPr>
            <w:tcW w:type="dxa" w:w="1649"/>
          </w:tcPr>
          <w:p>
            <w:pPr>
              <w:pStyle w:val="Compact"/>
              <w:spacing w:after="80" w:line="240" w:lineRule="auto"/>
              <w:jc w:val="left"/>
            </w:pPr>
            <w:r>
              <w:rPr>
                <w:sz w:val="17"/>
              </w:rPr>
              <w:t xml:space="preserve">Bulk at numerical 20–30°C, approximate temperature excluded</w:t>
            </w:r>
          </w:p>
        </w:tc>
        <w:tc>
          <w:tcPr>
            <w:tcW w:type="dxa" w:w="1649"/>
          </w:tcPr>
          <w:p>
            <w:pPr>
              <w:pStyle w:val="Compact"/>
              <w:spacing w:after="80" w:line="240" w:lineRule="auto"/>
              <w:jc w:val="right"/>
            </w:pPr>
            <w:r>
              <w:rPr>
                <w:sz w:val="17"/>
              </w:rPr>
              <w:t xml:space="preserve">26</w:t>
            </w:r>
          </w:p>
        </w:tc>
        <w:tc>
          <w:tcPr>
            <w:tcW w:type="dxa" w:w="1649"/>
          </w:tcPr>
          <w:p>
            <w:pPr>
              <w:pStyle w:val="Compact"/>
              <w:spacing w:after="80" w:line="240" w:lineRule="auto"/>
              <w:jc w:val="left"/>
            </w:pPr>
            <w:r>
              <w:rPr>
                <w:sz w:val="17"/>
              </w:rPr>
              <w:t xml:space="preserve">26/10</w:t>
            </w:r>
          </w:p>
        </w:tc>
        <w:tc>
          <w:tcPr>
            <w:tcW w:type="dxa" w:w="1649"/>
          </w:tcPr>
          <w:p>
            <w:pPr>
              <w:pStyle w:val="Compact"/>
              <w:spacing w:after="80" w:line="240" w:lineRule="auto"/>
              <w:jc w:val="right"/>
            </w:pPr>
            <w:r>
              <w:rPr>
                <w:sz w:val="17"/>
              </w:rPr>
              <w:t xml:space="preserve">4</w:t>
            </w:r>
          </w:p>
        </w:tc>
        <w:tc>
          <w:tcPr>
            <w:tcW w:type="dxa" w:w="1649"/>
          </w:tcPr>
          <w:p>
            <w:pPr>
              <w:pStyle w:val="Compact"/>
              <w:spacing w:after="80" w:line="240" w:lineRule="auto"/>
              <w:jc w:val="left"/>
            </w:pPr>
            <w:r>
              <w:rPr>
                <w:sz w:val="17"/>
              </w:rPr>
              <w:t xml:space="preserve">22/6</w:t>
            </w:r>
          </w:p>
        </w:tc>
        <w:tc>
          <w:tcPr>
            <w:tcW w:type="dxa" w:w="1649"/>
          </w:tcPr>
          <w:p>
            <w:pPr>
              <w:pStyle w:val="Compact"/>
              <w:spacing w:after="80" w:line="240" w:lineRule="auto"/>
              <w:jc w:val="left"/>
            </w:pPr>
            <w:r>
              <w:rPr>
                <w:sz w:val="17"/>
              </w:rPr>
              <w:t xml:space="preserve">20/9</w:t>
            </w:r>
          </w:p>
        </w:tc>
      </w:tr>
      <w:tr>
        <w:trPr>
          <w:cantSplit/>
        </w:trPr>
        <w:tc>
          <w:tcPr>
            <w:tcW w:type="dxa" w:w="1649"/>
          </w:tcPr>
          <w:p>
            <w:pPr>
              <w:pStyle w:val="Compact"/>
              <w:spacing w:after="80" w:line="240" w:lineRule="auto"/>
              <w:jc w:val="left"/>
            </w:pPr>
            <w:r>
              <w:rPr>
                <w:sz w:val="17"/>
              </w:rPr>
              <w:t xml:space="preserve">Bulk at exactly nonapproximate 25°C</w:t>
            </w:r>
          </w:p>
        </w:tc>
        <w:tc>
          <w:tcPr>
            <w:tcW w:type="dxa" w:w="1649"/>
          </w:tcPr>
          <w:p>
            <w:pPr>
              <w:pStyle w:val="Compact"/>
              <w:spacing w:after="80" w:line="240" w:lineRule="auto"/>
              <w:jc w:val="right"/>
            </w:pPr>
            <w:r>
              <w:rPr>
                <w:sz w:val="17"/>
              </w:rPr>
              <w:t xml:space="preserve">10</w:t>
            </w:r>
          </w:p>
        </w:tc>
        <w:tc>
          <w:tcPr>
            <w:tcW w:type="dxa" w:w="1649"/>
          </w:tcPr>
          <w:p>
            <w:pPr>
              <w:pStyle w:val="Compact"/>
              <w:spacing w:after="80" w:line="240" w:lineRule="auto"/>
              <w:jc w:val="left"/>
            </w:pPr>
            <w:r>
              <w:rPr>
                <w:sz w:val="17"/>
              </w:rPr>
              <w:t xml:space="preserve">10/5</w:t>
            </w:r>
          </w:p>
        </w:tc>
        <w:tc>
          <w:tcPr>
            <w:tcW w:type="dxa" w:w="1649"/>
          </w:tcPr>
          <w:p>
            <w:pPr>
              <w:pStyle w:val="Compact"/>
              <w:spacing w:after="80" w:line="240" w:lineRule="auto"/>
              <w:jc w:val="right"/>
            </w:pPr>
            <w:r>
              <w:rPr>
                <w:sz w:val="17"/>
              </w:rPr>
              <w:t xml:space="preserve">2</w:t>
            </w:r>
          </w:p>
        </w:tc>
        <w:tc>
          <w:tcPr>
            <w:tcW w:type="dxa" w:w="1649"/>
          </w:tcPr>
          <w:p>
            <w:pPr>
              <w:pStyle w:val="Compact"/>
              <w:spacing w:after="80" w:line="240" w:lineRule="auto"/>
              <w:jc w:val="left"/>
            </w:pPr>
            <w:r>
              <w:rPr>
                <w:sz w:val="17"/>
              </w:rPr>
              <w:t xml:space="preserve">8/3</w:t>
            </w:r>
          </w:p>
        </w:tc>
        <w:tc>
          <w:tcPr>
            <w:tcW w:type="dxa" w:w="1649"/>
          </w:tcPr>
          <w:p>
            <w:pPr>
              <w:pStyle w:val="Compact"/>
              <w:spacing w:after="80" w:line="240" w:lineRule="auto"/>
              <w:jc w:val="left"/>
            </w:pPr>
            <w:r>
              <w:rPr>
                <w:sz w:val="17"/>
              </w:rPr>
              <w:t xml:space="preserve">8/4</w:t>
            </w:r>
          </w:p>
        </w:tc>
      </w:tr>
      <w:tr>
        <w:trPr>
          <w:cantSplit/>
        </w:trPr>
        <w:tc>
          <w:tcPr>
            <w:tcW w:type="dxa" w:w="1649"/>
          </w:tcPr>
          <w:p>
            <w:pPr>
              <w:pStyle w:val="Compact"/>
              <w:spacing w:after="80" w:line="240" w:lineRule="auto"/>
              <w:jc w:val="left"/>
            </w:pPr>
            <w:r>
              <w:rPr>
                <w:sz w:val="17"/>
              </w:rPr>
              <w:t xml:space="preserve">Bulk at text-only room temperature</w:t>
            </w:r>
          </w:p>
        </w:tc>
        <w:tc>
          <w:tcPr>
            <w:tcW w:type="dxa" w:w="1649"/>
          </w:tcPr>
          <w:p>
            <w:pPr>
              <w:pStyle w:val="Compact"/>
              <w:spacing w:after="80" w:line="240" w:lineRule="auto"/>
              <w:jc w:val="right"/>
            </w:pPr>
            <w:r>
              <w:rPr>
                <w:sz w:val="17"/>
              </w:rPr>
              <w:t xml:space="preserve">85</w:t>
            </w:r>
          </w:p>
        </w:tc>
        <w:tc>
          <w:tcPr>
            <w:tcW w:type="dxa" w:w="1649"/>
          </w:tcPr>
          <w:p>
            <w:pPr>
              <w:pStyle w:val="Compact"/>
              <w:spacing w:after="80" w:line="240" w:lineRule="auto"/>
              <w:jc w:val="left"/>
            </w:pPr>
            <w:r>
              <w:rPr>
                <w:sz w:val="17"/>
              </w:rPr>
              <w:t xml:space="preserve">81/10</w:t>
            </w:r>
          </w:p>
        </w:tc>
        <w:tc>
          <w:tcPr>
            <w:tcW w:type="dxa" w:w="1649"/>
          </w:tcPr>
          <w:p>
            <w:pPr>
              <w:pStyle w:val="Compact"/>
              <w:spacing w:after="80" w:line="240" w:lineRule="auto"/>
              <w:jc w:val="right"/>
            </w:pPr>
            <w:r>
              <w:rPr>
                <w:sz w:val="17"/>
              </w:rPr>
              <w:t xml:space="preserve">3</w:t>
            </w:r>
          </w:p>
        </w:tc>
        <w:tc>
          <w:tcPr>
            <w:tcW w:type="dxa" w:w="1649"/>
          </w:tcPr>
          <w:p>
            <w:pPr>
              <w:pStyle w:val="Compact"/>
              <w:spacing w:after="80" w:line="240" w:lineRule="auto"/>
              <w:jc w:val="left"/>
            </w:pPr>
            <w:r>
              <w:rPr>
                <w:sz w:val="17"/>
              </w:rPr>
              <w:t xml:space="preserve">78/7</w:t>
            </w:r>
          </w:p>
        </w:tc>
        <w:tc>
          <w:tcPr>
            <w:tcW w:type="dxa" w:w="1649"/>
          </w:tcPr>
          <w:p>
            <w:pPr>
              <w:pStyle w:val="Compact"/>
              <w:spacing w:after="80" w:line="240" w:lineRule="auto"/>
              <w:jc w:val="left"/>
            </w:pPr>
            <w:r>
              <w:rPr>
                <w:sz w:val="17"/>
              </w:rPr>
              <w:t xml:space="preserve">28/8</w:t>
            </w:r>
          </w:p>
        </w:tc>
      </w:tr>
      <w:tr>
        <w:trPr>
          <w:cantSplit/>
        </w:trPr>
        <w:tc>
          <w:tcPr>
            <w:tcW w:type="dxa" w:w="1649"/>
          </w:tcPr>
          <w:p>
            <w:pPr>
              <w:pStyle w:val="Compact"/>
              <w:spacing w:after="80" w:line="240" w:lineRule="auto"/>
              <w:jc w:val="left"/>
            </w:pPr>
            <w:r>
              <w:rPr>
                <w:sz w:val="17"/>
              </w:rPr>
              <w:t xml:space="preserve">Bulk at any numerical temperature</w:t>
            </w:r>
          </w:p>
        </w:tc>
        <w:tc>
          <w:tcPr>
            <w:tcW w:type="dxa" w:w="1649"/>
          </w:tcPr>
          <w:p>
            <w:pPr>
              <w:pStyle w:val="Compact"/>
              <w:spacing w:after="80" w:line="240" w:lineRule="auto"/>
              <w:jc w:val="right"/>
            </w:pPr>
            <w:r>
              <w:rPr>
                <w:sz w:val="17"/>
              </w:rPr>
              <w:t xml:space="preserve">71</w:t>
            </w:r>
          </w:p>
        </w:tc>
        <w:tc>
          <w:tcPr>
            <w:tcW w:type="dxa" w:w="1649"/>
          </w:tcPr>
          <w:p>
            <w:pPr>
              <w:pStyle w:val="Compact"/>
              <w:spacing w:after="80" w:line="240" w:lineRule="auto"/>
              <w:jc w:val="left"/>
            </w:pPr>
            <w:r>
              <w:rPr>
                <w:sz w:val="17"/>
              </w:rPr>
              <w:t xml:space="preserve">49/14</w:t>
            </w:r>
          </w:p>
        </w:tc>
        <w:tc>
          <w:tcPr>
            <w:tcW w:type="dxa" w:w="1649"/>
          </w:tcPr>
          <w:p>
            <w:pPr>
              <w:pStyle w:val="Compact"/>
              <w:spacing w:after="80" w:line="240" w:lineRule="auto"/>
              <w:jc w:val="right"/>
            </w:pPr>
            <w:r>
              <w:rPr>
                <w:sz w:val="17"/>
              </w:rPr>
              <w:t xml:space="preserve">3</w:t>
            </w:r>
          </w:p>
        </w:tc>
        <w:tc>
          <w:tcPr>
            <w:tcW w:type="dxa" w:w="1649"/>
          </w:tcPr>
          <w:p>
            <w:pPr>
              <w:pStyle w:val="Compact"/>
              <w:spacing w:after="80" w:line="240" w:lineRule="auto"/>
              <w:jc w:val="left"/>
            </w:pPr>
            <w:r>
              <w:rPr>
                <w:sz w:val="17"/>
              </w:rPr>
              <w:t xml:space="preserve">46/11</w:t>
            </w:r>
          </w:p>
        </w:tc>
        <w:tc>
          <w:tcPr>
            <w:tcW w:type="dxa" w:w="1649"/>
          </w:tcPr>
          <w:p>
            <w:pPr>
              <w:pStyle w:val="Compact"/>
              <w:spacing w:after="80" w:line="240" w:lineRule="auto"/>
              <w:jc w:val="left"/>
            </w:pPr>
            <w:r>
              <w:rPr>
                <w:sz w:val="17"/>
              </w:rPr>
              <w:t xml:space="preserve">43/13</w:t>
            </w:r>
          </w:p>
        </w:tc>
      </w:tr>
      <w:tr>
        <w:trPr>
          <w:cantSplit/>
        </w:trPr>
        <w:tc>
          <w:tcPr>
            <w:tcW w:type="dxa" w:w="1649"/>
          </w:tcPr>
          <w:p>
            <w:pPr>
              <w:pStyle w:val="Compact"/>
              <w:spacing w:after="80" w:line="240" w:lineRule="auto"/>
              <w:jc w:val="left"/>
            </w:pPr>
            <w:r>
              <w:rPr>
                <w:sz w:val="17"/>
              </w:rPr>
              <w:t xml:space="preserve">Bulk with unknown or ambiguous temperature</w:t>
            </w:r>
          </w:p>
        </w:tc>
        <w:tc>
          <w:tcPr>
            <w:tcW w:type="dxa" w:w="1649"/>
          </w:tcPr>
          <w:p>
            <w:pPr>
              <w:pStyle w:val="Compact"/>
              <w:spacing w:after="80" w:line="240" w:lineRule="auto"/>
              <w:jc w:val="right"/>
            </w:pPr>
            <w:r>
              <w:rPr>
                <w:sz w:val="17"/>
              </w:rPr>
              <w:t xml:space="preserve">33</w:t>
            </w:r>
          </w:p>
        </w:tc>
        <w:tc>
          <w:tcPr>
            <w:tcW w:type="dxa" w:w="1649"/>
          </w:tcPr>
          <w:p>
            <w:pPr>
              <w:pStyle w:val="Compact"/>
              <w:spacing w:after="80" w:line="240" w:lineRule="auto"/>
              <w:jc w:val="left"/>
            </w:pPr>
            <w:r>
              <w:rPr>
                <w:sz w:val="17"/>
              </w:rPr>
              <w:t xml:space="preserve">32/4</w:t>
            </w:r>
          </w:p>
        </w:tc>
        <w:tc>
          <w:tcPr>
            <w:tcW w:type="dxa" w:w="1649"/>
          </w:tcPr>
          <w:p>
            <w:pPr>
              <w:pStyle w:val="Compact"/>
              <w:spacing w:after="80" w:line="240" w:lineRule="auto"/>
              <w:jc w:val="right"/>
            </w:pPr>
            <w:r>
              <w:rPr>
                <w:sz w:val="17"/>
              </w:rPr>
              <w:t xml:space="preserve">1</w:t>
            </w:r>
          </w:p>
        </w:tc>
        <w:tc>
          <w:tcPr>
            <w:tcW w:type="dxa" w:w="1649"/>
          </w:tcPr>
          <w:p>
            <w:pPr>
              <w:pStyle w:val="Compact"/>
              <w:spacing w:after="80" w:line="240" w:lineRule="auto"/>
              <w:jc w:val="left"/>
            </w:pPr>
            <w:r>
              <w:rPr>
                <w:sz w:val="17"/>
              </w:rPr>
              <w:t xml:space="preserve">31/3</w:t>
            </w:r>
          </w:p>
        </w:tc>
        <w:tc>
          <w:tcPr>
            <w:tcW w:type="dxa" w:w="1649"/>
          </w:tcPr>
          <w:p>
            <w:pPr>
              <w:pStyle w:val="Compact"/>
              <w:spacing w:after="80" w:line="240" w:lineRule="auto"/>
              <w:jc w:val="left"/>
            </w:pPr>
            <w:r>
              <w:rPr>
                <w:sz w:val="17"/>
              </w:rPr>
              <w:t xml:space="preserve">32/4</w:t>
            </w:r>
          </w:p>
        </w:tc>
      </w:tr>
      <w:tr>
        <w:trPr>
          <w:cantSplit/>
        </w:trPr>
        <w:tc>
          <w:tcPr>
            <w:tcW w:type="dxa" w:w="1649"/>
          </w:tcPr>
          <w:p>
            <w:pPr>
              <w:pStyle w:val="Compact"/>
              <w:spacing w:after="80" w:line="240" w:lineRule="auto"/>
              <w:jc w:val="left"/>
            </w:pPr>
            <w:r>
              <w:rPr>
                <w:sz w:val="17"/>
              </w:rPr>
              <w:t xml:space="preserve">Nonapproximate near-ambient bulk plus numerical measurement RH</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left"/>
            </w:pPr>
            <w:r>
              <w:rPr>
                <w:sz w:val="17"/>
              </w:rPr>
              <w:t xml:space="preserve">0/0</w:t>
            </w:r>
          </w:p>
        </w:tc>
      </w:tr>
      <w:tr>
        <w:trPr>
          <w:cantSplit/>
        </w:trPr>
        <w:tc>
          <w:tcPr>
            <w:tcW w:type="dxa" w:w="1649"/>
          </w:tcPr>
          <w:p>
            <w:pPr>
              <w:pStyle w:val="Compact"/>
              <w:spacing w:after="80" w:line="240" w:lineRule="auto"/>
              <w:jc w:val="left"/>
            </w:pPr>
            <w:r>
              <w:rPr>
                <w:sz w:val="17"/>
              </w:rPr>
              <w:t xml:space="preserve">Author approximate bulk values</w:t>
            </w:r>
          </w:p>
        </w:tc>
        <w:tc>
          <w:tcPr>
            <w:tcW w:type="dxa" w:w="1649"/>
          </w:tcPr>
          <w:p>
            <w:pPr>
              <w:pStyle w:val="Compact"/>
              <w:spacing w:after="80" w:line="240" w:lineRule="auto"/>
              <w:jc w:val="right"/>
            </w:pPr>
            <w:r>
              <w:rPr>
                <w:sz w:val="17"/>
              </w:rPr>
              <w:t xml:space="preserve">9</w:t>
            </w:r>
          </w:p>
        </w:tc>
        <w:tc>
          <w:tcPr>
            <w:tcW w:type="dxa" w:w="1649"/>
          </w:tcPr>
          <w:p>
            <w:pPr>
              <w:pStyle w:val="Compact"/>
              <w:spacing w:after="80" w:line="240" w:lineRule="auto"/>
              <w:jc w:val="left"/>
            </w:pPr>
            <w:r>
              <w:rPr>
                <w:sz w:val="17"/>
              </w:rPr>
              <w:t xml:space="preserve">7/5</w:t>
            </w:r>
          </w:p>
        </w:tc>
        <w:tc>
          <w:tcPr>
            <w:tcW w:type="dxa" w:w="1649"/>
          </w:tcPr>
          <w:p>
            <w:pPr>
              <w:pStyle w:val="Compact"/>
              <w:spacing w:after="80" w:line="240" w:lineRule="auto"/>
              <w:jc w:val="right"/>
            </w:pPr>
            <w:r>
              <w:rPr>
                <w:sz w:val="17"/>
              </w:rPr>
              <w:t xml:space="preserve">3</w:t>
            </w:r>
          </w:p>
        </w:tc>
        <w:tc>
          <w:tcPr>
            <w:tcW w:type="dxa" w:w="1649"/>
          </w:tcPr>
          <w:p>
            <w:pPr>
              <w:pStyle w:val="Compact"/>
              <w:spacing w:after="80" w:line="240" w:lineRule="auto"/>
              <w:jc w:val="left"/>
            </w:pPr>
            <w:r>
              <w:rPr>
                <w:sz w:val="17"/>
              </w:rPr>
              <w:t xml:space="preserve">4/2</w:t>
            </w:r>
          </w:p>
        </w:tc>
        <w:tc>
          <w:tcPr>
            <w:tcW w:type="dxa" w:w="1649"/>
          </w:tcPr>
          <w:p>
            <w:pPr>
              <w:pStyle w:val="Compact"/>
              <w:spacing w:after="80" w:line="240" w:lineRule="auto"/>
              <w:jc w:val="left"/>
            </w:pPr>
            <w:r>
              <w:rPr>
                <w:sz w:val="17"/>
              </w:rPr>
              <w:t xml:space="preserve">7/5</w:t>
            </w:r>
          </w:p>
        </w:tc>
      </w:tr>
      <w:tr>
        <w:trPr>
          <w:cantSplit/>
        </w:trPr>
        <w:tc>
          <w:tcPr>
            <w:tcW w:type="dxa" w:w="1649"/>
          </w:tcPr>
          <w:p>
            <w:pPr>
              <w:pStyle w:val="Compact"/>
              <w:spacing w:after="80" w:line="240" w:lineRule="auto"/>
              <w:jc w:val="left"/>
            </w:pPr>
            <w:r>
              <w:rPr>
                <w:sz w:val="17"/>
              </w:rPr>
              <w:t xml:space="preserve">Graph-derived bulk evidence only</w:t>
            </w:r>
          </w:p>
        </w:tc>
        <w:tc>
          <w:tcPr>
            <w:tcW w:type="dxa" w:w="1649"/>
          </w:tcPr>
          <w:p>
            <w:pPr>
              <w:pStyle w:val="Compact"/>
              <w:spacing w:after="80" w:line="240" w:lineRule="auto"/>
              <w:jc w:val="right"/>
            </w:pPr>
            <w:r>
              <w:rPr>
                <w:sz w:val="17"/>
              </w:rPr>
              <w:t xml:space="preserve">4</w:t>
            </w:r>
          </w:p>
        </w:tc>
        <w:tc>
          <w:tcPr>
            <w:tcW w:type="dxa" w:w="1649"/>
          </w:tcPr>
          <w:p>
            <w:pPr>
              <w:pStyle w:val="Compact"/>
              <w:spacing w:after="80" w:line="240" w:lineRule="auto"/>
              <w:jc w:val="left"/>
            </w:pPr>
            <w:r>
              <w:rPr>
                <w:sz w:val="17"/>
              </w:rPr>
              <w:t xml:space="preserve">4/2</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4/2</w:t>
            </w:r>
          </w:p>
        </w:tc>
        <w:tc>
          <w:tcPr>
            <w:tcW w:type="dxa" w:w="1649"/>
          </w:tcPr>
          <w:p>
            <w:pPr>
              <w:pStyle w:val="Compact"/>
              <w:spacing w:after="80" w:line="240" w:lineRule="auto"/>
              <w:jc w:val="left"/>
            </w:pPr>
            <w:r>
              <w:rPr>
                <w:sz w:val="17"/>
              </w:rPr>
              <w:t xml:space="preserve">4/2</w:t>
            </w:r>
          </w:p>
        </w:tc>
      </w:tr>
      <w:tr>
        <w:trPr>
          <w:cantSplit/>
        </w:trPr>
        <w:tc>
          <w:tcPr>
            <w:tcW w:type="dxa" w:w="1649"/>
          </w:tcPr>
          <w:p>
            <w:pPr>
              <w:pStyle w:val="Compact"/>
              <w:spacing w:after="80" w:line="240" w:lineRule="auto"/>
              <w:jc w:val="left"/>
            </w:pPr>
            <w:r>
              <w:rPr>
                <w:sz w:val="17"/>
              </w:rPr>
              <w:t xml:space="preserve">Jonscher fitted sigma0</w:t>
            </w:r>
          </w:p>
        </w:tc>
        <w:tc>
          <w:tcPr>
            <w:tcW w:type="dxa" w:w="1649"/>
          </w:tcPr>
          <w:p>
            <w:pPr>
              <w:pStyle w:val="Compact"/>
              <w:spacing w:after="80" w:line="240" w:lineRule="auto"/>
              <w:jc w:val="right"/>
            </w:pPr>
            <w:r>
              <w:rPr>
                <w:sz w:val="17"/>
              </w:rPr>
              <w:t xml:space="preserve">6</w:t>
            </w:r>
          </w:p>
        </w:tc>
        <w:tc>
          <w:tcPr>
            <w:tcW w:type="dxa" w:w="1649"/>
          </w:tcPr>
          <w:p>
            <w:pPr>
              <w:pStyle w:val="Compact"/>
              <w:spacing w:after="80" w:line="240" w:lineRule="auto"/>
              <w:jc w:val="left"/>
            </w:pPr>
            <w:r>
              <w:rPr>
                <w:sz w:val="17"/>
              </w:rPr>
              <w:t xml:space="preserve">6/2</w:t>
            </w:r>
          </w:p>
        </w:tc>
        <w:tc>
          <w:tcPr>
            <w:tcW w:type="dxa" w:w="1649"/>
          </w:tcPr>
          <w:p>
            <w:pPr>
              <w:pStyle w:val="Compact"/>
              <w:spacing w:after="80" w:line="240" w:lineRule="auto"/>
              <w:jc w:val="right"/>
            </w:pPr>
            <w:r>
              <w:rPr>
                <w:sz w:val="17"/>
              </w:rPr>
              <w:t xml:space="preserve">1</w:t>
            </w:r>
          </w:p>
        </w:tc>
        <w:tc>
          <w:tcPr>
            <w:tcW w:type="dxa" w:w="1649"/>
          </w:tcPr>
          <w:p>
            <w:pPr>
              <w:pStyle w:val="Compact"/>
              <w:spacing w:after="80" w:line="240" w:lineRule="auto"/>
              <w:jc w:val="left"/>
            </w:pPr>
            <w:r>
              <w:rPr>
                <w:sz w:val="17"/>
              </w:rPr>
              <w:t xml:space="preserve">5/1</w:t>
            </w:r>
          </w:p>
        </w:tc>
        <w:tc>
          <w:tcPr>
            <w:tcW w:type="dxa" w:w="1649"/>
          </w:tcPr>
          <w:p>
            <w:pPr>
              <w:pStyle w:val="Compact"/>
              <w:spacing w:after="80" w:line="240" w:lineRule="auto"/>
              <w:jc w:val="left"/>
            </w:pPr>
            <w:r>
              <w:rPr>
                <w:sz w:val="17"/>
              </w:rPr>
              <w:t xml:space="preserve">6/2</w:t>
            </w:r>
          </w:p>
        </w:tc>
      </w:tr>
      <w:tr>
        <w:trPr>
          <w:cantSplit/>
        </w:trPr>
        <w:tc>
          <w:tcPr>
            <w:tcW w:type="dxa" w:w="1649"/>
          </w:tcPr>
          <w:p>
            <w:pPr>
              <w:pStyle w:val="Compact"/>
              <w:spacing w:after="80" w:line="240" w:lineRule="auto"/>
              <w:jc w:val="left"/>
            </w:pPr>
            <w:r>
              <w:rPr>
                <w:sz w:val="17"/>
              </w:rPr>
              <w:t xml:space="preserve">Low-frequency spectral plateau</w:t>
            </w:r>
          </w:p>
        </w:tc>
        <w:tc>
          <w:tcPr>
            <w:tcW w:type="dxa" w:w="1649"/>
          </w:tcPr>
          <w:p>
            <w:pPr>
              <w:pStyle w:val="Compact"/>
              <w:spacing w:after="80" w:line="240" w:lineRule="auto"/>
              <w:jc w:val="right"/>
            </w:pPr>
            <w:r>
              <w:rPr>
                <w:sz w:val="17"/>
              </w:rPr>
              <w:t xml:space="preserve">7</w:t>
            </w:r>
          </w:p>
        </w:tc>
        <w:tc>
          <w:tcPr>
            <w:tcW w:type="dxa" w:w="1649"/>
          </w:tcPr>
          <w:p>
            <w:pPr>
              <w:pStyle w:val="Compact"/>
              <w:spacing w:after="80" w:line="240" w:lineRule="auto"/>
              <w:jc w:val="left"/>
            </w:pPr>
            <w:r>
              <w:rPr>
                <w:sz w:val="17"/>
              </w:rPr>
              <w:t xml:space="preserve">7/1</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7/1</w:t>
            </w:r>
          </w:p>
        </w:tc>
        <w:tc>
          <w:tcPr>
            <w:tcW w:type="dxa" w:w="1649"/>
          </w:tcPr>
          <w:p>
            <w:pPr>
              <w:pStyle w:val="Compact"/>
              <w:spacing w:after="80" w:line="240" w:lineRule="auto"/>
              <w:jc w:val="left"/>
            </w:pPr>
            <w:r>
              <w:rPr>
                <w:sz w:val="17"/>
              </w:rPr>
              <w:t xml:space="preserve">7/1</w:t>
            </w:r>
          </w:p>
        </w:tc>
      </w:tr>
      <w:tr>
        <w:trPr>
          <w:cantSplit/>
        </w:trPr>
        <w:tc>
          <w:tcPr>
            <w:tcW w:type="dxa" w:w="1649"/>
          </w:tcPr>
          <w:p>
            <w:pPr>
              <w:pStyle w:val="Compact"/>
              <w:spacing w:after="80" w:line="240" w:lineRule="auto"/>
              <w:jc w:val="left"/>
            </w:pPr>
            <w:r>
              <w:rPr>
                <w:sz w:val="17"/>
              </w:rPr>
              <w:t xml:space="preserve">Fractal-model sigmaDC</w:t>
            </w:r>
          </w:p>
        </w:tc>
        <w:tc>
          <w:tcPr>
            <w:tcW w:type="dxa" w:w="1649"/>
          </w:tcPr>
          <w:p>
            <w:pPr>
              <w:pStyle w:val="Compact"/>
              <w:spacing w:after="80" w:line="240" w:lineRule="auto"/>
              <w:jc w:val="right"/>
            </w:pPr>
            <w:r>
              <w:rPr>
                <w:sz w:val="17"/>
              </w:rPr>
              <w:t xml:space="preserve">4</w:t>
            </w:r>
          </w:p>
        </w:tc>
        <w:tc>
          <w:tcPr>
            <w:tcW w:type="dxa" w:w="1649"/>
          </w:tcPr>
          <w:p>
            <w:pPr>
              <w:pStyle w:val="Compact"/>
              <w:spacing w:after="80" w:line="240" w:lineRule="auto"/>
              <w:jc w:val="left"/>
            </w:pPr>
            <w:r>
              <w:rPr>
                <w:sz w:val="17"/>
              </w:rPr>
              <w:t xml:space="preserve">4/1</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4/1</w:t>
            </w:r>
          </w:p>
        </w:tc>
        <w:tc>
          <w:tcPr>
            <w:tcW w:type="dxa" w:w="1649"/>
          </w:tcPr>
          <w:p>
            <w:pPr>
              <w:pStyle w:val="Compact"/>
              <w:spacing w:after="80" w:line="240" w:lineRule="auto"/>
              <w:jc w:val="left"/>
            </w:pPr>
            <w:r>
              <w:rPr>
                <w:sz w:val="17"/>
              </w:rPr>
              <w:t xml:space="preserve">4/1</w:t>
            </w:r>
          </w:p>
        </w:tc>
      </w:tr>
      <w:tr>
        <w:trPr>
          <w:cantSplit/>
        </w:trPr>
        <w:tc>
          <w:tcPr>
            <w:tcW w:type="dxa" w:w="1649"/>
          </w:tcPr>
          <w:p>
            <w:pPr>
              <w:pStyle w:val="Compact"/>
              <w:spacing w:after="80" w:line="240" w:lineRule="auto"/>
              <w:jc w:val="left"/>
            </w:pPr>
            <w:r>
              <w:rPr>
                <w:sz w:val="17"/>
              </w:rPr>
              <w:t xml:space="preserve">Fractal-model sigma0</w:t>
            </w:r>
          </w:p>
        </w:tc>
        <w:tc>
          <w:tcPr>
            <w:tcW w:type="dxa" w:w="1649"/>
          </w:tcPr>
          <w:p>
            <w:pPr>
              <w:pStyle w:val="Compact"/>
              <w:spacing w:after="80" w:line="240" w:lineRule="auto"/>
              <w:jc w:val="right"/>
            </w:pPr>
            <w:r>
              <w:rPr>
                <w:sz w:val="17"/>
              </w:rPr>
              <w:t xml:space="preserve">4</w:t>
            </w:r>
          </w:p>
        </w:tc>
        <w:tc>
          <w:tcPr>
            <w:tcW w:type="dxa" w:w="1649"/>
          </w:tcPr>
          <w:p>
            <w:pPr>
              <w:pStyle w:val="Compact"/>
              <w:spacing w:after="80" w:line="240" w:lineRule="auto"/>
              <w:jc w:val="left"/>
            </w:pPr>
            <w:r>
              <w:rPr>
                <w:sz w:val="17"/>
              </w:rPr>
              <w:t xml:space="preserve">4/1</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4/1</w:t>
            </w:r>
          </w:p>
        </w:tc>
        <w:tc>
          <w:tcPr>
            <w:tcW w:type="dxa" w:w="1649"/>
          </w:tcPr>
          <w:p>
            <w:pPr>
              <w:pStyle w:val="Compact"/>
              <w:spacing w:after="80" w:line="240" w:lineRule="auto"/>
              <w:jc w:val="left"/>
            </w:pPr>
            <w:r>
              <w:rPr>
                <w:sz w:val="17"/>
              </w:rPr>
              <w:t xml:space="preserve">4/1</w:t>
            </w:r>
          </w:p>
        </w:tc>
      </w:tr>
      <w:tr>
        <w:trPr>
          <w:cantSplit/>
        </w:trPr>
        <w:tc>
          <w:tcPr>
            <w:tcW w:type="dxa" w:w="1649"/>
          </w:tcPr>
          <w:p>
            <w:pPr>
              <w:pStyle w:val="Compact"/>
              <w:spacing w:after="80" w:line="240" w:lineRule="auto"/>
              <w:jc w:val="left"/>
            </w:pPr>
            <w:r>
              <w:rPr>
                <w:sz w:val="17"/>
              </w:rPr>
              <w:t xml:space="preserve">Fixed-frequency AC</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left"/>
            </w:pPr>
            <w:r>
              <w:rPr>
                <w:sz w:val="17"/>
              </w:rPr>
              <w:t xml:space="preserve">0/0</w:t>
            </w:r>
          </w:p>
        </w:tc>
      </w:tr>
      <w:tr>
        <w:trPr>
          <w:cantSplit/>
        </w:trPr>
        <w:tc>
          <w:tcPr>
            <w:tcW w:type="dxa" w:w="1649"/>
          </w:tcPr>
          <w:p>
            <w:pPr>
              <w:pStyle w:val="Compact"/>
              <w:spacing w:after="80" w:line="240" w:lineRule="auto"/>
              <w:jc w:val="left"/>
            </w:pPr>
            <w:r>
              <w:rPr>
                <w:sz w:val="17"/>
              </w:rPr>
              <w:t xml:space="preserve">Independent DC or volume resistivity</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left"/>
            </w:pPr>
            <w:r>
              <w:rPr>
                <w:sz w:val="17"/>
              </w:rPr>
              <w:t xml:space="preserve">0/0</w:t>
            </w:r>
          </w:p>
        </w:tc>
      </w:tr>
      <w:tr>
        <w:trPr>
          <w:cantSplit/>
        </w:trPr>
        <w:tc>
          <w:tcPr>
            <w:tcW w:type="dxa" w:w="1649"/>
          </w:tcPr>
          <w:p>
            <w:pPr>
              <w:pStyle w:val="Compact"/>
              <w:spacing w:after="80" w:line="240" w:lineRule="auto"/>
              <w:jc w:val="left"/>
            </w:pPr>
            <w:r>
              <w:rPr>
                <w:sz w:val="17"/>
              </w:rPr>
              <w:t xml:space="preserve">Complete device or interface</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left"/>
            </w:pPr>
            <w:r>
              <w:rPr>
                <w:sz w:val="17"/>
              </w:rPr>
              <w:t xml:space="preserve">0/0</w:t>
            </w:r>
          </w:p>
        </w:tc>
      </w:tr>
      <w:tr>
        <w:trPr>
          <w:cantSplit/>
        </w:trPr>
        <w:tc>
          <w:tcPr>
            <w:tcW w:type="dxa" w:w="1649"/>
          </w:tcPr>
          <w:p>
            <w:pPr>
              <w:pStyle w:val="Compact"/>
              <w:spacing w:after="80" w:line="240" w:lineRule="auto"/>
              <w:jc w:val="left"/>
            </w:pPr>
            <w:r>
              <w:rPr>
                <w:sz w:val="17"/>
              </w:rPr>
              <w:t xml:space="preserve">Impedance with unspecified estimator</w:t>
            </w:r>
          </w:p>
        </w:tc>
        <w:tc>
          <w:tcPr>
            <w:tcW w:type="dxa" w:w="1649"/>
          </w:tcPr>
          <w:p>
            <w:pPr>
              <w:pStyle w:val="Compact"/>
              <w:spacing w:after="80" w:line="240" w:lineRule="auto"/>
              <w:jc w:val="right"/>
            </w:pPr>
            <w:r>
              <w:rPr>
                <w:sz w:val="17"/>
              </w:rPr>
              <w:t xml:space="preserve">2</w:t>
            </w:r>
          </w:p>
        </w:tc>
        <w:tc>
          <w:tcPr>
            <w:tcW w:type="dxa" w:w="1649"/>
          </w:tcPr>
          <w:p>
            <w:pPr>
              <w:pStyle w:val="Compact"/>
              <w:spacing w:after="80" w:line="240" w:lineRule="auto"/>
              <w:jc w:val="left"/>
            </w:pPr>
            <w:r>
              <w:rPr>
                <w:sz w:val="17"/>
              </w:rPr>
              <w:t xml:space="preserve">1/1</w:t>
            </w:r>
          </w:p>
        </w:tc>
        <w:tc>
          <w:tcPr>
            <w:tcW w:type="dxa" w:w="1649"/>
          </w:tcPr>
          <w:p>
            <w:pPr>
              <w:pStyle w:val="Compact"/>
              <w:spacing w:after="80" w:line="240" w:lineRule="auto"/>
              <w:jc w:val="right"/>
            </w:pPr>
            <w:r>
              <w:rPr>
                <w:sz w:val="17"/>
              </w:rPr>
              <w:t xml:space="preserve">1</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left"/>
            </w:pPr>
            <w:r>
              <w:rPr>
                <w:sz w:val="17"/>
              </w:rPr>
              <w:t xml:space="preserve">1/1</w:t>
            </w:r>
          </w:p>
        </w:tc>
      </w:tr>
      <w:tr>
        <w:trPr>
          <w:cantSplit/>
        </w:trPr>
        <w:tc>
          <w:tcPr>
            <w:tcW w:type="dxa" w:w="1649"/>
          </w:tcPr>
          <w:p>
            <w:pPr>
              <w:pStyle w:val="Compact"/>
              <w:spacing w:after="80" w:line="240" w:lineRule="auto"/>
              <w:jc w:val="left"/>
            </w:pPr>
            <w:r>
              <w:rPr>
                <w:sz w:val="17"/>
              </w:rPr>
              <w:t xml:space="preserve">Printed points with unknown method</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left"/>
            </w:pPr>
            <w:r>
              <w:rPr>
                <w:sz w:val="17"/>
              </w:rPr>
              <w:t xml:space="preserve">0/0</w:t>
            </w:r>
          </w:p>
        </w:tc>
        <w:tc>
          <w:tcPr>
            <w:tcW w:type="dxa" w:w="1649"/>
          </w:tcPr>
          <w:p>
            <w:pPr>
              <w:pStyle w:val="Compact"/>
              <w:spacing w:after="80" w:line="240" w:lineRule="auto"/>
              <w:jc w:val="left"/>
            </w:pPr>
            <w:r>
              <w:rPr>
                <w:sz w:val="17"/>
              </w:rPr>
              <w:t xml:space="preserve">0/0</w:t>
            </w:r>
          </w:p>
        </w:tc>
      </w:tr>
      <w:tr>
        <w:trPr>
          <w:cantSplit/>
        </w:trPr>
        <w:tc>
          <w:tcPr>
            <w:tcW w:type="dxa" w:w="1649"/>
          </w:tcPr>
          <w:p>
            <w:pPr>
              <w:pStyle w:val="Compact"/>
              <w:spacing w:after="80" w:line="240" w:lineRule="auto"/>
              <w:jc w:val="left"/>
            </w:pPr>
            <w:r>
              <w:rPr>
                <w:sz w:val="17"/>
              </w:rPr>
              <w:t xml:space="preserve">Nonpoint or conflicting evidence</w:t>
            </w:r>
          </w:p>
        </w:tc>
        <w:tc>
          <w:tcPr>
            <w:tcW w:type="dxa" w:w="1649"/>
          </w:tcPr>
          <w:p>
            <w:pPr>
              <w:pStyle w:val="Compact"/>
              <w:spacing w:after="80" w:line="240" w:lineRule="auto"/>
              <w:jc w:val="right"/>
            </w:pPr>
            <w:r>
              <w:rPr>
                <w:sz w:val="17"/>
              </w:rPr>
              <w:t xml:space="preserve">11</w:t>
            </w:r>
          </w:p>
        </w:tc>
        <w:tc>
          <w:tcPr>
            <w:tcW w:type="dxa" w:w="1649"/>
          </w:tcPr>
          <w:p>
            <w:pPr>
              <w:pStyle w:val="Compact"/>
              <w:spacing w:after="80" w:line="240" w:lineRule="auto"/>
              <w:jc w:val="left"/>
            </w:pPr>
            <w:r>
              <w:rPr>
                <w:sz w:val="17"/>
              </w:rPr>
              <w:t xml:space="preserve">9/5</w:t>
            </w:r>
          </w:p>
        </w:tc>
        <w:tc>
          <w:tcPr>
            <w:tcW w:type="dxa" w:w="1649"/>
          </w:tcPr>
          <w:p>
            <w:pPr>
              <w:pStyle w:val="Compact"/>
              <w:spacing w:after="80" w:line="240" w:lineRule="auto"/>
              <w:jc w:val="right"/>
            </w:pPr>
            <w:r>
              <w:rPr>
                <w:sz w:val="17"/>
              </w:rPr>
              <w:t xml:space="preserve">1</w:t>
            </w:r>
          </w:p>
        </w:tc>
        <w:tc>
          <w:tcPr>
            <w:tcW w:type="dxa" w:w="1649"/>
          </w:tcPr>
          <w:p>
            <w:pPr>
              <w:pStyle w:val="Compact"/>
              <w:spacing w:after="80" w:line="240" w:lineRule="auto"/>
              <w:jc w:val="left"/>
            </w:pPr>
            <w:r>
              <w:rPr>
                <w:sz w:val="17"/>
              </w:rPr>
              <w:t xml:space="preserve">8/4</w:t>
            </w:r>
          </w:p>
        </w:tc>
        <w:tc>
          <w:tcPr>
            <w:tcW w:type="dxa" w:w="1649"/>
          </w:tcPr>
          <w:p>
            <w:pPr>
              <w:pStyle w:val="Compact"/>
              <w:spacing w:after="80" w:line="240" w:lineRule="auto"/>
              <w:jc w:val="left"/>
            </w:pPr>
            <w:r>
              <w:rPr>
                <w:sz w:val="17"/>
              </w:rPr>
              <w:t xml:space="preserve">9/5</w:t>
            </w:r>
          </w:p>
        </w:tc>
      </w:tr>
    </w:tbl>
    <w:p>
      <w:pPr>
        <w:pStyle w:val="BodyText"/>
      </w:pPr>
      <w:r>
        <w:t xml:space="preserve">Source:</w:t>
      </w:r>
      <w:r>
        <w:t xml:space="preserve"> </w:t>
      </w:r>
      <w:r>
        <w:rPr>
          <w:rStyle w:val="VerbatimChar"/>
          <w:rFonts w:ascii="Liberation Mono" w:hAnsi="Liberation Mono"/>
          <w:sz w:val="18"/>
        </w:rPr>
        <w:t xml:space="preserve">artifacts/modeling/manuscript_revision/route_feasibility/task_summary.csv</w:t>
      </w:r>
      <w:r>
        <w:t xml:space="preserve"> </w:t>
      </w:r>
      <w:r>
        <w:t xml:space="preserve">and</w:t>
      </w:r>
      <w:r>
        <w:t xml:space="preserve"> </w:t>
      </w:r>
      <w:r>
        <w:rPr>
          <w:rStyle w:val="VerbatimChar"/>
          <w:rFonts w:ascii="Liberation Mono" w:hAnsi="Liberation Mono"/>
          <w:sz w:val="18"/>
        </w:rPr>
        <w:t xml:space="preserve">task_source_groups.csv</w:t>
      </w:r>
      <w:r>
        <w:t xml:space="preserve">. Numerical near-ambient includes approximately stated temperatures, except in the explicit sensitivity. All printed-point uses continue to require identifiable sample, relevant method and no point hold. The 25°C, near-ambient and all-numerical tasks overlap. Approximate-value, graph and conflict rows are descriptive feasibility categories, not admitted training labels.</w:t>
      </w:r>
    </w:p>
    <w:p>
      <w:pPr>
        <w:pStyle w:val="BodyText"/>
      </w:pPr>
      <w:r>
        <w:t xml:space="preserve">The near-ambient group sizes are 1,1,1,1,2,3,3,4,4,6,9. Removing approximate temperatures leaves 1,1,1,1,2,3,3,4,4,6. Exactly 25°C yields 1,1,2,2,4. Text-only room temperature yields 1,1,1,4,5,5,5,6,20,33, so two components contain 53 of the 81 profiles. The 33-profile chain has unresolved reuse and the 20-profile component has possible within-source reuse; unresolved does not mean confirmed duplication of all its profiles.</w:t>
      </w:r>
    </w:p>
    <w:p>
      <w:pPr>
        <w:pStyle w:val="BodyText"/>
      </w:pPr>
      <w:r>
        <w:t xml:space="preserve">For the 231 dry-film legacy rows, conditioning was numerical RH during measurement in 11, approximate RH in 9, preconditioning RH only in 8, vacuum during measurement in 12, a sealed inert environment in 1, and no bound environment in 190. These sum to 231. None had a water-content value recorded as bound to measurement; the states were not reported 91, preparation only 85 and ambiguous 55. Vacuum, drying and dry-film form do not imply zero water.</w:t>
      </w:r>
    </w:p>
    <w:p>
      <w:pPr>
        <w:pStyle w:val="BodyText"/>
      </w:pPr>
      <w:r>
        <w:t xml:space="preserve">Recipe-denominator status was known in 54 rows, partial in 175, conflicted in 1 and unknown in 1. In the 35-profile near-ambient task it was known in 18 and partial in 17. Complete formulation comparability does not follow from a known denominator. At nonapproximate near-ambient temperature plus numerical measurement RH, the count was zero because no registered point observation met all conditions. Four PG098 legacy rows already had 25°C/35% RH evidence but no registered scalar observation. The zero therefore does not assert that such values are absent from the articles.</w:t>
      </w:r>
    </w:p>
    <w:bookmarkEnd w:id="23"/>
    <w:bookmarkStart w:id="24" w:name="s5-case-evidence-and-source-relations"/>
    <w:p>
      <w:pPr>
        <w:pStyle w:val="Heading2"/>
      </w:pPr>
      <w:r>
        <w:t xml:space="preserve">S5 Case evidence and source relations</w:t>
      </w:r>
    </w:p>
    <w:p>
      <w:pPr>
        <w:pStyle w:val="FirstParagraph"/>
      </w:pPr>
      <w:r>
        <w:t xml:space="preserve">The following index makes the main examples traceable without redistributing article text or page images. Identifiers are internal locators only. Primary case papers are identified directly by author, year and DOI in this supplement; their identities do not depend on main-text reference numbering. All judgments remain AI-assisted and are awaiting independent human checking.</w:t>
      </w:r>
    </w:p>
    <w:p>
      <w:pPr>
        <w:pStyle w:val="BodyText"/>
        <w:keepNext/>
      </w:pPr>
      <w:r>
        <w:rPr>
          <w:bCs/>
          <w:b/>
        </w:rPr>
        <w:t xml:space="preserve">Table S5. Decisive case index.</w:t>
      </w:r>
      <w:r>
        <w:t xml:space="preserve"> </w:t>
      </w:r>
      <w:r>
        <w:t xml:space="preserve">Paths in this table are relative to</w:t>
      </w:r>
      <w:r>
        <w:t xml:space="preserve"> </w:t>
      </w:r>
      <w:r>
        <w:rPr>
          <w:rStyle w:val="VerbatimChar"/>
          <w:rFonts w:ascii="Liberation Mono" w:hAnsi="Liberation Mono"/>
          <w:sz w:val="18"/>
        </w:rPr>
        <w:t xml:space="preserve">artifacts/modeling/manuscript_revision/local_evidence</w:t>
      </w:r>
      <w:r>
        <w:t xml:space="preserve"> </w:t>
      </w:r>
      <w:r>
        <w:t xml:space="preserve">unless another directory is named.</w:t>
      </w:r>
    </w:p>
    <w:tbl>
      <w:tblPr>
        <w:tblStyle w:val="Table"/>
        <w:tblW w:type="pct" w:w="5000"/>
        <w:tblLayout w:type="fixed"/>
        <w:tblLook w:firstRow="1" w:lastRow="0" w:firstColumn="0" w:lastColumn="0" w:noHBand="0" w:noVBand="0" w:val="0020"/>
        <w:jc w:val="start"/>
      </w:tblPr>
      <w:tblGrid>
        <w:gridCol w:w="1584"/>
        <w:gridCol w:w="4147"/>
        <w:gridCol w:w="4162"/>
      </w:tblGrid>
      <w:tr>
        <w:trPr>
          <w:tblHeader w:val="true"/>
          <w:cantSplit/>
          <w:tblHeader/>
        </w:trPr>
        <w:tc>
          <w:tcPr>
            <w:tcW w:type="dxa" w:w="1584"/>
            <w:shd w:fill="EEEEEE"/>
          </w:tcPr>
          <w:p>
            <w:pPr>
              <w:pStyle w:val="Compact"/>
              <w:spacing w:after="80" w:line="240" w:lineRule="auto"/>
              <w:jc w:val="left"/>
            </w:pPr>
            <w:r>
              <w:rPr>
                <w:b/>
                <w:sz w:val="17"/>
              </w:rPr>
              <w:t xml:space="preserve">Case and identity</w:t>
            </w:r>
          </w:p>
        </w:tc>
        <w:tc>
          <w:tcPr>
            <w:tcW w:type="dxa" w:w="4147"/>
            <w:shd w:fill="EEEEEE"/>
          </w:tcPr>
          <w:p>
            <w:pPr>
              <w:pStyle w:val="Compact"/>
              <w:spacing w:after="80" w:line="240" w:lineRule="auto"/>
              <w:jc w:val="left"/>
            </w:pPr>
            <w:r>
              <w:rPr>
                <w:b/>
                <w:sz w:val="17"/>
              </w:rPr>
              <w:t xml:space="preserve">Source location and recorded evidence</w:t>
            </w:r>
          </w:p>
        </w:tc>
        <w:tc>
          <w:tcPr>
            <w:tcW w:type="dxa" w:w="4162"/>
            <w:shd w:fill="EEEEEE"/>
          </w:tcPr>
          <w:p>
            <w:pPr>
              <w:pStyle w:val="Compact"/>
              <w:spacing w:after="80" w:line="240" w:lineRule="auto"/>
              <w:jc w:val="left"/>
            </w:pPr>
            <w:r>
              <w:rPr>
                <w:b/>
                <w:sz w:val="17"/>
              </w:rPr>
              <w:t xml:space="preserve">Bounded interpretation</w:t>
            </w:r>
          </w:p>
        </w:tc>
      </w:tr>
      <w:tr>
        <w:trPr>
          <w:cantSplit/>
        </w:trPr>
        <w:tc>
          <w:tcPr>
            <w:tcW w:type="dxa" w:w="1584"/>
          </w:tcPr>
          <w:p>
            <w:pPr>
              <w:pStyle w:val="Compact"/>
              <w:spacing w:after="80" w:line="240" w:lineRule="auto"/>
              <w:jc w:val="left"/>
            </w:pPr>
            <w:r>
              <w:rPr>
                <w:sz w:val="17"/>
              </w:rPr>
              <w:t xml:space="preserve">CS:A 3:3 Sw, A207:0278, Cruz-Balaz et al. (2023), DOI 10.1007/s10965-023-03566-0</w:t>
            </w:r>
          </w:p>
        </w:tc>
        <w:tc>
          <w:tcPr>
            <w:tcW w:type="dxa" w:w="4147"/>
          </w:tcPr>
          <w:p>
            <w:pPr>
              <w:pStyle w:val="Compact"/>
              <w:spacing w:after="80" w:line="240" w:lineRule="auto"/>
              <w:jc w:val="left"/>
            </w:pPr>
            <w:r>
              <w:rPr>
                <w:sz w:val="17"/>
              </w:rPr>
              <w:t xml:space="preserve">Table 3 and Table 1 sample codes;</w:t>
            </w:r>
            <w:r>
              <w:rPr>
                <w:sz w:val="17"/>
              </w:rPr>
              <w:t xml:space="preserve"> </w:t>
            </w:r>
            <w:r>
              <w:rPr>
                <w:rStyle w:val="VerbatimChar"/>
                <w:sz w:val="17"/>
              </w:rPr>
              <w:t xml:space="preserve">scope_batches/c_02.json</w:t>
            </w:r>
            <w:r>
              <w:rPr>
                <w:sz w:val="17"/>
              </w:rPr>
              <w:t xml:space="preserve">, L03-C10; corrected row L03R-39b70655fb428ae234d2</w:t>
            </w:r>
          </w:p>
        </w:tc>
        <w:tc>
          <w:tcPr>
            <w:tcW w:type="dxa" w:w="4162"/>
          </w:tcPr>
          <w:p>
            <w:pPr>
              <w:pStyle w:val="Compact"/>
              <w:spacing w:after="80" w:line="240" w:lineRule="auto"/>
              <w:jc w:val="left"/>
            </w:pPr>
            <w:r>
              <w:rPr>
                <w:sz w:val="17"/>
              </w:rPr>
              <w:t xml:space="preserve">0.027 S/cm at 30°C is sample-specific; Table 4 battery comparison lacks matching sample/temperature; approximately 50% network boundary remains</w:t>
            </w:r>
          </w:p>
        </w:tc>
      </w:tr>
      <w:tr>
        <w:trPr>
          <w:cantSplit/>
        </w:trPr>
        <w:tc>
          <w:tcPr>
            <w:tcW w:type="dxa" w:w="1584"/>
          </w:tcPr>
          <w:p>
            <w:pPr>
              <w:pStyle w:val="Compact"/>
              <w:spacing w:after="80" w:line="240" w:lineRule="auto"/>
              <w:jc w:val="left"/>
            </w:pPr>
            <w:r>
              <w:rPr>
                <w:sz w:val="17"/>
              </w:rPr>
              <w:t xml:space="preserve">SHEM, A207:0820, Zhen et al. (2025), DOI 10.5796/electrochemistry.24-00125</w:t>
            </w:r>
          </w:p>
        </w:tc>
        <w:tc>
          <w:tcPr>
            <w:tcW w:type="dxa" w:w="4147"/>
          </w:tcPr>
          <w:p>
            <w:pPr>
              <w:pStyle w:val="Compact"/>
              <w:spacing w:after="80" w:line="240" w:lineRule="auto"/>
              <w:jc w:val="left"/>
            </w:pPr>
            <w:r>
              <w:rPr>
                <w:sz w:val="17"/>
              </w:rPr>
              <w:t xml:space="preserve">Methods and conductivity discussion;</w:t>
            </w:r>
            <w:r>
              <w:rPr>
                <w:sz w:val="17"/>
              </w:rPr>
              <w:t xml:space="preserve"> </w:t>
            </w:r>
            <w:r>
              <w:rPr>
                <w:rStyle w:val="VerbatimChar"/>
                <w:sz w:val="17"/>
              </w:rPr>
              <w:t xml:space="preserve">scope_batches/a_05.json</w:t>
            </w:r>
            <w:r>
              <w:rPr>
                <w:sz w:val="17"/>
              </w:rPr>
              <w:t xml:space="preserve">, L03-A28-E03 to E05; corrected row L03R-96c452f294df04db07e6</w:t>
            </w:r>
          </w:p>
        </w:tc>
        <w:tc>
          <w:tcPr>
            <w:tcW w:type="dxa" w:w="4162"/>
          </w:tcPr>
          <w:p>
            <w:pPr>
              <w:pStyle w:val="Compact"/>
              <w:spacing w:after="80" w:line="240" w:lineRule="auto"/>
              <w:jc w:val="left"/>
            </w:pPr>
            <w:r>
              <w:rPr>
                <w:sz w:val="17"/>
              </w:rPr>
              <w:t xml:space="preserve">0.349 S/cm at 30°C; SEM drying is not the conductivity state; final uptake not quantified in the retained binding</w:t>
            </w:r>
          </w:p>
        </w:tc>
      </w:tr>
      <w:tr>
        <w:trPr>
          <w:cantSplit/>
        </w:trPr>
        <w:tc>
          <w:tcPr>
            <w:tcW w:type="dxa" w:w="1584"/>
          </w:tcPr>
          <w:p>
            <w:pPr>
              <w:pStyle w:val="Compact"/>
              <w:spacing w:after="80" w:line="240" w:lineRule="auto"/>
              <w:jc w:val="left"/>
            </w:pPr>
            <w:r>
              <w:rPr>
                <w:sz w:val="17"/>
              </w:rPr>
              <w:t xml:space="preserve">Pellet versus film, Tiwari et al. (2011), DOI 10.1007/s11581-010-0516-0</w:t>
            </w:r>
          </w:p>
        </w:tc>
        <w:tc>
          <w:tcPr>
            <w:tcW w:type="dxa" w:w="4147"/>
          </w:tcPr>
          <w:p>
            <w:pPr>
              <w:pStyle w:val="Compact"/>
              <w:spacing w:after="80" w:line="240" w:lineRule="auto"/>
              <w:jc w:val="left"/>
            </w:pPr>
            <w:r>
              <w:rPr>
                <w:sz w:val="17"/>
              </w:rPr>
              <w:t xml:space="preserve">Table 1; A207:0178/0181 are pellets, A207:0182/0183 soft thick films; L03-C05-P/V</w:t>
            </w:r>
          </w:p>
        </w:tc>
        <w:tc>
          <w:tcPr>
            <w:tcW w:type="dxa" w:w="4162"/>
          </w:tcPr>
          <w:p>
            <w:pPr>
              <w:pStyle w:val="Compact"/>
              <w:spacing w:after="80" w:line="240" w:lineRule="auto"/>
              <w:jc w:val="left"/>
            </w:pPr>
            <w:r>
              <w:rPr>
                <w:sz w:val="17"/>
              </w:rPr>
              <w:t xml:space="preserve">A gate failure alone does not identify a dry film; morphology is sample-specific</w:t>
            </w:r>
          </w:p>
        </w:tc>
      </w:tr>
      <w:tr>
        <w:trPr>
          <w:cantSplit/>
        </w:trPr>
        <w:tc>
          <w:tcPr>
            <w:tcW w:type="dxa" w:w="1584"/>
          </w:tcPr>
          <w:p>
            <w:pPr>
              <w:pStyle w:val="Compact"/>
              <w:spacing w:after="80" w:line="240" w:lineRule="auto"/>
              <w:jc w:val="left"/>
            </w:pPr>
            <w:r>
              <w:rPr>
                <w:sz w:val="17"/>
              </w:rPr>
              <w:t xml:space="preserve">Final potato-starch formulation, Tiwari et al. (2011), DOI 10.1007/s11581-010-0516-0</w:t>
            </w:r>
          </w:p>
        </w:tc>
        <w:tc>
          <w:tcPr>
            <w:tcW w:type="dxa" w:w="4147"/>
          </w:tcPr>
          <w:p>
            <w:pPr>
              <w:pStyle w:val="Compact"/>
              <w:spacing w:after="80" w:line="240" w:lineRule="auto"/>
              <w:jc w:val="left"/>
            </w:pPr>
            <w:r>
              <w:rPr>
                <w:sz w:val="17"/>
              </w:rPr>
              <w:t xml:space="preserve">Abstract/body/table comparisons in</w:t>
            </w:r>
            <w:r>
              <w:rPr>
                <w:sz w:val="17"/>
              </w:rPr>
              <w:t xml:space="preserve"> </w:t>
            </w:r>
            <w:r>
              <w:rPr>
                <w:rStyle w:val="VerbatimChar"/>
                <w:sz w:val="17"/>
              </w:rPr>
              <w:t xml:space="preserve">scope_batches/c_01.json</w:t>
            </w:r>
            <w:r>
              <w:rPr>
                <w:sz w:val="17"/>
              </w:rPr>
              <w:t xml:space="preserve"> </w:t>
            </w:r>
            <w:r>
              <w:rPr>
                <w:sz w:val="17"/>
              </w:rPr>
              <w:t xml:space="preserve">and</w:t>
            </w:r>
            <w:r>
              <w:rPr>
                <w:sz w:val="17"/>
              </w:rPr>
              <w:t xml:space="preserve"> </w:t>
            </w:r>
            <w:r>
              <w:rPr>
                <w:rStyle w:val="VerbatimChar"/>
                <w:sz w:val="17"/>
              </w:rPr>
              <w:t xml:space="preserve">route_feasibility/evidence_annotations.json</w:t>
            </w:r>
            <w:r>
              <w:rPr>
                <w:sz w:val="17"/>
              </w:rPr>
              <w:t xml:space="preserve">; L03-C05-0183-O01</w:t>
            </w:r>
          </w:p>
        </w:tc>
        <w:tc>
          <w:tcPr>
            <w:tcW w:type="dxa" w:w="4162"/>
          </w:tcPr>
          <w:p>
            <w:pPr>
              <w:pStyle w:val="Compact"/>
              <w:spacing w:after="80" w:line="240" w:lineRule="auto"/>
              <w:jc w:val="left"/>
            </w:pPr>
            <w:r>
              <w:rPr>
                <w:sz w:val="17"/>
              </w:rPr>
              <w:t xml:space="preserve">Conflicting location-specific values remain held in the dry-film count; no new author-value correction</w:t>
            </w:r>
          </w:p>
        </w:tc>
      </w:tr>
      <w:tr>
        <w:trPr>
          <w:cantSplit/>
        </w:trPr>
        <w:tc>
          <w:tcPr>
            <w:tcW w:type="dxa" w:w="1584"/>
          </w:tcPr>
          <w:p>
            <w:pPr>
              <w:pStyle w:val="Compact"/>
              <w:spacing w:after="80" w:line="240" w:lineRule="auto"/>
              <w:jc w:val="left"/>
            </w:pPr>
            <w:r>
              <w:rPr>
                <w:sz w:val="17"/>
              </w:rPr>
              <w:t xml:space="preserve">CS20 temperature reports, Teoh et al. (2014), DOI 10.1016/j.measurement.2013.10.040</w:t>
            </w:r>
          </w:p>
        </w:tc>
        <w:tc>
          <w:tcPr>
            <w:tcW w:type="dxa" w:w="4147"/>
          </w:tcPr>
          <w:p>
            <w:pPr>
              <w:pStyle w:val="Compact"/>
              <w:spacing w:after="80" w:line="240" w:lineRule="auto"/>
              <w:jc w:val="left"/>
            </w:pPr>
            <w:r>
              <w:rPr>
                <w:sz w:val="17"/>
              </w:rPr>
              <w:t xml:space="preserve">Table 3, original PDF p4;</w:t>
            </w:r>
            <w:r>
              <w:rPr>
                <w:sz w:val="17"/>
              </w:rPr>
              <w:t xml:space="preserve"> </w:t>
            </w:r>
            <w:r>
              <w:rPr>
                <w:rStyle w:val="VerbatimChar"/>
                <w:sz w:val="17"/>
              </w:rPr>
              <w:t xml:space="preserve">measurement_batches/PG052.json</w:t>
            </w:r>
            <w:r>
              <w:rPr>
                <w:sz w:val="17"/>
              </w:rPr>
              <w:t xml:space="preserve">, L02-PG052-E01 to E09</w:t>
            </w:r>
          </w:p>
        </w:tc>
        <w:tc>
          <w:tcPr>
            <w:tcW w:type="dxa" w:w="4162"/>
          </w:tcPr>
          <w:p>
            <w:pPr>
              <w:pStyle w:val="Compact"/>
              <w:spacing w:after="80" w:line="240" w:lineRule="auto"/>
              <w:jc w:val="left"/>
            </w:pPr>
            <w:r>
              <w:rPr>
                <w:sz w:val="17"/>
              </w:rPr>
              <w:t xml:space="preserve">Two temperatures must not silently become one isothermal target through a legacy median</w:t>
            </w:r>
          </w:p>
        </w:tc>
      </w:tr>
      <w:tr>
        <w:trPr>
          <w:cantSplit/>
        </w:trPr>
        <w:tc>
          <w:tcPr>
            <w:tcW w:type="dxa" w:w="1584"/>
          </w:tcPr>
          <w:p>
            <w:pPr>
              <w:pStyle w:val="Compact"/>
              <w:spacing w:after="80" w:line="240" w:lineRule="auto"/>
              <w:jc w:val="left"/>
            </w:pPr>
            <w:r>
              <w:rPr>
                <w:sz w:val="17"/>
              </w:rPr>
              <w:t xml:space="preserve">Two conductivity estimates, Anandha Jothi et al. (2020), DOI 10.1016/j.physb.2019.411940</w:t>
            </w:r>
          </w:p>
        </w:tc>
        <w:tc>
          <w:tcPr>
            <w:tcW w:type="dxa" w:w="4147"/>
          </w:tcPr>
          <w:p>
            <w:pPr>
              <w:pStyle w:val="Compact"/>
              <w:spacing w:after="80" w:line="240" w:lineRule="auto"/>
              <w:jc w:val="left"/>
            </w:pPr>
            <w:r>
              <w:rPr>
                <w:sz w:val="17"/>
              </w:rPr>
              <w:t xml:space="preserve">Table 2 sigma-ac and Cole–Cole/bulk-related columns; original PDF p26;</w:t>
            </w:r>
            <w:r>
              <w:rPr>
                <w:sz w:val="17"/>
              </w:rPr>
              <w:t xml:space="preserve"> </w:t>
            </w:r>
            <w:r>
              <w:rPr>
                <w:rStyle w:val="VerbatimChar"/>
                <w:sz w:val="17"/>
              </w:rPr>
              <w:t xml:space="preserve">measurement_batches/PG055.json</w:t>
            </w:r>
          </w:p>
        </w:tc>
        <w:tc>
          <w:tcPr>
            <w:tcW w:type="dxa" w:w="4162"/>
          </w:tcPr>
          <w:p>
            <w:pPr>
              <w:pStyle w:val="Compact"/>
              <w:spacing w:after="80" w:line="240" w:lineRule="auto"/>
              <w:jc w:val="left"/>
            </w:pPr>
            <w:r>
              <w:rPr>
                <w:sz w:val="17"/>
              </w:rPr>
              <w:t xml:space="preserve">Different estimates and their conditions remain separate; a method name alone does not establish equivalent observables</w:t>
            </w:r>
          </w:p>
        </w:tc>
      </w:tr>
      <w:tr>
        <w:trPr>
          <w:cantSplit/>
        </w:trPr>
        <w:tc>
          <w:tcPr>
            <w:tcW w:type="dxa" w:w="1584"/>
          </w:tcPr>
          <w:p>
            <w:pPr>
              <w:pStyle w:val="Compact"/>
              <w:spacing w:after="80" w:line="240" w:lineRule="auto"/>
              <w:jc w:val="left"/>
            </w:pPr>
            <w:r>
              <w:rPr>
                <w:sz w:val="17"/>
              </w:rPr>
              <w:t xml:space="preserve">Figure converted to a machine table</w:t>
            </w:r>
          </w:p>
        </w:tc>
        <w:tc>
          <w:tcPr>
            <w:tcW w:type="dxa" w:w="4147"/>
          </w:tcPr>
          <w:p>
            <w:pPr>
              <w:pStyle w:val="Compact"/>
              <w:spacing w:after="80" w:line="240" w:lineRule="auto"/>
              <w:jc w:val="left"/>
            </w:pPr>
            <w:r>
              <w:rPr>
                <w:sz w:val="17"/>
              </w:rPr>
              <w:t xml:space="preserve">DOI 10.1016/j.ssi.2019.01.002, Figure 5a, original PDF p4;</w:t>
            </w:r>
            <w:r>
              <w:rPr>
                <w:sz w:val="17"/>
              </w:rPr>
              <w:t xml:space="preserve"> </w:t>
            </w:r>
            <w:r>
              <w:rPr>
                <w:rStyle w:val="VerbatimChar"/>
                <w:sz w:val="17"/>
              </w:rPr>
              <w:t xml:space="preserve">measurement_batches/PG087.json</w:t>
            </w:r>
            <w:r>
              <w:rPr>
                <w:sz w:val="17"/>
              </w:rPr>
              <w:t xml:space="preserve">, L02-PG087-E01 to E09 and E99</w:t>
            </w:r>
          </w:p>
        </w:tc>
        <w:tc>
          <w:tcPr>
            <w:tcW w:type="dxa" w:w="4162"/>
          </w:tcPr>
          <w:p>
            <w:pPr>
              <w:pStyle w:val="Compact"/>
              <w:spacing w:after="80" w:line="240" w:lineRule="auto"/>
              <w:jc w:val="left"/>
            </w:pPr>
            <w:r>
              <w:rPr>
                <w:sz w:val="17"/>
              </w:rPr>
              <w:t xml:space="preserve">A parser-created table is not an author numerical table; five legacy rows affected; original figure/text uncertainty remains</w:t>
            </w:r>
          </w:p>
        </w:tc>
      </w:tr>
      <w:tr>
        <w:trPr>
          <w:cantSplit/>
        </w:trPr>
        <w:tc>
          <w:tcPr>
            <w:tcW w:type="dxa" w:w="1584"/>
          </w:tcPr>
          <w:p>
            <w:pPr>
              <w:pStyle w:val="Compact"/>
              <w:spacing w:after="80" w:line="240" w:lineRule="auto"/>
              <w:jc w:val="left"/>
            </w:pPr>
            <w:r>
              <w:rPr>
                <w:sz w:val="17"/>
              </w:rPr>
              <w:t xml:space="preserve">Physical feature names</w:t>
            </w:r>
          </w:p>
        </w:tc>
        <w:tc>
          <w:tcPr>
            <w:tcW w:type="dxa" w:w="4147"/>
          </w:tcPr>
          <w:p>
            <w:pPr>
              <w:pStyle w:val="Compact"/>
              <w:spacing w:after="80" w:line="240" w:lineRule="auto"/>
              <w:jc w:val="left"/>
            </w:pPr>
            <w:r>
              <w:rPr>
                <w:sz w:val="17"/>
              </w:rPr>
              <w:t xml:space="preserve">DOI 10.1007/s11581-014-1092-5; PG020;</w:t>
            </w:r>
            <w:r>
              <w:rPr>
                <w:sz w:val="17"/>
              </w:rPr>
              <w:t xml:space="preserve"> </w:t>
            </w:r>
            <w:r>
              <w:rPr>
                <w:rStyle w:val="VerbatimChar"/>
                <w:sz w:val="17"/>
              </w:rPr>
              <w:t xml:space="preserve">input_issue_disposition.csv</w:t>
            </w:r>
            <w:r>
              <w:rPr>
                <w:sz w:val="17"/>
              </w:rPr>
              <w:t xml:space="preserve"> </w:t>
            </w:r>
            <w:r>
              <w:rPr>
                <w:sz w:val="17"/>
              </w:rPr>
              <w:t xml:space="preserve">and</w:t>
            </w:r>
            <w:r>
              <w:rPr>
                <w:sz w:val="17"/>
              </w:rPr>
              <w:t xml:space="preserve"> </w:t>
            </w:r>
            <w:r>
              <w:rPr>
                <w:rStyle w:val="VerbatimChar"/>
                <w:sz w:val="17"/>
              </w:rPr>
              <w:t xml:space="preserve">measurement_batches/PG020.json</w:t>
            </w:r>
          </w:p>
        </w:tc>
        <w:tc>
          <w:tcPr>
            <w:tcW w:type="dxa" w:w="4162"/>
          </w:tcPr>
          <w:p>
            <w:pPr>
              <w:pStyle w:val="Compact"/>
              <w:spacing w:after="80" w:line="240" w:lineRule="auto"/>
              <w:jc w:val="left"/>
            </w:pPr>
            <w:r>
              <w:rPr>
                <w:sz w:val="17"/>
              </w:rPr>
              <w:t xml:space="preserve">Twelve facts describe activation energy or transference number, not gel point/water activity; these names were not in the old 21-input model</w:t>
            </w:r>
          </w:p>
        </w:tc>
      </w:tr>
      <w:tr>
        <w:trPr>
          <w:cantSplit/>
        </w:trPr>
        <w:tc>
          <w:tcPr>
            <w:tcW w:type="dxa" w:w="1584"/>
          </w:tcPr>
          <w:p>
            <w:pPr>
              <w:pStyle w:val="Compact"/>
              <w:spacing w:after="80" w:line="240" w:lineRule="auto"/>
              <w:jc w:val="left"/>
            </w:pPr>
            <w:r>
              <w:rPr>
                <w:sz w:val="17"/>
              </w:rPr>
              <w:t xml:space="preserve">Same article under two legacy groups</w:t>
            </w:r>
          </w:p>
        </w:tc>
        <w:tc>
          <w:tcPr>
            <w:tcW w:type="dxa" w:w="4147"/>
          </w:tcPr>
          <w:p>
            <w:pPr>
              <w:pStyle w:val="Compact"/>
              <w:spacing w:after="80" w:line="240" w:lineRule="auto"/>
              <w:jc w:val="left"/>
            </w:pPr>
            <w:r>
              <w:rPr>
                <w:sz w:val="17"/>
              </w:rPr>
              <w:t xml:space="preserve">DOI 10.1016/j.electacta.2014.05.075; PG040/PG099;</w:t>
            </w:r>
            <w:r>
              <w:rPr>
                <w:sz w:val="17"/>
              </w:rPr>
              <w:t xml:space="preserve"> </w:t>
            </w:r>
            <w:r>
              <w:rPr>
                <w:rStyle w:val="VerbatimChar"/>
                <w:sz w:val="17"/>
              </w:rPr>
              <w:t xml:space="preserve">identity_evidence.json</w:t>
            </w:r>
            <w:r>
              <w:rPr>
                <w:sz w:val="17"/>
              </w:rPr>
              <w:t xml:space="preserve"> </w:t>
            </w:r>
            <w:r>
              <w:rPr>
                <w:sz w:val="17"/>
              </w:rPr>
              <w:t xml:space="preserve">and</w:t>
            </w:r>
            <w:r>
              <w:rPr>
                <w:sz w:val="17"/>
              </w:rPr>
              <w:t xml:space="preserve"> </w:t>
            </w:r>
            <w:r>
              <w:rPr>
                <w:rStyle w:val="VerbatimChar"/>
                <w:sz w:val="17"/>
              </w:rPr>
              <w:t xml:space="preserve">identity_impact.json</w:t>
            </w:r>
          </w:p>
        </w:tc>
        <w:tc>
          <w:tcPr>
            <w:tcW w:type="dxa" w:w="4162"/>
          </w:tcPr>
          <w:p>
            <w:pPr>
              <w:pStyle w:val="Compact"/>
              <w:spacing w:after="80" w:line="240" w:lineRule="auto"/>
              <w:jc w:val="left"/>
            </w:pPr>
            <w:r>
              <w:rPr>
                <w:sz w:val="17"/>
              </w:rPr>
              <w:t xml:space="preserve">Same carrier was split in the primary legacy folds; sample and measurement deduplication require separate evidence</w:t>
            </w:r>
          </w:p>
        </w:tc>
      </w:tr>
      <w:tr>
        <w:trPr>
          <w:cantSplit/>
        </w:trPr>
        <w:tc>
          <w:tcPr>
            <w:tcW w:type="dxa" w:w="1584"/>
          </w:tcPr>
          <w:p>
            <w:pPr>
              <w:pStyle w:val="Compact"/>
              <w:spacing w:after="80" w:line="240" w:lineRule="auto"/>
              <w:jc w:val="left"/>
            </w:pPr>
            <w:r>
              <w:rPr>
                <w:sz w:val="17"/>
              </w:rPr>
              <w:t xml:space="preserve">Quoted prior measurement</w:t>
            </w:r>
          </w:p>
        </w:tc>
        <w:tc>
          <w:tcPr>
            <w:tcW w:type="dxa" w:w="4147"/>
          </w:tcPr>
          <w:p>
            <w:pPr>
              <w:pStyle w:val="Compact"/>
              <w:spacing w:after="80" w:line="240" w:lineRule="auto"/>
              <w:jc w:val="left"/>
            </w:pPr>
            <w:r>
              <w:rPr>
                <w:sz w:val="17"/>
              </w:rPr>
              <w:t xml:space="preserve">PG019/PG028, carrier DOI 10.1016/j.measurement.2014.08.009 and cited rice-starch precursor;</w:t>
            </w:r>
            <w:r>
              <w:rPr>
                <w:sz w:val="17"/>
              </w:rPr>
              <w:t xml:space="preserve"> </w:t>
            </w:r>
            <w:r>
              <w:rPr>
                <w:rStyle w:val="VerbatimChar"/>
                <w:sz w:val="17"/>
              </w:rPr>
              <w:t xml:space="preserve">identity_evidence.json</w:t>
            </w:r>
            <w:r>
              <w:rPr>
                <w:sz w:val="17"/>
              </w:rPr>
              <w:t xml:space="preserve"> </w:t>
            </w:r>
            <w:r>
              <w:rPr>
                <w:sz w:val="17"/>
              </w:rPr>
              <w:t xml:space="preserve">and</w:t>
            </w:r>
            <w:r>
              <w:rPr>
                <w:sz w:val="17"/>
              </w:rPr>
              <w:t xml:space="preserve"> </w:t>
            </w:r>
            <w:r>
              <w:rPr>
                <w:rStyle w:val="VerbatimChar"/>
                <w:sz w:val="17"/>
              </w:rPr>
              <w:t xml:space="preserve">supplemental_followup.csv</w:t>
            </w:r>
          </w:p>
        </w:tc>
        <w:tc>
          <w:tcPr>
            <w:tcW w:type="dxa" w:w="4162"/>
          </w:tcPr>
          <w:p>
            <w:pPr>
              <w:pStyle w:val="Compact"/>
              <w:spacing w:after="80" w:line="240" w:lineRule="auto"/>
              <w:jc w:val="left"/>
            </w:pPr>
            <w:r>
              <w:rPr>
                <w:sz w:val="17"/>
              </w:rPr>
              <w:t xml:space="preserve">Confirmed prior-measurement reuse differs from unresolved possible remeasurement; the specific affected rows were absent from strict</w:t>
            </w:r>
          </w:p>
        </w:tc>
      </w:tr>
    </w:tbl>
    <w:p>
      <w:pPr>
        <w:pStyle w:val="BodyText"/>
      </w:pPr>
      <w:r>
        <w:t xml:space="preserve">The table lists locations recorded by earlier source work. The frozen source review checked the two core-point source texts and their hashes; this review derivative does not repeat the earlier full PDF-page audit. Corpus Markdown and original PDFs remain in the full private research workspace, not the public review repository.</w:t>
      </w:r>
    </w:p>
    <w:p>
      <w:pPr>
        <w:pStyle w:val="BodyText"/>
      </w:pPr>
      <w:r>
        <w:t xml:space="preserve">The complete source map contains 154 carrier identifiers, including 88 DOI-shaped keys. Only 87 distinct nonempty actual DOI values were available for the latest exact comparison; one DOI-shaped key,</w:t>
      </w:r>
      <w:r>
        <w:t xml:space="preserve"> </w:t>
      </w:r>
      <w:r>
        <w:rPr>
          <w:rStyle w:val="VerbatimChar"/>
          <w:rFonts w:ascii="Liberation Mono" w:hAnsi="Liberation Mono"/>
          <w:sz w:val="18"/>
        </w:rPr>
        <w:t xml:space="preserve">epoly.2009.9.1.1628</w:t>
      </w:r>
      <w:r>
        <w:t xml:space="preserve">, remained unresolved. Sixty-six additional candidate-only DOI identifiers were compared separately after excluding known wrong attachments. An internally identified Zhou carrier had no noncontradictory comparable DOI. The evidence-supported and candidate-only sets each had zero exact overlap with the external table’s 213 DOI identifiers and its 98 primary DOI groups. Zero identifier overlap is not an independence certificate and does not exclude untraced reuse.</w:t>
      </w:r>
    </w:p>
    <w:p>
      <w:pPr>
        <w:pStyle w:val="BodyText"/>
      </w:pPr>
      <w:r>
        <w:t xml:space="preserve">Sources:</w:t>
      </w:r>
      <w:r>
        <w:t xml:space="preserve"> </w:t>
      </w:r>
      <w:r>
        <w:rPr>
          <w:rStyle w:val="VerbatimChar"/>
          <w:rFonts w:ascii="Liberation Mono" w:hAnsi="Liberation Mono"/>
          <w:sz w:val="18"/>
        </w:rPr>
        <w:t xml:space="preserve">scope_sources.csv</w:t>
      </w:r>
      <w:r>
        <w:t xml:space="preserve">,</w:t>
      </w:r>
      <w:r>
        <w:t xml:space="preserve"> </w:t>
      </w:r>
      <w:r>
        <w:rPr>
          <w:rStyle w:val="VerbatimChar"/>
          <w:rFonts w:ascii="Liberation Mono" w:hAnsi="Liberation Mono"/>
          <w:sz w:val="18"/>
        </w:rPr>
        <w:t xml:space="preserve">scope_group_assignments.csv</w:t>
      </w:r>
      <w:r>
        <w:t xml:space="preserve">,</w:t>
      </w:r>
      <w:r>
        <w:t xml:space="preserve"> </w:t>
      </w:r>
      <w:r>
        <w:rPr>
          <w:rStyle w:val="VerbatimChar"/>
          <w:rFonts w:ascii="Liberation Mono" w:hAnsi="Liberation Mono"/>
          <w:sz w:val="18"/>
        </w:rPr>
        <w:t xml:space="preserve">scope_group_edges.json</w:t>
      </w:r>
      <w:r>
        <w:t xml:space="preserve">,</w:t>
      </w:r>
      <w:r>
        <w:t xml:space="preserve"> </w:t>
      </w:r>
      <w:r>
        <w:rPr>
          <w:rStyle w:val="VerbatimChar"/>
          <w:rFonts w:ascii="Liberation Mono" w:hAnsi="Liberation Mono"/>
          <w:sz w:val="18"/>
        </w:rPr>
        <w:t xml:space="preserve">identity_impact.json</w:t>
      </w:r>
      <w:r>
        <w:t xml:space="preserve"> </w:t>
      </w:r>
      <w:r>
        <w:t xml:space="preserve">and</w:t>
      </w:r>
      <w:r>
        <w:t xml:space="preserve"> </w:t>
      </w:r>
      <w:r>
        <w:rPr>
          <w:rStyle w:val="VerbatimChar"/>
          <w:rFonts w:ascii="Liberation Mono" w:hAnsi="Liberation Mono"/>
          <w:sz w:val="18"/>
        </w:rPr>
        <w:t xml:space="preserve">artifacts/modeling/manuscript_revision/route_feasibility/summary.json</w:t>
      </w:r>
      <w:r>
        <w:t xml:space="preserve">. Source-group relationships and confirmed report-duplicate relationships use different nodes; they must not be substituted for one another.</w:t>
      </w:r>
    </w:p>
    <w:bookmarkEnd w:id="24"/>
    <w:bookmarkStart w:id="25" w:name="Xdf2082f190a4ef92b65e4381e8ae66a28d72b4a"/>
    <w:p>
      <w:pPr>
        <w:pStyle w:val="Heading2"/>
      </w:pPr>
      <w:r>
        <w:t xml:space="preserve">S6 Complete retained simulation and diagnostic definitions</w:t>
      </w:r>
    </w:p>
    <w:p>
      <w:pPr>
        <w:pStyle w:val="FirstParagraph"/>
      </w:pPr>
      <w:r>
        <w:t xml:space="preserve">The retained simulation follows</w:t>
      </w:r>
      <w:r>
        <w:t xml:space="preserve"> </w:t>
      </w:r>
      <w:r>
        <w:rPr>
          <w:rStyle w:val="VerbatimChar"/>
          <w:rFonts w:ascii="Liberation Mono" w:hAnsi="Liberation Mono"/>
          <w:sz w:val="18"/>
        </w:rPr>
        <w:t xml:space="preserve">docs/decisions/2026-09-07_diagnostic_calibration_protocol.md</w:t>
      </w:r>
      <w:r>
        <w:t xml:space="preserve"> </w:t>
      </w:r>
      <w:r>
        <w:t xml:space="preserve">and its frozen configuration. In</w:t>
      </w:r>
      <w:r>
        <w:t xml:space="preserve"> </w:t>
      </w:r>
      <m:oMath>
        <m:sSub>
          <m:e>
            <m:r>
              <m:t>y</m:t>
            </m:r>
          </m:e>
          <m:sub>
            <m:r>
              <m:t>i</m:t>
            </m:r>
            <m:r>
              <m:t>j</m:t>
            </m:r>
          </m:sub>
        </m:sSub>
        <m:r>
          <m:rPr>
            <m:sty m:val="p"/>
          </m:rPr>
          <m:t>=</m:t>
        </m:r>
        <m:sSub>
          <m:e>
            <m:r>
              <m:t>a</m:t>
            </m:r>
          </m:e>
          <m:sub>
            <m:r>
              <m:t>j</m:t>
            </m:r>
          </m:sub>
        </m:sSub>
        <m:r>
          <m:rPr>
            <m:sty m:val="p"/>
          </m:rPr>
          <m:t>+</m:t>
        </m:r>
        <m:sSub>
          <m:e>
            <m:r>
              <m:t>β</m:t>
            </m:r>
          </m:e>
          <m:sub>
            <m:r>
              <m:t>j</m:t>
            </m:r>
          </m:sub>
        </m:sSub>
        <m:sSub>
          <m:e>
            <m:r>
              <m:t>x</m:t>
            </m:r>
          </m:e>
          <m:sub>
            <m:r>
              <m:t>i</m:t>
            </m:r>
            <m:r>
              <m:t>j</m:t>
            </m:r>
          </m:sub>
        </m:sSub>
        <m:r>
          <m:rPr>
            <m:sty m:val="p"/>
          </m:rPr>
          <m:t>+</m:t>
        </m:r>
        <m:sSub>
          <m:e>
            <m:r>
              <m:t>ϵ</m:t>
            </m:r>
          </m:e>
          <m:sub>
            <m:r>
              <m:t>i</m:t>
            </m:r>
            <m:r>
              <m:t>j</m:t>
            </m:r>
          </m:sub>
        </m:sSub>
      </m:oMath>
      <w:r>
        <w:t xml:space="preserve">,</w:t>
      </w:r>
      <w:r>
        <w:t xml:space="preserve"> </w:t>
      </w:r>
      <m:oMath>
        <m:sSub>
          <m:e>
            <m:r>
              <m:t>z</m:t>
            </m:r>
          </m:e>
          <m:sub>
            <m:r>
              <m:t>j</m:t>
            </m:r>
          </m:sub>
        </m:sSub>
      </m:oMath>
      <w:r>
        <w:t xml:space="preserve">,</w:t>
      </w:r>
      <w:r>
        <w:t xml:space="preserve"> </w:t>
      </w:r>
      <m:oMath>
        <m:sSub>
          <m:e>
            <m:r>
              <m:t>u</m:t>
            </m:r>
          </m:e>
          <m:sub>
            <m:r>
              <m:t>j</m:t>
            </m:r>
          </m:sub>
        </m:sSub>
      </m:oMath>
      <w:r>
        <w:t xml:space="preserve">,</w:t>
      </w:r>
      <w:r>
        <w:t xml:space="preserve"> </w:t>
      </w:r>
      <m:oMath>
        <m:sSub>
          <m:e>
            <m:r>
              <m:t>x</m:t>
            </m:r>
          </m:e>
          <m:sub>
            <m:r>
              <m:t>i</m:t>
            </m:r>
            <m:r>
              <m:t>j</m:t>
            </m:r>
          </m:sub>
        </m:sSub>
      </m:oMath>
      <w:r>
        <w:t xml:space="preserve"> </w:t>
      </w:r>
      <w:r>
        <w:t xml:space="preserve">and</w:t>
      </w:r>
      <w:r>
        <w:t xml:space="preserve"> </w:t>
      </w:r>
      <m:oMath>
        <m:sSub>
          <m:e>
            <m:r>
              <m:t>ϵ</m:t>
            </m:r>
          </m:e>
          <m:sub>
            <m:r>
              <m:t>i</m:t>
            </m:r>
            <m:r>
              <m:t>j</m:t>
            </m:r>
          </m:sub>
        </m:sSub>
      </m:oMath>
      <w:r>
        <w:t xml:space="preserve"> </w:t>
      </w:r>
      <w:r>
        <w:t xml:space="preserve">are independent standard normal draws, with</w:t>
      </w:r>
      <w:r>
        <w:t xml:space="preserve"> </w:t>
      </w:r>
      <m:oMath>
        <m:sSub>
          <m:e>
            <m:r>
              <m:t>a</m:t>
            </m:r>
          </m:e>
          <m:sub>
            <m:r>
              <m:t>j</m:t>
            </m:r>
          </m:sub>
        </m:sSub>
        <m:r>
          <m:rPr>
            <m:sty m:val="p"/>
          </m:rPr>
          <m:t>=</m:t>
        </m:r>
        <m:rad>
          <m:radPr>
            <m:degHide m:val="on"/>
          </m:radPr>
          <m:deg/>
          <m:e>
            <m:r>
              <m:t>0.7</m:t>
            </m:r>
          </m:e>
        </m:rad>
        <m:sSub>
          <m:e>
            <m:r>
              <m:t>z</m:t>
            </m:r>
          </m:e>
          <m:sub>
            <m:r>
              <m:t>j</m:t>
            </m:r>
          </m:sub>
        </m:sSub>
        <m:r>
          <m:rPr>
            <m:sty m:val="p"/>
          </m:rPr>
          <m:t>+</m:t>
        </m:r>
        <m:rad>
          <m:radPr>
            <m:degHide m:val="on"/>
          </m:radPr>
          <m:deg/>
          <m:e>
            <m:r>
              <m:t>0.3</m:t>
            </m:r>
          </m:e>
        </m:rad>
        <m:sSub>
          <m:e>
            <m:r>
              <m:t>u</m:t>
            </m:r>
          </m:e>
          <m:sub>
            <m:r>
              <m:t>j</m:t>
            </m:r>
          </m:sub>
        </m:sSub>
      </m:oMath>
      <w:r>
        <w:t xml:space="preserve"> </w:t>
      </w:r>
      <w:r>
        <w:t xml:space="preserve">except for pure noise. The four mechanisms set intercept and slope to zero for noise, slope to zero for between-only, slope to one for a common within-group relation, and independent equiprobable −1/+1 slopes for heterogeneous within-group relations. Common random numbers paired the base draws across mechanisms.</w:t>
      </w:r>
    </w:p>
    <w:p>
      <w:pPr>
        <w:pStyle w:val="BodyText"/>
      </w:pPr>
      <w:r>
        <w:t xml:space="preserve">There were 100 groups per dataset, group sizes 2/5/10, and 100 independent generated datasets per cell. Predictors were</w:t>
      </w:r>
      <w:r>
        <w:t xml:space="preserve"> </w:t>
      </w:r>
      <m:oMath>
        <m:r>
          <m:t>x</m:t>
        </m:r>
      </m:oMath>
      <w:r>
        <w:t xml:space="preserve">, group proxy</w:t>
      </w:r>
      <w:r>
        <w:t xml:space="preserve"> </w:t>
      </w:r>
      <m:oMath>
        <m:r>
          <m:t>z</m:t>
        </m:r>
      </m:oMath>
      <w:r>
        <w:t xml:space="preserve"> </w:t>
      </w:r>
      <w:r>
        <w:t xml:space="preserve">and categorical group ID. The learner used 350 ExtraTrees, minimum leaf size 2, square-root feature sampling, training-only median imputation and one-hot category frequency threshold 3. The size sweep changes both reference estimation precision and effective category encoding; at two rows per group all identity categories are pooled. Each retained interval used 499 group-bootstrap draws at fixed out-of-fold predictions.</w:t>
      </w:r>
    </w:p>
    <w:p>
      <w:pPr>
        <w:pStyle w:val="BodyText"/>
        <w:keepNext/>
      </w:pPr>
      <w:r>
        <w:rPr>
          <w:bCs/>
          <w:b/>
        </w:rPr>
        <w:t xml:space="preserve">Table S6. All 12 simulation cells.</w:t>
      </w:r>
      <w:r>
        <w:t xml:space="preserve"> </w:t>
      </w:r>
      <w:r>
        <w:t xml:space="preserve">Differences are medians across simulated datasets; positive-interval counts are out of 100 repetitions. Wilson intervals and additional quantiles remain in the frozen source table. These counts are neither real-material error rates nor formal type-I error for</w:t>
      </w:r>
      <w:r>
        <w:t xml:space="preserve"> </w:t>
      </w:r>
      <m:oMath>
        <m:r>
          <m:t>Δ</m:t>
        </m:r>
        <m:r>
          <m:rPr>
            <m:sty m:val="p"/>
          </m:rPr>
          <m:t>=</m:t>
        </m:r>
        <m:r>
          <m:t>0</m:t>
        </m:r>
      </m:oMath>
      <w:r>
        <w:t xml:space="preserve">.</w:t>
      </w:r>
    </w:p>
    <w:tbl>
      <w:tblPr>
        <w:tblStyle w:val="Table"/>
        <w:tblW w:type="pct" w:w="5000"/>
        <w:tblLayout w:type="fixed"/>
        <w:tblLook w:firstRow="1" w:lastRow="0" w:firstColumn="0" w:lastColumn="0" w:noHBand="0" w:noVBand="0" w:val="0020"/>
        <w:jc w:val="start"/>
      </w:tblPr>
      <w:tblGrid>
        <w:gridCol w:w="1649"/>
        <w:gridCol w:w="1649"/>
        <w:gridCol w:w="1649"/>
        <w:gridCol w:w="1649"/>
        <w:gridCol w:w="1649"/>
        <w:gridCol w:w="1649"/>
      </w:tblGrid>
      <w:tr>
        <w:trPr>
          <w:tblHeader w:val="true"/>
          <w:cantSplit/>
          <w:tblHeader/>
        </w:trPr>
        <w:tc>
          <w:tcPr>
            <w:tcW w:type="dxa" w:w="1649"/>
            <w:shd w:fill="EEEEEE"/>
          </w:tcPr>
          <w:p>
            <w:pPr>
              <w:pStyle w:val="Compact"/>
              <w:spacing w:after="80" w:line="240" w:lineRule="auto"/>
              <w:jc w:val="left"/>
            </w:pPr>
            <w:r>
              <w:rPr>
                <w:b/>
                <w:sz w:val="17"/>
              </w:rPr>
              <w:t xml:space="preserve">Mechanism</w:t>
            </w:r>
          </w:p>
        </w:tc>
        <w:tc>
          <w:tcPr>
            <w:tcW w:type="dxa" w:w="1649"/>
            <w:shd w:fill="EEEEEE"/>
          </w:tcPr>
          <w:p>
            <w:pPr>
              <w:pStyle w:val="Compact"/>
              <w:spacing w:after="80" w:line="240" w:lineRule="auto"/>
              <w:jc w:val="right"/>
            </w:pPr>
            <w:r>
              <w:rPr>
                <w:b/>
                <w:sz w:val="17"/>
              </w:rPr>
              <w:t xml:space="preserve">Rows/group</w:t>
            </w:r>
          </w:p>
        </w:tc>
        <w:tc>
          <w:tcPr>
            <w:tcW w:type="dxa" w:w="1649"/>
            <w:shd w:fill="EEEEEE"/>
          </w:tcPr>
          <w:p>
            <w:pPr>
              <w:pStyle w:val="Compact"/>
              <w:spacing w:after="80" w:line="240" w:lineRule="auto"/>
              <w:jc w:val="right"/>
            </w:pPr>
            <w:r>
              <w:rPr>
                <w:b/>
                <w:sz w:val="17"/>
              </w:rPr>
              <w:t xml:space="preserve">Raw difference</w:t>
            </w:r>
          </w:p>
        </w:tc>
        <w:tc>
          <w:tcPr>
            <w:tcW w:type="dxa" w:w="1649"/>
            <w:shd w:fill="EEEEEE"/>
          </w:tcPr>
          <w:p>
            <w:pPr>
              <w:pStyle w:val="Compact"/>
              <w:spacing w:after="80" w:line="240" w:lineRule="auto"/>
              <w:jc w:val="right"/>
            </w:pPr>
            <w:r>
              <w:rPr>
                <w:b/>
                <w:sz w:val="17"/>
              </w:rPr>
              <w:t xml:space="preserve">Shrunken difference</w:t>
            </w:r>
          </w:p>
        </w:tc>
        <w:tc>
          <w:tcPr>
            <w:tcW w:type="dxa" w:w="1649"/>
            <w:shd w:fill="EEEEEE"/>
          </w:tcPr>
          <w:p>
            <w:pPr>
              <w:pStyle w:val="Compact"/>
              <w:spacing w:after="80" w:line="240" w:lineRule="auto"/>
              <w:jc w:val="right"/>
            </w:pPr>
            <w:r>
              <w:rPr>
                <w:b/>
                <w:sz w:val="17"/>
              </w:rPr>
              <w:t xml:space="preserve">Raw positive intervals</w:t>
            </w:r>
          </w:p>
        </w:tc>
        <w:tc>
          <w:tcPr>
            <w:tcW w:type="dxa" w:w="1649"/>
            <w:shd w:fill="EEEEEE"/>
          </w:tcPr>
          <w:p>
            <w:pPr>
              <w:pStyle w:val="Compact"/>
              <w:spacing w:after="80" w:line="240" w:lineRule="auto"/>
              <w:jc w:val="right"/>
            </w:pPr>
            <w:r>
              <w:rPr>
                <w:b/>
                <w:sz w:val="17"/>
              </w:rPr>
              <w:t xml:space="preserve">Shrunken positive intervals</w:t>
            </w:r>
          </w:p>
        </w:tc>
      </w:tr>
      <w:tr>
        <w:trPr>
          <w:cantSplit/>
        </w:trPr>
        <w:tc>
          <w:tcPr>
            <w:tcW w:type="dxa" w:w="1649"/>
          </w:tcPr>
          <w:p>
            <w:pPr>
              <w:pStyle w:val="Compact"/>
              <w:spacing w:after="80" w:line="240" w:lineRule="auto"/>
              <w:jc w:val="left"/>
            </w:pPr>
            <w:r>
              <w:rPr>
                <w:sz w:val="17"/>
              </w:rPr>
              <w:t xml:space="preserve">Pure noise</w:t>
            </w:r>
          </w:p>
        </w:tc>
        <w:tc>
          <w:tcPr>
            <w:tcW w:type="dxa" w:w="1649"/>
          </w:tcPr>
          <w:p>
            <w:pPr>
              <w:pStyle w:val="Compact"/>
              <w:spacing w:after="80" w:line="240" w:lineRule="auto"/>
              <w:jc w:val="right"/>
            </w:pPr>
            <w:r>
              <w:rPr>
                <w:sz w:val="17"/>
              </w:rPr>
              <w:t xml:space="preserve">2</w:t>
            </w:r>
          </w:p>
        </w:tc>
        <w:tc>
          <w:tcPr>
            <w:tcW w:type="dxa" w:w="1649"/>
          </w:tcPr>
          <w:p>
            <w:pPr>
              <w:pStyle w:val="Compact"/>
              <w:spacing w:after="80" w:line="240" w:lineRule="auto"/>
              <w:jc w:val="right"/>
            </w:pPr>
            <w:r>
              <w:rPr>
                <w:sz w:val="17"/>
              </w:rPr>
              <w:t xml:space="preserve">+0.7876</w:t>
            </w:r>
          </w:p>
        </w:tc>
        <w:tc>
          <w:tcPr>
            <w:tcW w:type="dxa" w:w="1649"/>
          </w:tcPr>
          <w:p>
            <w:pPr>
              <w:pStyle w:val="Compact"/>
              <w:spacing w:after="80" w:line="240" w:lineRule="auto"/>
              <w:jc w:val="right"/>
            </w:pPr>
            <w:r>
              <w:rPr>
                <w:sz w:val="17"/>
              </w:rPr>
              <w:t xml:space="preserve">−0.0167</w:t>
            </w:r>
          </w:p>
        </w:tc>
        <w:tc>
          <w:tcPr>
            <w:tcW w:type="dxa" w:w="1649"/>
          </w:tcPr>
          <w:p>
            <w:pPr>
              <w:pStyle w:val="Compact"/>
              <w:spacing w:after="80" w:line="240" w:lineRule="auto"/>
              <w:jc w:val="right"/>
            </w:pPr>
            <w:r>
              <w:rPr>
                <w:sz w:val="17"/>
              </w:rPr>
              <w:t xml:space="preserve">99</w:t>
            </w:r>
          </w:p>
        </w:tc>
        <w:tc>
          <w:tcPr>
            <w:tcW w:type="dxa" w:w="1649"/>
          </w:tcPr>
          <w:p>
            <w:pPr>
              <w:pStyle w:val="Compact"/>
              <w:spacing w:after="80" w:line="240" w:lineRule="auto"/>
              <w:jc w:val="right"/>
            </w:pPr>
            <w:r>
              <w:rPr>
                <w:sz w:val="17"/>
              </w:rPr>
              <w:t xml:space="preserve">1</w:t>
            </w:r>
          </w:p>
        </w:tc>
      </w:tr>
      <w:tr>
        <w:trPr>
          <w:cantSplit/>
        </w:trPr>
        <w:tc>
          <w:tcPr>
            <w:tcW w:type="dxa" w:w="1649"/>
          </w:tcPr>
          <w:p>
            <w:pPr>
              <w:pStyle w:val="Compact"/>
              <w:spacing w:after="80" w:line="240" w:lineRule="auto"/>
              <w:jc w:val="left"/>
            </w:pPr>
            <w:r>
              <w:rPr>
                <w:sz w:val="17"/>
              </w:rPr>
              <w:t xml:space="preserve">Pure noise</w:t>
            </w:r>
          </w:p>
        </w:tc>
        <w:tc>
          <w:tcPr>
            <w:tcW w:type="dxa" w:w="1649"/>
          </w:tcPr>
          <w:p>
            <w:pPr>
              <w:pStyle w:val="Compact"/>
              <w:spacing w:after="80" w:line="240" w:lineRule="auto"/>
              <w:jc w:val="right"/>
            </w:pPr>
            <w:r>
              <w:rPr>
                <w:sz w:val="17"/>
              </w:rPr>
              <w:t xml:space="preserve">5</w:t>
            </w:r>
          </w:p>
        </w:tc>
        <w:tc>
          <w:tcPr>
            <w:tcW w:type="dxa" w:w="1649"/>
          </w:tcPr>
          <w:p>
            <w:pPr>
              <w:pStyle w:val="Compact"/>
              <w:spacing w:after="80" w:line="240" w:lineRule="auto"/>
              <w:jc w:val="right"/>
            </w:pPr>
            <w:r>
              <w:rPr>
                <w:sz w:val="17"/>
              </w:rPr>
              <w:t xml:space="preserve">+0.0973</w:t>
            </w:r>
          </w:p>
        </w:tc>
        <w:tc>
          <w:tcPr>
            <w:tcW w:type="dxa" w:w="1649"/>
          </w:tcPr>
          <w:p>
            <w:pPr>
              <w:pStyle w:val="Compact"/>
              <w:spacing w:after="80" w:line="240" w:lineRule="auto"/>
              <w:jc w:val="right"/>
            </w:pPr>
            <w:r>
              <w:rPr>
                <w:sz w:val="17"/>
              </w:rPr>
              <w:t xml:space="preserve">−0.2320</w:t>
            </w:r>
          </w:p>
        </w:tc>
        <w:tc>
          <w:tcPr>
            <w:tcW w:type="dxa" w:w="1649"/>
          </w:tcPr>
          <w:p>
            <w:pPr>
              <w:pStyle w:val="Compact"/>
              <w:spacing w:after="80" w:line="240" w:lineRule="auto"/>
              <w:jc w:val="right"/>
            </w:pPr>
            <w:r>
              <w:rPr>
                <w:sz w:val="17"/>
              </w:rPr>
              <w:t xml:space="preserve">90</w:t>
            </w:r>
          </w:p>
        </w:tc>
        <w:tc>
          <w:tcPr>
            <w:tcW w:type="dxa" w:w="1649"/>
          </w:tcPr>
          <w:p>
            <w:pPr>
              <w:pStyle w:val="Compact"/>
              <w:spacing w:after="80" w:line="240" w:lineRule="auto"/>
              <w:jc w:val="right"/>
            </w:pPr>
            <w:r>
              <w:rPr>
                <w:sz w:val="17"/>
              </w:rPr>
              <w:t xml:space="preserve">0</w:t>
            </w:r>
          </w:p>
        </w:tc>
      </w:tr>
      <w:tr>
        <w:trPr>
          <w:cantSplit/>
        </w:trPr>
        <w:tc>
          <w:tcPr>
            <w:tcW w:type="dxa" w:w="1649"/>
          </w:tcPr>
          <w:p>
            <w:pPr>
              <w:pStyle w:val="Compact"/>
              <w:spacing w:after="80" w:line="240" w:lineRule="auto"/>
              <w:jc w:val="left"/>
            </w:pPr>
            <w:r>
              <w:rPr>
                <w:sz w:val="17"/>
              </w:rPr>
              <w:t xml:space="preserve">Pure noise</w:t>
            </w:r>
          </w:p>
        </w:tc>
        <w:tc>
          <w:tcPr>
            <w:tcW w:type="dxa" w:w="1649"/>
          </w:tcPr>
          <w:p>
            <w:pPr>
              <w:pStyle w:val="Compact"/>
              <w:spacing w:after="80" w:line="240" w:lineRule="auto"/>
              <w:jc w:val="right"/>
            </w:pPr>
            <w:r>
              <w:rPr>
                <w:sz w:val="17"/>
              </w:rPr>
              <w:t xml:space="preserve">10</w:t>
            </w:r>
          </w:p>
        </w:tc>
        <w:tc>
          <w:tcPr>
            <w:tcW w:type="dxa" w:w="1649"/>
          </w:tcPr>
          <w:p>
            <w:pPr>
              <w:pStyle w:val="Compact"/>
              <w:spacing w:after="80" w:line="240" w:lineRule="auto"/>
              <w:jc w:val="right"/>
            </w:pPr>
            <w:r>
              <w:rPr>
                <w:sz w:val="17"/>
              </w:rPr>
              <w:t xml:space="preserve">−0.0390</w:t>
            </w:r>
          </w:p>
        </w:tc>
        <w:tc>
          <w:tcPr>
            <w:tcW w:type="dxa" w:w="1649"/>
          </w:tcPr>
          <w:p>
            <w:pPr>
              <w:pStyle w:val="Compact"/>
              <w:spacing w:after="80" w:line="240" w:lineRule="auto"/>
              <w:jc w:val="right"/>
            </w:pPr>
            <w:r>
              <w:rPr>
                <w:sz w:val="17"/>
              </w:rPr>
              <w:t xml:space="preserve">−0.1772</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right"/>
            </w:pPr>
            <w:r>
              <w:rPr>
                <w:sz w:val="17"/>
              </w:rPr>
              <w:t xml:space="preserve">0</w:t>
            </w:r>
          </w:p>
        </w:tc>
      </w:tr>
      <w:tr>
        <w:trPr>
          <w:cantSplit/>
        </w:trPr>
        <w:tc>
          <w:tcPr>
            <w:tcW w:type="dxa" w:w="1649"/>
          </w:tcPr>
          <w:p>
            <w:pPr>
              <w:pStyle w:val="Compact"/>
              <w:spacing w:after="80" w:line="240" w:lineRule="auto"/>
              <w:jc w:val="left"/>
            </w:pPr>
            <w:r>
              <w:rPr>
                <w:sz w:val="17"/>
              </w:rPr>
              <w:t xml:space="preserve">Between-group only</w:t>
            </w:r>
          </w:p>
        </w:tc>
        <w:tc>
          <w:tcPr>
            <w:tcW w:type="dxa" w:w="1649"/>
          </w:tcPr>
          <w:p>
            <w:pPr>
              <w:pStyle w:val="Compact"/>
              <w:spacing w:after="80" w:line="240" w:lineRule="auto"/>
              <w:jc w:val="right"/>
            </w:pPr>
            <w:r>
              <w:rPr>
                <w:sz w:val="17"/>
              </w:rPr>
              <w:t xml:space="preserve">2</w:t>
            </w:r>
          </w:p>
        </w:tc>
        <w:tc>
          <w:tcPr>
            <w:tcW w:type="dxa" w:w="1649"/>
          </w:tcPr>
          <w:p>
            <w:pPr>
              <w:pStyle w:val="Compact"/>
              <w:spacing w:after="80" w:line="240" w:lineRule="auto"/>
              <w:jc w:val="right"/>
            </w:pPr>
            <w:r>
              <w:rPr>
                <w:sz w:val="17"/>
              </w:rPr>
              <w:t xml:space="preserve">+0.2909</w:t>
            </w:r>
          </w:p>
        </w:tc>
        <w:tc>
          <w:tcPr>
            <w:tcW w:type="dxa" w:w="1649"/>
          </w:tcPr>
          <w:p>
            <w:pPr>
              <w:pStyle w:val="Compact"/>
              <w:spacing w:after="80" w:line="240" w:lineRule="auto"/>
              <w:jc w:val="right"/>
            </w:pPr>
            <w:r>
              <w:rPr>
                <w:sz w:val="17"/>
              </w:rPr>
              <w:t xml:space="preserve">+0.0996</w:t>
            </w:r>
          </w:p>
        </w:tc>
        <w:tc>
          <w:tcPr>
            <w:tcW w:type="dxa" w:w="1649"/>
          </w:tcPr>
          <w:p>
            <w:pPr>
              <w:pStyle w:val="Compact"/>
              <w:spacing w:after="80" w:line="240" w:lineRule="auto"/>
              <w:jc w:val="right"/>
            </w:pPr>
            <w:r>
              <w:rPr>
                <w:sz w:val="17"/>
              </w:rPr>
              <w:t xml:space="preserve">85</w:t>
            </w:r>
          </w:p>
        </w:tc>
        <w:tc>
          <w:tcPr>
            <w:tcW w:type="dxa" w:w="1649"/>
          </w:tcPr>
          <w:p>
            <w:pPr>
              <w:pStyle w:val="Compact"/>
              <w:spacing w:after="80" w:line="240" w:lineRule="auto"/>
              <w:jc w:val="right"/>
            </w:pPr>
            <w:r>
              <w:rPr>
                <w:sz w:val="17"/>
              </w:rPr>
              <w:t xml:space="preserve">45</w:t>
            </w:r>
          </w:p>
        </w:tc>
      </w:tr>
      <w:tr>
        <w:trPr>
          <w:cantSplit/>
        </w:trPr>
        <w:tc>
          <w:tcPr>
            <w:tcW w:type="dxa" w:w="1649"/>
          </w:tcPr>
          <w:p>
            <w:pPr>
              <w:pStyle w:val="Compact"/>
              <w:spacing w:after="80" w:line="240" w:lineRule="auto"/>
              <w:jc w:val="left"/>
            </w:pPr>
            <w:r>
              <w:rPr>
                <w:sz w:val="17"/>
              </w:rPr>
              <w:t xml:space="preserve">Between-group only</w:t>
            </w:r>
          </w:p>
        </w:tc>
        <w:tc>
          <w:tcPr>
            <w:tcW w:type="dxa" w:w="1649"/>
          </w:tcPr>
          <w:p>
            <w:pPr>
              <w:pStyle w:val="Compact"/>
              <w:spacing w:after="80" w:line="240" w:lineRule="auto"/>
              <w:jc w:val="right"/>
            </w:pPr>
            <w:r>
              <w:rPr>
                <w:sz w:val="17"/>
              </w:rPr>
              <w:t xml:space="preserve">5</w:t>
            </w:r>
          </w:p>
        </w:tc>
        <w:tc>
          <w:tcPr>
            <w:tcW w:type="dxa" w:w="1649"/>
          </w:tcPr>
          <w:p>
            <w:pPr>
              <w:pStyle w:val="Compact"/>
              <w:spacing w:after="80" w:line="240" w:lineRule="auto"/>
              <w:jc w:val="right"/>
            </w:pPr>
            <w:r>
              <w:rPr>
                <w:sz w:val="17"/>
              </w:rPr>
              <w:t xml:space="preserve">+0.0347</w:t>
            </w:r>
          </w:p>
        </w:tc>
        <w:tc>
          <w:tcPr>
            <w:tcW w:type="dxa" w:w="1649"/>
          </w:tcPr>
          <w:p>
            <w:pPr>
              <w:pStyle w:val="Compact"/>
              <w:spacing w:after="80" w:line="240" w:lineRule="auto"/>
              <w:jc w:val="right"/>
            </w:pPr>
            <w:r>
              <w:rPr>
                <w:sz w:val="17"/>
              </w:rPr>
              <w:t xml:space="preserve">−0.0067</w:t>
            </w:r>
          </w:p>
        </w:tc>
        <w:tc>
          <w:tcPr>
            <w:tcW w:type="dxa" w:w="1649"/>
          </w:tcPr>
          <w:p>
            <w:pPr>
              <w:pStyle w:val="Compact"/>
              <w:spacing w:after="80" w:line="240" w:lineRule="auto"/>
              <w:jc w:val="right"/>
            </w:pPr>
            <w:r>
              <w:rPr>
                <w:sz w:val="17"/>
              </w:rPr>
              <w:t xml:space="preserve">61</w:t>
            </w:r>
          </w:p>
        </w:tc>
        <w:tc>
          <w:tcPr>
            <w:tcW w:type="dxa" w:w="1649"/>
          </w:tcPr>
          <w:p>
            <w:pPr>
              <w:pStyle w:val="Compact"/>
              <w:spacing w:after="80" w:line="240" w:lineRule="auto"/>
              <w:jc w:val="right"/>
            </w:pPr>
            <w:r>
              <w:rPr>
                <w:sz w:val="17"/>
              </w:rPr>
              <w:t xml:space="preserve">0</w:t>
            </w:r>
          </w:p>
        </w:tc>
      </w:tr>
      <w:tr>
        <w:trPr>
          <w:cantSplit/>
        </w:trPr>
        <w:tc>
          <w:tcPr>
            <w:tcW w:type="dxa" w:w="1649"/>
          </w:tcPr>
          <w:p>
            <w:pPr>
              <w:pStyle w:val="Compact"/>
              <w:spacing w:after="80" w:line="240" w:lineRule="auto"/>
              <w:jc w:val="left"/>
            </w:pPr>
            <w:r>
              <w:rPr>
                <w:sz w:val="17"/>
              </w:rPr>
              <w:t xml:space="preserve">Between-group only</w:t>
            </w:r>
          </w:p>
        </w:tc>
        <w:tc>
          <w:tcPr>
            <w:tcW w:type="dxa" w:w="1649"/>
          </w:tcPr>
          <w:p>
            <w:pPr>
              <w:pStyle w:val="Compact"/>
              <w:spacing w:after="80" w:line="240" w:lineRule="auto"/>
              <w:jc w:val="right"/>
            </w:pPr>
            <w:r>
              <w:rPr>
                <w:sz w:val="17"/>
              </w:rPr>
              <w:t xml:space="preserve">10</w:t>
            </w:r>
          </w:p>
        </w:tc>
        <w:tc>
          <w:tcPr>
            <w:tcW w:type="dxa" w:w="1649"/>
          </w:tcPr>
          <w:p>
            <w:pPr>
              <w:pStyle w:val="Compact"/>
              <w:spacing w:after="80" w:line="240" w:lineRule="auto"/>
              <w:jc w:val="right"/>
            </w:pPr>
            <w:r>
              <w:rPr>
                <w:sz w:val="17"/>
              </w:rPr>
              <w:t xml:space="preserve">−0.0170</w:t>
            </w:r>
          </w:p>
        </w:tc>
        <w:tc>
          <w:tcPr>
            <w:tcW w:type="dxa" w:w="1649"/>
          </w:tcPr>
          <w:p>
            <w:pPr>
              <w:pStyle w:val="Compact"/>
              <w:spacing w:after="80" w:line="240" w:lineRule="auto"/>
              <w:jc w:val="right"/>
            </w:pPr>
            <w:r>
              <w:rPr>
                <w:sz w:val="17"/>
              </w:rPr>
              <w:t xml:space="preserve">−0.0264</w:t>
            </w:r>
          </w:p>
        </w:tc>
        <w:tc>
          <w:tcPr>
            <w:tcW w:type="dxa" w:w="1649"/>
          </w:tcPr>
          <w:p>
            <w:pPr>
              <w:pStyle w:val="Compact"/>
              <w:spacing w:after="80" w:line="240" w:lineRule="auto"/>
              <w:jc w:val="right"/>
            </w:pPr>
            <w:r>
              <w:rPr>
                <w:sz w:val="17"/>
              </w:rPr>
              <w:t xml:space="preserve">0</w:t>
            </w:r>
          </w:p>
        </w:tc>
        <w:tc>
          <w:tcPr>
            <w:tcW w:type="dxa" w:w="1649"/>
          </w:tcPr>
          <w:p>
            <w:pPr>
              <w:pStyle w:val="Compact"/>
              <w:spacing w:after="80" w:line="240" w:lineRule="auto"/>
              <w:jc w:val="right"/>
            </w:pPr>
            <w:r>
              <w:rPr>
                <w:sz w:val="17"/>
              </w:rPr>
              <w:t xml:space="preserve">0</w:t>
            </w:r>
          </w:p>
        </w:tc>
      </w:tr>
      <w:tr>
        <w:trPr>
          <w:cantSplit/>
        </w:trPr>
        <w:tc>
          <w:tcPr>
            <w:tcW w:type="dxa" w:w="1649"/>
          </w:tcPr>
          <w:p>
            <w:pPr>
              <w:pStyle w:val="Compact"/>
              <w:spacing w:after="80" w:line="240" w:lineRule="auto"/>
              <w:jc w:val="left"/>
            </w:pPr>
            <w:r>
              <w:rPr>
                <w:sz w:val="17"/>
              </w:rPr>
              <w:t xml:space="preserve">Shared within-group slope</w:t>
            </w:r>
          </w:p>
        </w:tc>
        <w:tc>
          <w:tcPr>
            <w:tcW w:type="dxa" w:w="1649"/>
          </w:tcPr>
          <w:p>
            <w:pPr>
              <w:pStyle w:val="Compact"/>
              <w:spacing w:after="80" w:line="240" w:lineRule="auto"/>
              <w:jc w:val="right"/>
            </w:pPr>
            <w:r>
              <w:rPr>
                <w:sz w:val="17"/>
              </w:rPr>
              <w:t xml:space="preserve">2</w:t>
            </w:r>
          </w:p>
        </w:tc>
        <w:tc>
          <w:tcPr>
            <w:tcW w:type="dxa" w:w="1649"/>
          </w:tcPr>
          <w:p>
            <w:pPr>
              <w:pStyle w:val="Compact"/>
              <w:spacing w:after="80" w:line="240" w:lineRule="auto"/>
              <w:jc w:val="right"/>
            </w:pPr>
            <w:r>
              <w:rPr>
                <w:sz w:val="17"/>
              </w:rPr>
              <w:t xml:space="preserve">+0.7714</w:t>
            </w:r>
          </w:p>
        </w:tc>
        <w:tc>
          <w:tcPr>
            <w:tcW w:type="dxa" w:w="1649"/>
          </w:tcPr>
          <w:p>
            <w:pPr>
              <w:pStyle w:val="Compact"/>
              <w:spacing w:after="80" w:line="240" w:lineRule="auto"/>
              <w:jc w:val="right"/>
            </w:pPr>
            <w:r>
              <w:rPr>
                <w:sz w:val="17"/>
              </w:rPr>
              <w:t xml:space="preserve">+0.4035</w:t>
            </w:r>
          </w:p>
        </w:tc>
        <w:tc>
          <w:tcPr>
            <w:tcW w:type="dxa" w:w="1649"/>
          </w:tcPr>
          <w:p>
            <w:pPr>
              <w:pStyle w:val="Compact"/>
              <w:spacing w:after="80" w:line="240" w:lineRule="auto"/>
              <w:jc w:val="right"/>
            </w:pPr>
            <w:r>
              <w:rPr>
                <w:sz w:val="17"/>
              </w:rPr>
              <w:t xml:space="preserve">100</w:t>
            </w:r>
          </w:p>
        </w:tc>
        <w:tc>
          <w:tcPr>
            <w:tcW w:type="dxa" w:w="1649"/>
          </w:tcPr>
          <w:p>
            <w:pPr>
              <w:pStyle w:val="Compact"/>
              <w:spacing w:after="80" w:line="240" w:lineRule="auto"/>
              <w:jc w:val="right"/>
            </w:pPr>
            <w:r>
              <w:rPr>
                <w:sz w:val="17"/>
              </w:rPr>
              <w:t xml:space="preserve">100</w:t>
            </w:r>
          </w:p>
        </w:tc>
      </w:tr>
      <w:tr>
        <w:trPr>
          <w:cantSplit/>
        </w:trPr>
        <w:tc>
          <w:tcPr>
            <w:tcW w:type="dxa" w:w="1649"/>
          </w:tcPr>
          <w:p>
            <w:pPr>
              <w:pStyle w:val="Compact"/>
              <w:spacing w:after="80" w:line="240" w:lineRule="auto"/>
              <w:jc w:val="left"/>
            </w:pPr>
            <w:r>
              <w:rPr>
                <w:sz w:val="17"/>
              </w:rPr>
              <w:t xml:space="preserve">Shared within-group slope</w:t>
            </w:r>
          </w:p>
        </w:tc>
        <w:tc>
          <w:tcPr>
            <w:tcW w:type="dxa" w:w="1649"/>
          </w:tcPr>
          <w:p>
            <w:pPr>
              <w:pStyle w:val="Compact"/>
              <w:spacing w:after="80" w:line="240" w:lineRule="auto"/>
              <w:jc w:val="right"/>
            </w:pPr>
            <w:r>
              <w:rPr>
                <w:sz w:val="17"/>
              </w:rPr>
              <w:t xml:space="preserve">5</w:t>
            </w:r>
          </w:p>
        </w:tc>
        <w:tc>
          <w:tcPr>
            <w:tcW w:type="dxa" w:w="1649"/>
          </w:tcPr>
          <w:p>
            <w:pPr>
              <w:pStyle w:val="Compact"/>
              <w:spacing w:after="80" w:line="240" w:lineRule="auto"/>
              <w:jc w:val="right"/>
            </w:pPr>
            <w:r>
              <w:rPr>
                <w:sz w:val="17"/>
              </w:rPr>
              <w:t xml:space="preserve">+0.3950</w:t>
            </w:r>
          </w:p>
        </w:tc>
        <w:tc>
          <w:tcPr>
            <w:tcW w:type="dxa" w:w="1649"/>
          </w:tcPr>
          <w:p>
            <w:pPr>
              <w:pStyle w:val="Compact"/>
              <w:spacing w:after="80" w:line="240" w:lineRule="auto"/>
              <w:jc w:val="right"/>
            </w:pPr>
            <w:r>
              <w:rPr>
                <w:sz w:val="17"/>
              </w:rPr>
              <w:t xml:space="preserve">+0.3108</w:t>
            </w:r>
          </w:p>
        </w:tc>
        <w:tc>
          <w:tcPr>
            <w:tcW w:type="dxa" w:w="1649"/>
          </w:tcPr>
          <w:p>
            <w:pPr>
              <w:pStyle w:val="Compact"/>
              <w:spacing w:after="80" w:line="240" w:lineRule="auto"/>
              <w:jc w:val="right"/>
            </w:pPr>
            <w:r>
              <w:rPr>
                <w:sz w:val="17"/>
              </w:rPr>
              <w:t xml:space="preserve">100</w:t>
            </w:r>
          </w:p>
        </w:tc>
        <w:tc>
          <w:tcPr>
            <w:tcW w:type="dxa" w:w="1649"/>
          </w:tcPr>
          <w:p>
            <w:pPr>
              <w:pStyle w:val="Compact"/>
              <w:spacing w:after="80" w:line="240" w:lineRule="auto"/>
              <w:jc w:val="right"/>
            </w:pPr>
            <w:r>
              <w:rPr>
                <w:sz w:val="17"/>
              </w:rPr>
              <w:t xml:space="preserve">100</w:t>
            </w:r>
          </w:p>
        </w:tc>
      </w:tr>
      <w:tr>
        <w:trPr>
          <w:cantSplit/>
        </w:trPr>
        <w:tc>
          <w:tcPr>
            <w:tcW w:type="dxa" w:w="1649"/>
          </w:tcPr>
          <w:p>
            <w:pPr>
              <w:pStyle w:val="Compact"/>
              <w:spacing w:after="80" w:line="240" w:lineRule="auto"/>
              <w:jc w:val="left"/>
            </w:pPr>
            <w:r>
              <w:rPr>
                <w:sz w:val="17"/>
              </w:rPr>
              <w:t xml:space="preserve">Shared within-group slope</w:t>
            </w:r>
          </w:p>
        </w:tc>
        <w:tc>
          <w:tcPr>
            <w:tcW w:type="dxa" w:w="1649"/>
          </w:tcPr>
          <w:p>
            <w:pPr>
              <w:pStyle w:val="Compact"/>
              <w:spacing w:after="80" w:line="240" w:lineRule="auto"/>
              <w:jc w:val="right"/>
            </w:pPr>
            <w:r>
              <w:rPr>
                <w:sz w:val="17"/>
              </w:rPr>
              <w:t xml:space="preserve">10</w:t>
            </w:r>
          </w:p>
        </w:tc>
        <w:tc>
          <w:tcPr>
            <w:tcW w:type="dxa" w:w="1649"/>
          </w:tcPr>
          <w:p>
            <w:pPr>
              <w:pStyle w:val="Compact"/>
              <w:spacing w:after="80" w:line="240" w:lineRule="auto"/>
              <w:jc w:val="right"/>
            </w:pPr>
            <w:r>
              <w:rPr>
                <w:sz w:val="17"/>
              </w:rPr>
              <w:t xml:space="preserve">+0.3331</w:t>
            </w:r>
          </w:p>
        </w:tc>
        <w:tc>
          <w:tcPr>
            <w:tcW w:type="dxa" w:w="1649"/>
          </w:tcPr>
          <w:p>
            <w:pPr>
              <w:pStyle w:val="Compact"/>
              <w:spacing w:after="80" w:line="240" w:lineRule="auto"/>
              <w:jc w:val="right"/>
            </w:pPr>
            <w:r>
              <w:rPr>
                <w:sz w:val="17"/>
              </w:rPr>
              <w:t xml:space="preserve">+0.3129</w:t>
            </w:r>
          </w:p>
        </w:tc>
        <w:tc>
          <w:tcPr>
            <w:tcW w:type="dxa" w:w="1649"/>
          </w:tcPr>
          <w:p>
            <w:pPr>
              <w:pStyle w:val="Compact"/>
              <w:spacing w:after="80" w:line="240" w:lineRule="auto"/>
              <w:jc w:val="right"/>
            </w:pPr>
            <w:r>
              <w:rPr>
                <w:sz w:val="17"/>
              </w:rPr>
              <w:t xml:space="preserve">100</w:t>
            </w:r>
          </w:p>
        </w:tc>
        <w:tc>
          <w:tcPr>
            <w:tcW w:type="dxa" w:w="1649"/>
          </w:tcPr>
          <w:p>
            <w:pPr>
              <w:pStyle w:val="Compact"/>
              <w:spacing w:after="80" w:line="240" w:lineRule="auto"/>
              <w:jc w:val="right"/>
            </w:pPr>
            <w:r>
              <w:rPr>
                <w:sz w:val="17"/>
              </w:rPr>
              <w:t xml:space="preserve">100</w:t>
            </w:r>
          </w:p>
        </w:tc>
      </w:tr>
      <w:tr>
        <w:trPr>
          <w:cantSplit/>
        </w:trPr>
        <w:tc>
          <w:tcPr>
            <w:tcW w:type="dxa" w:w="1649"/>
          </w:tcPr>
          <w:p>
            <w:pPr>
              <w:pStyle w:val="Compact"/>
              <w:spacing w:after="80" w:line="240" w:lineRule="auto"/>
              <w:jc w:val="left"/>
            </w:pPr>
            <w:r>
              <w:rPr>
                <w:sz w:val="17"/>
              </w:rPr>
              <w:t xml:space="preserve">Heterogeneous within-group slopes</w:t>
            </w:r>
          </w:p>
        </w:tc>
        <w:tc>
          <w:tcPr>
            <w:tcW w:type="dxa" w:w="1649"/>
          </w:tcPr>
          <w:p>
            <w:pPr>
              <w:pStyle w:val="Compact"/>
              <w:spacing w:after="80" w:line="240" w:lineRule="auto"/>
              <w:jc w:val="right"/>
            </w:pPr>
            <w:r>
              <w:rPr>
                <w:sz w:val="17"/>
              </w:rPr>
              <w:t xml:space="preserve">2</w:t>
            </w:r>
          </w:p>
        </w:tc>
        <w:tc>
          <w:tcPr>
            <w:tcW w:type="dxa" w:w="1649"/>
          </w:tcPr>
          <w:p>
            <w:pPr>
              <w:pStyle w:val="Compact"/>
              <w:spacing w:after="80" w:line="240" w:lineRule="auto"/>
              <w:jc w:val="right"/>
            </w:pPr>
            <w:r>
              <w:rPr>
                <w:sz w:val="17"/>
              </w:rPr>
              <w:t xml:space="preserve">+0.4619</w:t>
            </w:r>
          </w:p>
        </w:tc>
        <w:tc>
          <w:tcPr>
            <w:tcW w:type="dxa" w:w="1649"/>
          </w:tcPr>
          <w:p>
            <w:pPr>
              <w:pStyle w:val="Compact"/>
              <w:spacing w:after="80" w:line="240" w:lineRule="auto"/>
              <w:jc w:val="right"/>
            </w:pPr>
            <w:r>
              <w:rPr>
                <w:sz w:val="17"/>
              </w:rPr>
              <w:t xml:space="preserve">+0.1133</w:t>
            </w:r>
          </w:p>
        </w:tc>
        <w:tc>
          <w:tcPr>
            <w:tcW w:type="dxa" w:w="1649"/>
          </w:tcPr>
          <w:p>
            <w:pPr>
              <w:pStyle w:val="Compact"/>
              <w:spacing w:after="80" w:line="240" w:lineRule="auto"/>
              <w:jc w:val="right"/>
            </w:pPr>
            <w:r>
              <w:rPr>
                <w:sz w:val="17"/>
              </w:rPr>
              <w:t xml:space="preserve">92</w:t>
            </w:r>
          </w:p>
        </w:tc>
        <w:tc>
          <w:tcPr>
            <w:tcW w:type="dxa" w:w="1649"/>
          </w:tcPr>
          <w:p>
            <w:pPr>
              <w:pStyle w:val="Compact"/>
              <w:spacing w:after="80" w:line="240" w:lineRule="auto"/>
              <w:jc w:val="right"/>
            </w:pPr>
            <w:r>
              <w:rPr>
                <w:sz w:val="17"/>
              </w:rPr>
              <w:t xml:space="preserve">61</w:t>
            </w:r>
          </w:p>
        </w:tc>
      </w:tr>
      <w:tr>
        <w:trPr>
          <w:cantSplit/>
        </w:trPr>
        <w:tc>
          <w:tcPr>
            <w:tcW w:type="dxa" w:w="1649"/>
          </w:tcPr>
          <w:p>
            <w:pPr>
              <w:pStyle w:val="Compact"/>
              <w:spacing w:after="80" w:line="240" w:lineRule="auto"/>
              <w:jc w:val="left"/>
            </w:pPr>
            <w:r>
              <w:rPr>
                <w:sz w:val="17"/>
              </w:rPr>
              <w:t xml:space="preserve">Heterogeneous within-group slopes</w:t>
            </w:r>
          </w:p>
        </w:tc>
        <w:tc>
          <w:tcPr>
            <w:tcW w:type="dxa" w:w="1649"/>
          </w:tcPr>
          <w:p>
            <w:pPr>
              <w:pStyle w:val="Compact"/>
              <w:spacing w:after="80" w:line="240" w:lineRule="auto"/>
              <w:jc w:val="right"/>
            </w:pPr>
            <w:r>
              <w:rPr>
                <w:sz w:val="17"/>
              </w:rPr>
              <w:t xml:space="preserve">5</w:t>
            </w:r>
          </w:p>
        </w:tc>
        <w:tc>
          <w:tcPr>
            <w:tcW w:type="dxa" w:w="1649"/>
          </w:tcPr>
          <w:p>
            <w:pPr>
              <w:pStyle w:val="Compact"/>
              <w:spacing w:after="80" w:line="240" w:lineRule="auto"/>
              <w:jc w:val="right"/>
            </w:pPr>
            <w:r>
              <w:rPr>
                <w:sz w:val="17"/>
              </w:rPr>
              <w:t xml:space="preserve">+0.1340</w:t>
            </w:r>
          </w:p>
        </w:tc>
        <w:tc>
          <w:tcPr>
            <w:tcW w:type="dxa" w:w="1649"/>
          </w:tcPr>
          <w:p>
            <w:pPr>
              <w:pStyle w:val="Compact"/>
              <w:spacing w:after="80" w:line="240" w:lineRule="auto"/>
              <w:jc w:val="right"/>
            </w:pPr>
            <w:r>
              <w:rPr>
                <w:sz w:val="17"/>
              </w:rPr>
              <w:t xml:space="preserve">+0.0365</w:t>
            </w:r>
          </w:p>
        </w:tc>
        <w:tc>
          <w:tcPr>
            <w:tcW w:type="dxa" w:w="1649"/>
          </w:tcPr>
          <w:p>
            <w:pPr>
              <w:pStyle w:val="Compact"/>
              <w:spacing w:after="80" w:line="240" w:lineRule="auto"/>
              <w:jc w:val="right"/>
            </w:pPr>
            <w:r>
              <w:rPr>
                <w:sz w:val="17"/>
              </w:rPr>
              <w:t xml:space="preserve">99</w:t>
            </w:r>
          </w:p>
        </w:tc>
        <w:tc>
          <w:tcPr>
            <w:tcW w:type="dxa" w:w="1649"/>
          </w:tcPr>
          <w:p>
            <w:pPr>
              <w:pStyle w:val="Compact"/>
              <w:spacing w:after="80" w:line="240" w:lineRule="auto"/>
              <w:jc w:val="right"/>
            </w:pPr>
            <w:r>
              <w:rPr>
                <w:sz w:val="17"/>
              </w:rPr>
              <w:t xml:space="preserve">57</w:t>
            </w:r>
          </w:p>
        </w:tc>
      </w:tr>
      <w:tr>
        <w:trPr>
          <w:cantSplit/>
        </w:trPr>
        <w:tc>
          <w:tcPr>
            <w:tcW w:type="dxa" w:w="1649"/>
          </w:tcPr>
          <w:p>
            <w:pPr>
              <w:pStyle w:val="Compact"/>
              <w:spacing w:after="80" w:line="240" w:lineRule="auto"/>
              <w:jc w:val="left"/>
            </w:pPr>
            <w:r>
              <w:rPr>
                <w:sz w:val="17"/>
              </w:rPr>
              <w:t xml:space="preserve">Heterogeneous within-group slopes</w:t>
            </w:r>
          </w:p>
        </w:tc>
        <w:tc>
          <w:tcPr>
            <w:tcW w:type="dxa" w:w="1649"/>
          </w:tcPr>
          <w:p>
            <w:pPr>
              <w:pStyle w:val="Compact"/>
              <w:spacing w:after="80" w:line="240" w:lineRule="auto"/>
              <w:jc w:val="right"/>
            </w:pPr>
            <w:r>
              <w:rPr>
                <w:sz w:val="17"/>
              </w:rPr>
              <w:t xml:space="preserve">10</w:t>
            </w:r>
          </w:p>
        </w:tc>
        <w:tc>
          <w:tcPr>
            <w:tcW w:type="dxa" w:w="1649"/>
          </w:tcPr>
          <w:p>
            <w:pPr>
              <w:pStyle w:val="Compact"/>
              <w:spacing w:after="80" w:line="240" w:lineRule="auto"/>
              <w:jc w:val="right"/>
            </w:pPr>
            <w:r>
              <w:rPr>
                <w:sz w:val="17"/>
              </w:rPr>
              <w:t xml:space="preserve">+0.1839</w:t>
            </w:r>
          </w:p>
        </w:tc>
        <w:tc>
          <w:tcPr>
            <w:tcW w:type="dxa" w:w="1649"/>
          </w:tcPr>
          <w:p>
            <w:pPr>
              <w:pStyle w:val="Compact"/>
              <w:spacing w:after="80" w:line="240" w:lineRule="auto"/>
              <w:jc w:val="right"/>
            </w:pPr>
            <w:r>
              <w:rPr>
                <w:sz w:val="17"/>
              </w:rPr>
              <w:t xml:space="preserve">+0.1651</w:t>
            </w:r>
          </w:p>
        </w:tc>
        <w:tc>
          <w:tcPr>
            <w:tcW w:type="dxa" w:w="1649"/>
          </w:tcPr>
          <w:p>
            <w:pPr>
              <w:pStyle w:val="Compact"/>
              <w:spacing w:after="80" w:line="240" w:lineRule="auto"/>
              <w:jc w:val="right"/>
            </w:pPr>
            <w:r>
              <w:rPr>
                <w:sz w:val="17"/>
              </w:rPr>
              <w:t xml:space="preserve">100</w:t>
            </w:r>
          </w:p>
        </w:tc>
        <w:tc>
          <w:tcPr>
            <w:tcW w:type="dxa" w:w="1649"/>
          </w:tcPr>
          <w:p>
            <w:pPr>
              <w:pStyle w:val="Compact"/>
              <w:spacing w:after="80" w:line="240" w:lineRule="auto"/>
              <w:jc w:val="right"/>
            </w:pPr>
            <w:r>
              <w:rPr>
                <w:sz w:val="17"/>
              </w:rPr>
              <w:t xml:space="preserve">100</w:t>
            </w:r>
          </w:p>
        </w:tc>
      </w:tr>
    </w:tbl>
    <w:p>
      <w:pPr>
        <w:pStyle w:val="BodyText"/>
      </w:pPr>
      <w:r>
        <w:t xml:space="preserve">Source:</w:t>
      </w:r>
      <w:r>
        <w:t xml:space="preserve"> </w:t>
      </w:r>
      <w:r>
        <w:rPr>
          <w:rStyle w:val="VerbatimChar"/>
          <w:rFonts w:ascii="Liberation Mono" w:hAnsi="Liberation Mono"/>
          <w:sz w:val="18"/>
        </w:rPr>
        <w:t xml:space="preserve">artifacts/modeling/diagnostic_calibration/run_v1/simulation_summary.csv</w:t>
      </w:r>
      <w:r>
        <w:t xml:space="preserve">. Every replicate remains in</w:t>
      </w:r>
      <w:r>
        <w:t xml:space="preserve"> </w:t>
      </w:r>
      <w:r>
        <w:rPr>
          <w:rStyle w:val="VerbatimChar"/>
          <w:rFonts w:ascii="Liberation Mono" w:hAnsi="Liberation Mono"/>
          <w:sz w:val="18"/>
        </w:rPr>
        <w:t xml:space="preserve">simulations.csv</w:t>
      </w:r>
      <w:r>
        <w:t xml:space="preserve">. The unchanged Supplementary Figure S1 panel A shows all group sizes from the two mechanisms without a within-group effect, rather than selecting individual favorable repetitions. The shared-slope and heterogeneous-slope cells are retained above for completeness.</w:t>
      </w:r>
    </w:p>
    <w:p>
      <w:pPr>
        <w:pStyle w:val="BodyText"/>
      </w:pPr>
      <w:r>
        <w:t xml:space="preserve">For training groups of size</w:t>
      </w:r>
      <w:r>
        <w:t xml:space="preserve"> </w:t>
      </w:r>
      <m:oMath>
        <m:sSub>
          <m:e>
            <m:r>
              <m:t>n</m:t>
            </m:r>
          </m:e>
          <m:sub>
            <m:r>
              <m:t>j</m:t>
            </m:r>
          </m:sub>
        </m:sSub>
      </m:oMath>
      <w:r>
        <w:t xml:space="preserve"> </w:t>
      </w:r>
      <w:r>
        <w:t xml:space="preserve">and mean</w:t>
      </w:r>
      <w:r>
        <w:t xml:space="preserve"> </w:t>
      </w:r>
      <m:oMath>
        <m:sSub>
          <m:e>
            <m:r>
              <m:t>m</m:t>
            </m:r>
          </m:e>
          <m:sub>
            <m:r>
              <m:t>j</m:t>
            </m:r>
          </m:sub>
        </m:sSub>
      </m:oMath>
      <w:r>
        <w:t xml:space="preserve">, the shrunken reference was</w:t>
      </w:r>
      <w:r>
        <w:t xml:space="preserve"> </w:t>
      </w:r>
      <m:oMath>
        <m:r>
          <m:t>μ</m:t>
        </m:r>
        <m:r>
          <m:rPr>
            <m:sty m:val="p"/>
          </m:rPr>
          <m:t>+</m:t>
        </m:r>
        <m:sSub>
          <m:e>
            <m:r>
              <m:t>w</m:t>
            </m:r>
          </m:e>
          <m:sub>
            <m:r>
              <m:t>j</m:t>
            </m:r>
          </m:sub>
        </m:sSub>
        <m:d>
          <m:dPr>
            <m:begChr m:val="("/>
            <m:endChr m:val=")"/>
            <m:sepChr m:val=""/>
            <m:grow/>
          </m:dPr>
          <m:e>
            <m:sSub>
              <m:e>
                <m:r>
                  <m:t>m</m:t>
                </m:r>
              </m:e>
              <m:sub>
                <m:r>
                  <m:t>j</m:t>
                </m:r>
              </m:sub>
            </m:sSub>
            <m:r>
              <m:rPr>
                <m:sty m:val="p"/>
              </m:rPr>
              <m:t>−</m:t>
            </m:r>
            <m:r>
              <m:t>μ</m:t>
            </m:r>
          </m:e>
        </m:d>
      </m:oMath>
      <w:r>
        <w:t xml:space="preserve">, where</w:t>
      </w:r>
      <w:r>
        <w:t xml:space="preserve"> </w:t>
      </w:r>
      <m:oMath>
        <m:sSub>
          <m:e>
            <m:r>
              <m:t>w</m:t>
            </m:r>
          </m:e>
          <m:sub>
            <m:r>
              <m:t>j</m:t>
            </m:r>
          </m:sub>
        </m:sSub>
        <m:r>
          <m:rPr>
            <m:sty m:val="p"/>
          </m:rPr>
          <m:t>=</m:t>
        </m:r>
        <m:sSub>
          <m:e>
            <m:r>
              <m:t>n</m:t>
            </m:r>
          </m:e>
          <m:sub>
            <m:r>
              <m:t>j</m:t>
            </m:r>
          </m:sub>
        </m:sSub>
        <m:sSup>
          <m:e>
            <m:r>
              <m:t>τ</m:t>
            </m:r>
          </m:e>
          <m:sup>
            <m:r>
              <m:t>2</m:t>
            </m:r>
          </m:sup>
        </m:sSup>
        <m:r>
          <m:rPr>
            <m:sty m:val="p"/>
          </m:rPr>
          <m:t>/</m:t>
        </m:r>
        <m:d>
          <m:dPr>
            <m:begChr m:val="("/>
            <m:endChr m:val=")"/>
            <m:sepChr m:val=""/>
            <m:grow/>
          </m:dPr>
          <m:e>
            <m:sSub>
              <m:e>
                <m:r>
                  <m:t>n</m:t>
                </m:r>
              </m:e>
              <m:sub>
                <m:r>
                  <m:t>j</m:t>
                </m:r>
              </m:sub>
            </m:sSub>
            <m:sSup>
              <m:e>
                <m:r>
                  <m:t>τ</m:t>
                </m:r>
              </m:e>
              <m:sup>
                <m:r>
                  <m:t>2</m:t>
                </m:r>
              </m:sup>
            </m:sSup>
            <m:r>
              <m:rPr>
                <m:sty m:val="p"/>
              </m:rPr>
              <m:t>+</m:t>
            </m:r>
            <m:sSup>
              <m:e>
                <m:r>
                  <m:t>σ</m:t>
                </m:r>
              </m:e>
              <m:sup>
                <m:r>
                  <m:t>2</m:t>
                </m:r>
              </m:sup>
            </m:sSup>
          </m:e>
        </m:d>
      </m:oMath>
      <w:r>
        <w:t xml:space="preserve"> </w:t>
      </w:r>
      <w:r>
        <w:t xml:space="preserve">and</w:t>
      </w:r>
      <w:r>
        <w:t xml:space="preserve"> </w:t>
      </w:r>
      <m:oMath>
        <m:r>
          <m:t>μ</m:t>
        </m:r>
      </m:oMath>
      <w:r>
        <w:t xml:space="preserve"> </w:t>
      </w:r>
      <w:r>
        <w:t xml:space="preserve">is the training row-weighted mean. The within variance estimate was</w:t>
      </w:r>
      <w:r>
        <w:t xml:space="preserve"> </w:t>
      </w:r>
      <m:oMath>
        <m:r>
          <m:t>S</m:t>
        </m:r>
        <m:r>
          <m:t>S</m:t>
        </m:r>
        <m:r>
          <m:t>W</m:t>
        </m:r>
        <m:r>
          <m:rPr>
            <m:sty m:val="p"/>
          </m:rPr>
          <m:t>/</m:t>
        </m:r>
        <m:d>
          <m:dPr>
            <m:begChr m:val="("/>
            <m:endChr m:val=")"/>
            <m:sepChr m:val=""/>
            <m:grow/>
          </m:dPr>
          <m:e>
            <m:r>
              <m:t>N</m:t>
            </m:r>
            <m:r>
              <m:rPr>
                <m:sty m:val="p"/>
              </m:rPr>
              <m:t>−</m:t>
            </m:r>
            <m:r>
              <m:t>K</m:t>
            </m:r>
          </m:e>
        </m:d>
      </m:oMath>
      <w:r>
        <w:t xml:space="preserve">;</w:t>
      </w:r>
      <w:r>
        <w:t xml:space="preserve"> </w:t>
      </w:r>
      <m:oMath>
        <m:r>
          <m:t>M</m:t>
        </m:r>
        <m:r>
          <m:t>S</m:t>
        </m:r>
        <m:r>
          <m:t>B</m:t>
        </m:r>
        <m:r>
          <m:rPr>
            <m:sty m:val="p"/>
          </m:rPr>
          <m:t>=</m:t>
        </m:r>
        <m:r>
          <m:rPr>
            <m:sty m:val="p"/>
          </m:rPr>
          <m:t>∑</m:t>
        </m:r>
        <m:d>
          <m:dPr>
            <m:begChr m:val="["/>
            <m:endChr m:val="]"/>
            <m:sepChr m:val=""/>
            <m:grow/>
          </m:dPr>
          <m:e>
            <m:sSub>
              <m:e>
                <m:r>
                  <m:t>n</m:t>
                </m:r>
              </m:e>
              <m:sub>
                <m:r>
                  <m:t>j</m:t>
                </m:r>
              </m:sub>
            </m:sSub>
            <m:sSup>
              <m:e>
                <m:d>
                  <m:dPr>
                    <m:begChr m:val="("/>
                    <m:endChr m:val=")"/>
                    <m:sepChr m:val=""/>
                    <m:grow/>
                  </m:dPr>
                  <m:e>
                    <m:sSub>
                      <m:e>
                        <m:r>
                          <m:t>m</m:t>
                        </m:r>
                      </m:e>
                      <m:sub>
                        <m:r>
                          <m:t>j</m:t>
                        </m:r>
                      </m:sub>
                    </m:sSub>
                    <m:r>
                      <m:rPr>
                        <m:sty m:val="p"/>
                      </m:rPr>
                      <m:t>−</m:t>
                    </m:r>
                    <m:r>
                      <m:t>μ</m:t>
                    </m:r>
                  </m:e>
                </m:d>
              </m:e>
              <m:sup>
                <m:r>
                  <m:t>2</m:t>
                </m:r>
              </m:sup>
            </m:sSup>
          </m:e>
        </m:d>
        <m:r>
          <m:rPr>
            <m:sty m:val="p"/>
          </m:rPr>
          <m:t>/</m:t>
        </m:r>
        <m:d>
          <m:dPr>
            <m:begChr m:val="("/>
            <m:endChr m:val=")"/>
            <m:sepChr m:val=""/>
            <m:grow/>
          </m:dPr>
          <m:e>
            <m:r>
              <m:t>K</m:t>
            </m:r>
            <m:r>
              <m:rPr>
                <m:sty m:val="p"/>
              </m:rPr>
              <m:t>−</m:t>
            </m:r>
            <m:r>
              <m:t>1</m:t>
            </m:r>
          </m:e>
        </m:d>
      </m:oMath>
      <w:r>
        <w:t xml:space="preserve">,</w:t>
      </w:r>
      <w:r>
        <w:t xml:space="preserve"> </w:t>
      </w:r>
      <m:oMath>
        <m:sSub>
          <m:e>
            <m:r>
              <m:t>n</m:t>
            </m:r>
          </m:e>
          <m:sub>
            <m:r>
              <m:t>0</m:t>
            </m:r>
          </m:sub>
        </m:sSub>
        <m:r>
          <m:rPr>
            <m:sty m:val="p"/>
          </m:rPr>
          <m:t>=</m:t>
        </m:r>
        <m:d>
          <m:dPr>
            <m:begChr m:val="("/>
            <m:endChr m:val=")"/>
            <m:sepChr m:val=""/>
            <m:grow/>
          </m:dPr>
          <m:e>
            <m:r>
              <m:t>N</m:t>
            </m:r>
            <m:r>
              <m:rPr>
                <m:sty m:val="p"/>
              </m:rPr>
              <m:t>−</m:t>
            </m:r>
            <m:r>
              <m:rPr>
                <m:sty m:val="p"/>
              </m:rPr>
              <m:t>∑</m:t>
            </m:r>
            <m:d>
              <m:dPr>
                <m:begChr m:val="["/>
                <m:endChr m:val="]"/>
                <m:sepChr m:val=""/>
                <m:grow/>
              </m:dPr>
              <m:e>
                <m:sSubSup>
                  <m:e>
                    <m:r>
                      <m:t>n</m:t>
                    </m:r>
                  </m:e>
                  <m:sub>
                    <m:r>
                      <m:t>j</m:t>
                    </m:r>
                  </m:sub>
                  <m:sup>
                    <m:r>
                      <m:t>2</m:t>
                    </m:r>
                  </m:sup>
                </m:sSubSup>
              </m:e>
            </m:d>
            <m:r>
              <m:rPr>
                <m:sty m:val="p"/>
              </m:rPr>
              <m:t>/</m:t>
            </m:r>
            <m:r>
              <m:t>N</m:t>
            </m:r>
          </m:e>
        </m:d>
        <m:r>
          <m:rPr>
            <m:sty m:val="p"/>
          </m:rPr>
          <m:t>/</m:t>
        </m:r>
        <m:d>
          <m:dPr>
            <m:begChr m:val="("/>
            <m:endChr m:val=")"/>
            <m:sepChr m:val=""/>
            <m:grow/>
          </m:dPr>
          <m:e>
            <m:r>
              <m:t>K</m:t>
            </m:r>
            <m:r>
              <m:rPr>
                <m:sty m:val="p"/>
              </m:rPr>
              <m:t>−</m:t>
            </m:r>
            <m:r>
              <m:t>1</m:t>
            </m:r>
          </m:e>
        </m:d>
      </m:oMath>
      <w:r>
        <w:t xml:space="preserve">, and</w:t>
      </w:r>
      <w:r>
        <w:t xml:space="preserve"> </w:t>
      </w:r>
      <m:oMath>
        <m:sSup>
          <m:e>
            <m:r>
              <m:t>τ</m:t>
            </m:r>
          </m:e>
          <m:sup>
            <m:r>
              <m:t>2</m:t>
            </m:r>
          </m:sup>
        </m:sSup>
        <m:r>
          <m:rPr>
            <m:sty m:val="p"/>
          </m:rPr>
          <m:t>=</m:t>
        </m:r>
        <m:r>
          <m:rPr>
            <m:sty m:val="p"/>
          </m:rPr>
          <m:t>max</m:t>
        </m:r>
        <m:d>
          <m:dPr>
            <m:begChr m:val="("/>
            <m:endChr m:val=")"/>
            <m:sepChr m:val=""/>
            <m:grow/>
          </m:dPr>
          <m:e>
            <m:r>
              <m:t>0</m:t>
            </m:r>
            <m:r>
              <m:rPr>
                <m:sty m:val="p"/>
              </m:rPr>
              <m:t>,</m:t>
            </m:r>
            <m:d>
              <m:dPr>
                <m:begChr m:val="("/>
                <m:endChr m:val=")"/>
                <m:sepChr m:val=""/>
                <m:grow/>
              </m:dPr>
              <m:e>
                <m:r>
                  <m:t>M</m:t>
                </m:r>
                <m:r>
                  <m:t>S</m:t>
                </m:r>
                <m:r>
                  <m:t>B</m:t>
                </m:r>
                <m:r>
                  <m:rPr>
                    <m:sty m:val="p"/>
                  </m:rPr>
                  <m:t>−</m:t>
                </m:r>
                <m:sSup>
                  <m:e>
                    <m:r>
                      <m:t>σ</m:t>
                    </m:r>
                  </m:e>
                  <m:sup>
                    <m:r>
                      <m:t>2</m:t>
                    </m:r>
                  </m:sup>
                </m:sSup>
              </m:e>
            </m:d>
            <m:r>
              <m:rPr>
                <m:sty m:val="p"/>
              </m:rPr>
              <m:t>/</m:t>
            </m:r>
            <m:sSub>
              <m:e>
                <m:r>
                  <m:t>n</m:t>
                </m:r>
              </m:e>
              <m:sub>
                <m:r>
                  <m:t>0</m:t>
                </m:r>
              </m:sub>
            </m:sSub>
          </m:e>
        </m:d>
      </m:oMath>
      <w:r>
        <w:t xml:space="preserve">. Untruncated estimates and insufficient-replication events were retained. An unseen group or unestimable reference used the training global mean. These are classical variance-component constructions, not newly introduced methodology.</w:t>
      </w:r>
    </w:p>
    <w:p>
      <w:pPr>
        <w:pStyle w:val="BodyText"/>
      </w:pPr>
      <w:r>
        <w:t xml:space="preserve">For the retained paired diagnostic,</w:t>
      </w:r>
    </w:p>
    <w:p>
      <w:pPr>
        <w:pStyle w:val="BodyText"/>
      </w:pPr>
      <m:oMathPara>
        <m:oMathParaPr>
          <m:jc m:val="center"/>
        </m:oMathParaPr>
        <m:oMath>
          <m:sSub>
            <m:e>
              <m:r>
                <m:t>Δ</m:t>
              </m:r>
            </m:e>
            <m:sub>
              <m:r>
                <m:rPr>
                  <m:sty m:val="p"/>
                </m:rPr>
                <m:t>s</m:t>
              </m:r>
              <m:r>
                <m:rPr>
                  <m:sty m:val="p"/>
                </m:rPr>
                <m:t>h</m:t>
              </m:r>
              <m:r>
                <m:rPr>
                  <m:sty m:val="p"/>
                </m:rPr>
                <m:t>r</m:t>
              </m:r>
              <m:r>
                <m:rPr>
                  <m:sty m:val="p"/>
                </m:rPr>
                <m:t>u</m:t>
              </m:r>
              <m:r>
                <m:rPr>
                  <m:sty m:val="p"/>
                </m:rPr>
                <m:t>n</m:t>
              </m:r>
              <m:r>
                <m:rPr>
                  <m:sty m:val="p"/>
                </m:rPr>
                <m:t>k</m:t>
              </m:r>
            </m:sub>
          </m:sSub>
          <m:r>
            <m:rPr>
              <m:sty m:val="p"/>
            </m:rPr>
            <m:t>=</m:t>
          </m:r>
          <m:sSubSup>
            <m:e>
              <m:r>
                <m:t>R</m:t>
              </m:r>
            </m:e>
            <m:sub>
              <m:r>
                <m:rPr>
                  <m:sty m:val="p"/>
                </m:rPr>
                <m:t>r</m:t>
              </m:r>
              <m:r>
                <m:rPr>
                  <m:sty m:val="p"/>
                </m:rPr>
                <m:t>a</m:t>
              </m:r>
              <m:r>
                <m:rPr>
                  <m:sty m:val="p"/>
                </m:rPr>
                <m:t>n</m:t>
              </m:r>
              <m:r>
                <m:rPr>
                  <m:sty m:val="p"/>
                </m:rPr>
                <m:t>d</m:t>
              </m:r>
              <m:r>
                <m:rPr>
                  <m:sty m:val="p"/>
                </m:rPr>
                <m:t>o</m:t>
              </m:r>
              <m:r>
                <m:rPr>
                  <m:sty m:val="p"/>
                </m:rPr>
                <m:t>m</m:t>
              </m:r>
            </m:sub>
            <m:sup>
              <m:r>
                <m:t>2</m:t>
              </m:r>
            </m:sup>
          </m:sSubSup>
          <m:r>
            <m:rPr>
              <m:sty m:val="p"/>
            </m:rPr>
            <m:t>−</m:t>
          </m:r>
          <m:sSubSup>
            <m:e>
              <m:r>
                <m:t>R</m:t>
              </m:r>
            </m:e>
            <m:sub>
              <m:r>
                <m:rPr>
                  <m:sty m:val="p"/>
                </m:rPr>
                <m:t>s</m:t>
              </m:r>
              <m:r>
                <m:rPr>
                  <m:sty m:val="p"/>
                </m:rPr>
                <m:t>h</m:t>
              </m:r>
              <m:r>
                <m:rPr>
                  <m:sty m:val="p"/>
                </m:rPr>
                <m:t>r</m:t>
              </m:r>
              <m:r>
                <m:rPr>
                  <m:sty m:val="p"/>
                </m:rPr>
                <m:t>u</m:t>
              </m:r>
              <m:r>
                <m:rPr>
                  <m:sty m:val="p"/>
                </m:rPr>
                <m:t>n</m:t>
              </m:r>
              <m:r>
                <m:rPr>
                  <m:sty m:val="p"/>
                </m:rPr>
                <m:t>k</m:t>
              </m:r>
              <m:r>
                <m:rPr>
                  <m:sty m:val="p"/>
                </m:rPr>
                <m:t>e</m:t>
              </m:r>
              <m:r>
                <m:rPr>
                  <m:sty m:val="p"/>
                </m:rPr>
                <m:t>n</m:t>
              </m:r>
              <m:r>
                <m:rPr>
                  <m:sty m:val="p"/>
                </m:rPr>
                <m:t> </m:t>
              </m:r>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up>
              <m:r>
                <m:t>2</m:t>
              </m:r>
            </m:sup>
          </m:sSubSup>
          <m:r>
            <m:rPr>
              <m:sty m:val="p"/>
            </m:rPr>
            <m:t>.</m:t>
          </m:r>
        </m:oMath>
      </m:oMathPara>
    </w:p>
    <w:p>
      <w:pPr>
        <w:pStyle w:val="FirstParagraph"/>
      </w:pPr>
      <w:r>
        <w:t xml:space="preserve">The source reference uses training responses only. Group-bootstrap intervals resample whole groups from fixed out-of-fold predictions and do not include full retraining or partition-selection uncertainty. The one-sided Monte Carlo permutation p-value uses</w:t>
      </w:r>
      <w:r>
        <w:t xml:space="preserve"> </w:t>
      </w:r>
      <m:oMath>
        <m:d>
          <m:dPr>
            <m:begChr m:val="("/>
            <m:endChr m:val=")"/>
            <m:sepChr m:val=""/>
            <m:grow/>
          </m:dPr>
          <m:e>
            <m:r>
              <m:t>1</m:t>
            </m:r>
            <m:r>
              <m:rPr>
                <m:sty m:val="p"/>
              </m:rPr>
              <m:t>+</m:t>
            </m:r>
            <m:r>
              <m:t>b</m:t>
            </m:r>
          </m:e>
        </m:d>
        <m:r>
          <m:rPr>
            <m:sty m:val="p"/>
          </m:rPr>
          <m:t>/</m:t>
        </m:r>
        <m:d>
          <m:dPr>
            <m:begChr m:val="("/>
            <m:endChr m:val=")"/>
            <m:sepChr m:val=""/>
            <m:grow/>
          </m:dPr>
          <m:e>
            <m:r>
              <m:t>B</m:t>
            </m:r>
            <m:r>
              <m:rPr>
                <m:sty m:val="p"/>
              </m:rPr>
              <m:t>+</m:t>
            </m:r>
            <m:r>
              <m:t>1</m:t>
            </m:r>
          </m:e>
        </m:d>
      </m:oMath>
      <w:r>
        <w:t xml:space="preserve">, where</w:t>
      </w:r>
      <w:r>
        <w:t xml:space="preserve"> </w:t>
      </w:r>
      <m:oMath>
        <m:r>
          <m:t>b</m:t>
        </m:r>
      </m:oMath>
      <w:r>
        <w:t xml:space="preserve"> </w:t>
      </w:r>
      <w:r>
        <w:t xml:space="preserve">is the number of permuted statistics at least as large as observed.</w:t>
      </w:r>
    </w:p>
    <w:p>
      <w:pPr>
        <w:pStyle w:val="BodyText"/>
      </w:pPr>
      <w:r>
        <w:t xml:space="preserve">The standard risk calculation retained in the earlier report assumes</w:t>
      </w:r>
      <w:r>
        <w:t xml:space="preserve"> </w:t>
      </w:r>
      <m:oMath>
        <m:r>
          <m:t>y</m:t>
        </m:r>
        <m:r>
          <m:rPr>
            <m:sty m:val="p"/>
          </m:rPr>
          <m:t>=</m:t>
        </m:r>
        <m:sSub>
          <m:e>
            <m:r>
              <m:t>a</m:t>
            </m:r>
          </m:e>
          <m:sub>
            <m:r>
              <m:t>j</m:t>
            </m:r>
          </m:sub>
        </m:sSub>
        <m:r>
          <m:rPr>
            <m:sty m:val="p"/>
          </m:rPr>
          <m:t>+</m:t>
        </m:r>
        <m:r>
          <m:t>ϵ</m:t>
        </m:r>
      </m:oMath>
      <w:r>
        <w:t xml:space="preserve"> </w:t>
      </w:r>
      <w:r>
        <w:t xml:space="preserve">with independent noise of variance</w:t>
      </w:r>
      <w:r>
        <w:t xml:space="preserve"> </w:t>
      </w:r>
      <m:oMath>
        <m:sSup>
          <m:e>
            <m:r>
              <m:t>σ</m:t>
            </m:r>
          </m:e>
          <m:sup>
            <m:r>
              <m:t>2</m:t>
            </m:r>
          </m:sup>
        </m:sSup>
      </m:oMath>
      <w:r>
        <w:t xml:space="preserve"> </w:t>
      </w:r>
      <w:r>
        <w:t xml:space="preserve">and</w:t>
      </w:r>
      <w:r>
        <w:t xml:space="preserve"> </w:t>
      </w:r>
      <m:oMath>
        <m:r>
          <m:t>m</m:t>
        </m:r>
      </m:oMath>
      <w:r>
        <w:t xml:space="preserve"> </w:t>
      </w:r>
      <w:r>
        <w:t xml:space="preserve">same-group training observations. The error of a new response minus the training mean is</w:t>
      </w:r>
      <w:r>
        <w:t xml:space="preserve"> </w:t>
      </w:r>
      <m:oMath>
        <m:sSub>
          <m:e>
            <m:r>
              <m:t>ϵ</m:t>
            </m:r>
          </m:e>
          <m:sub>
            <m:r>
              <m:t>n</m:t>
            </m:r>
            <m:r>
              <m:t>e</m:t>
            </m:r>
            <m:r>
              <m:t>w</m:t>
            </m:r>
          </m:sub>
        </m:sSub>
      </m:oMath>
      <w:r>
        <w:t xml:space="preserve"> </w:t>
      </w:r>
      <w:r>
        <w:t xml:space="preserve">minus the mean training error, whose variance is</w:t>
      </w:r>
      <w:r>
        <w:t xml:space="preserve"> </w:t>
      </w:r>
      <m:oMath>
        <m:sSup>
          <m:e>
            <m:r>
              <m:t>σ</m:t>
            </m:r>
          </m:e>
          <m:sup>
            <m:r>
              <m:t>2</m:t>
            </m:r>
          </m:sup>
        </m:sSup>
        <m:r>
          <m:rPr>
            <m:sty m:val="p"/>
          </m:rPr>
          <m:t>+</m:t>
        </m:r>
        <m:sSup>
          <m:e>
            <m:r>
              <m:t>σ</m:t>
            </m:r>
          </m:e>
          <m:sup>
            <m:r>
              <m:t>2</m:t>
            </m:r>
          </m:sup>
        </m:sSup>
        <m:r>
          <m:rPr>
            <m:sty m:val="p"/>
          </m:rPr>
          <m:t>/</m:t>
        </m:r>
        <m:r>
          <m:t>m</m:t>
        </m:r>
      </m:oMath>
      <w:r>
        <w:t xml:space="preserve">. A reference knowing the intercept has risk</w:t>
      </w:r>
      <w:r>
        <w:t xml:space="preserve"> </w:t>
      </w:r>
      <m:oMath>
        <m:sSup>
          <m:e>
            <m:r>
              <m:t>σ</m:t>
            </m:r>
          </m:e>
          <m:sup>
            <m:r>
              <m:t>2</m:t>
            </m:r>
          </m:sup>
        </m:sSup>
      </m:oMath>
      <w:r>
        <w:t xml:space="preserve">. This is an expected-MSE statement, not a substitution of expected ratios in</w:t>
      </w:r>
      <w:r>
        <w:t xml:space="preserve"> </w:t>
      </w:r>
      <m:oMath>
        <m:sSup>
          <m:e>
            <m:r>
              <m:t>R</m:t>
            </m:r>
          </m:e>
          <m:sup>
            <m:r>
              <m:t>2</m:t>
            </m:r>
          </m:sup>
        </m:sSup>
      </m:oMath>
      <w:r>
        <w:t xml:space="preserve">; estimated-parameter shrinkage does not have universal known-parameter optimality.</w:t>
      </w:r>
    </w:p>
    <w:p>
      <w:pPr>
        <w:pStyle w:val="BodyText"/>
      </w:pPr>
      <w:r>
        <w:t xml:space="preserve">The simulation and starch calibration were specified after earlier starch results were known. This derivative did not reproduce their fits; it checked the stored summaries and uses their frozen values. The complete 594 prior starch permutation runs and 33 prior sensitivity records remain historical analyses, not additional starch material observations.</w:t>
      </w:r>
    </w:p>
    <w:bookmarkEnd w:id="25"/>
    <w:bookmarkStart w:id="29" w:name="X9f69a462aeee31da42556f4dde06c3ca6c3d416"/>
    <w:p>
      <w:pPr>
        <w:pStyle w:val="Heading2"/>
      </w:pPr>
      <w:r>
        <w:t xml:space="preserve">S7 External task and complete retained comparisons</w:t>
      </w:r>
    </w:p>
    <w:p>
      <w:pPr>
        <w:pStyle w:val="FirstParagraph"/>
      </w:pPr>
      <w:r>
        <w:t xml:space="preserve">The external source is Bradford et al. (2023), DOI 10.1021/acscentsci.2c01123, using the author-compiled table described in the frozen external-analysis record. The frozen record identifies the author file</w:t>
      </w:r>
      <w:r>
        <w:t xml:space="preserve"> </w:t>
      </w:r>
      <w:r>
        <w:rPr>
          <w:rStyle w:val="VerbatimChar"/>
          <w:rFonts w:ascii="Liberation Mono" w:hAnsi="Liberation Mono"/>
          <w:sz w:val="18"/>
        </w:rPr>
        <w:t xml:space="preserve">data/PolymerElectrolyteData.csv</w:t>
      </w:r>
      <w:r>
        <w:t xml:space="preserve"> </w:t>
      </w:r>
      <w:r>
        <w:t xml:space="preserve">in the Chem-prop-pred repository and raw SHA-256</w:t>
      </w:r>
      <w:r>
        <w:t xml:space="preserve"> </w:t>
      </w:r>
      <w:r>
        <w:rPr>
          <w:rStyle w:val="VerbatimChar"/>
          <w:rFonts w:ascii="Liberation Mono" w:hAnsi="Liberation Mono"/>
          <w:sz w:val="18"/>
        </w:rPr>
        <w:t xml:space="preserve">5ad82b4b75b9bb95f8f402fd394686d69c97cd0edaa110ad9c330655268a9fab</w:t>
      </w:r>
      <w:r>
        <w:t xml:space="preserve">. The author’s data/model MIT statement was documented in earlier source verification. This does not provide permission to redistribute the starch article corpus.</w:t>
      </w:r>
    </w:p>
    <w:p>
      <w:pPr>
        <w:pStyle w:val="BodyText"/>
      </w:pPr>
      <w:r>
        <w:t xml:space="preserve">The 16009-row raw table included 146 rows with missing or invalid DOI syntax. After the specified structure, component, conductivity, temperature and salt-molality filters, the broad eligible set had 9140 rows in 169 DOI groups. Restriction to 20–30°C gave 1201 rows; selecting one representative per DOI/profile gave 753 representatives in 123 groups, and removing 25 singleton groups gave 728 profiles in 98 groups. Selection of a representative did not use conductivity to choose a tie. The authors’ own model and validation are distinct from this separately trained categorical-feature diagnostic.</w:t>
      </w:r>
    </w:p>
    <w:p>
      <w:pPr>
        <w:pStyle w:val="BodyText"/>
      </w:pPr>
      <w:r>
        <w:t xml:space="preserve">Numerical predictors were</w:t>
      </w:r>
      <w:r>
        <w:t xml:space="preserve"> </w:t>
      </w:r>
      <w:r>
        <w:rPr>
          <w:rStyle w:val="VerbatimChar"/>
          <w:rFonts w:ascii="Liberation Mono" w:hAnsi="Liberation Mono"/>
          <w:sz w:val="18"/>
        </w:rPr>
        <w:t xml:space="preserve">temperature_c</w:t>
      </w:r>
      <w:r>
        <w:t xml:space="preserve">,</w:t>
      </w:r>
      <w:r>
        <w:t xml:space="preserve"> </w:t>
      </w:r>
      <w:r>
        <w:rPr>
          <w:rStyle w:val="VerbatimChar"/>
          <w:rFonts w:ascii="Liberation Mono" w:hAnsi="Liberation Mono"/>
          <w:sz w:val="18"/>
        </w:rPr>
        <w:t xml:space="preserve">log10_polymer_mw</w:t>
      </w:r>
      <w:r>
        <w:t xml:space="preserve">,</w:t>
      </w:r>
      <w:r>
        <w:t xml:space="preserve"> </w:t>
      </w:r>
      <w:r>
        <w:rPr>
          <w:rStyle w:val="VerbatimChar"/>
          <w:rFonts w:ascii="Liberation Mono" w:hAnsi="Liberation Mono"/>
          <w:sz w:val="18"/>
        </w:rPr>
        <w:t xml:space="preserve">salt_molality</w:t>
      </w:r>
      <w:r>
        <w:t xml:space="preserve">,</w:t>
      </w:r>
      <w:r>
        <w:t xml:space="preserve"> </w:t>
      </w:r>
      <w:r>
        <w:rPr>
          <w:rStyle w:val="VerbatimChar"/>
          <w:rFonts w:ascii="Liberation Mono" w:hAnsi="Liberation Mono"/>
          <w:sz w:val="18"/>
        </w:rPr>
        <w:t xml:space="preserve">polymer_dispersity</w:t>
      </w:r>
      <w:r>
        <w:t xml:space="preserve"> </w:t>
      </w:r>
      <w:r>
        <w:t xml:space="preserve">and three reported copolymer fractions. Categorical predictors were</w:t>
      </w:r>
      <w:r>
        <w:t xml:space="preserve"> </w:t>
      </w:r>
      <w:r>
        <w:rPr>
          <w:rStyle w:val="VerbatimChar"/>
          <w:rFonts w:ascii="Liberation Mono" w:hAnsi="Liberation Mono"/>
          <w:sz w:val="18"/>
        </w:rPr>
        <w:t xml:space="preserve">polymer_smiles</w:t>
      </w:r>
      <w:r>
        <w:t xml:space="preserve">,</w:t>
      </w:r>
      <w:r>
        <w:t xml:space="preserve"> </w:t>
      </w:r>
      <w:r>
        <w:rPr>
          <w:rStyle w:val="VerbatimChar"/>
          <w:rFonts w:ascii="Liberation Mono" w:hAnsi="Liberation Mono"/>
          <w:sz w:val="18"/>
        </w:rPr>
        <w:t xml:space="preserve">salt_smiles</w:t>
      </w:r>
      <w:r>
        <w:t xml:space="preserve"> </w:t>
      </w:r>
      <w:r>
        <w:t xml:space="preserve">and</w:t>
      </w:r>
      <w:r>
        <w:t xml:space="preserve"> </w:t>
      </w:r>
      <w:r>
        <w:rPr>
          <w:rStyle w:val="VerbatimChar"/>
          <w:rFonts w:ascii="Liberation Mono" w:hAnsi="Liberation Mono"/>
          <w:sz w:val="18"/>
        </w:rPr>
        <w:t xml:space="preserve">polymer_architecture</w:t>
      </w:r>
      <w:r>
        <w:t xml:space="preserve">. Missing counts in the seven numerical fields of the primary view were 0,29,0,488,701,701,718. DOI, Notes, administrative IDs and target-derived fields were excluded from prediction; Notes contributed to profile identity only. Missing values and encoding were learned on training folds, with no chemical canonicalization or new graph model.</w:t>
      </w:r>
    </w:p>
    <w:p>
      <w:pPr>
        <w:pStyle w:val="BodyText"/>
        <w:keepNext/>
      </w:pPr>
      <w:r>
        <w:rPr>
          <w:bCs/>
          <w:b/>
        </w:rPr>
        <w:t xml:space="preserve">Table S7. All three external observed views.</w:t>
      </w:r>
      <w:r>
        <w:t xml:space="preserve"> </w:t>
      </w:r>
      <w:r>
        <w:t xml:space="preserve">Intervals use 2000 whole-DOI bootstrap samples of fixed predictions. The views are related analyses of one source table, not independent datasets.</w:t>
      </w:r>
    </w:p>
    <w:p>
      <w:pPr>
        <w:pStyle w:val="BodyText"/>
      </w:pPr>
      <w:r>
        <w:t xml:space="preserve">The 728 profiles are DOI-qualified profile identities. The prepared input records 724 distinct profile hashes across these representatives; matching profile hashes across DOI groups do not alone establish identical physical formulations or reused measurements. The counts are therefore not 728 certified independent chemistries.</w:t>
      </w:r>
    </w:p>
    <w:tbl>
      <w:tblPr>
        <w:tblStyle w:val="Table"/>
        <w:tblW w:type="pct" w:w="5000"/>
        <w:tblLayout w:type="fixed"/>
        <w:tblLook w:firstRow="1" w:lastRow="0" w:firstColumn="0" w:lastColumn="0" w:noHBand="0" w:noVBand="0" w:val="0020"/>
        <w:jc w:val="start"/>
      </w:tblPr>
      <w:tblGrid>
        <w:gridCol w:w="2520"/>
        <w:gridCol w:w="1229"/>
        <w:gridCol w:w="1229"/>
        <w:gridCol w:w="1229"/>
        <w:gridCol w:w="1229"/>
        <w:gridCol w:w="1229"/>
        <w:gridCol w:w="1229"/>
      </w:tblGrid>
      <w:tr>
        <w:trPr>
          <w:tblHeader w:val="true"/>
          <w:cantSplit/>
          <w:tblHeader/>
        </w:trPr>
        <w:tc>
          <w:tcPr>
            <w:tcW w:type="dxa" w:w="2520"/>
            <w:shd w:fill="EEEEEE"/>
          </w:tcPr>
          <w:p>
            <w:pPr>
              <w:pStyle w:val="Compact"/>
              <w:spacing w:after="80" w:line="240" w:lineRule="auto"/>
              <w:jc w:val="left"/>
            </w:pPr>
            <w:r>
              <w:rPr>
                <w:b/>
                <w:sz w:val="17"/>
              </w:rPr>
              <w:t xml:space="preserve">View</w:t>
            </w:r>
          </w:p>
        </w:tc>
        <w:tc>
          <w:tcPr>
            <w:tcW w:type="dxa" w:w="1229"/>
            <w:shd w:fill="EEEEEE"/>
          </w:tcPr>
          <w:p>
            <w:pPr>
              <w:pStyle w:val="Compact"/>
              <w:spacing w:after="80" w:line="240" w:lineRule="auto"/>
              <w:jc w:val="left"/>
            </w:pPr>
            <w:r>
              <w:rPr>
                <w:b/>
                <w:sz w:val="17"/>
              </w:rPr>
              <w:t xml:space="preserve">Rows/DOI groups</w:t>
            </w:r>
          </w:p>
        </w:tc>
        <w:tc>
          <w:tcPr>
            <w:tcW w:type="dxa" w:w="1229"/>
            <w:shd w:fill="EEEEEE"/>
          </w:tcPr>
          <w:p>
            <w:pPr>
              <w:pStyle w:val="Compact"/>
              <w:spacing w:after="80" w:line="240" w:lineRule="auto"/>
              <w:jc w:val="right"/>
            </w:pPr>
            <w:r>
              <w:rPr>
                <w:b/>
                <w:sz w:val="17"/>
              </w:rPr>
              <w:t xml:space="preserve">Random R²</w:t>
            </w:r>
          </w:p>
        </w:tc>
        <w:tc>
          <w:tcPr>
            <w:tcW w:type="dxa" w:w="1229"/>
            <w:shd w:fill="EEEEEE"/>
          </w:tcPr>
          <w:p>
            <w:pPr>
              <w:pStyle w:val="Compact"/>
              <w:spacing w:after="80" w:line="240" w:lineRule="auto"/>
              <w:jc w:val="right"/>
            </w:pPr>
            <w:r>
              <w:rPr>
                <w:b/>
                <w:sz w:val="17"/>
              </w:rPr>
              <w:t xml:space="preserve">Raw reference R²</w:t>
            </w:r>
          </w:p>
        </w:tc>
        <w:tc>
          <w:tcPr>
            <w:tcW w:type="dxa" w:w="1229"/>
            <w:shd w:fill="EEEEEE"/>
          </w:tcPr>
          <w:p>
            <w:pPr>
              <w:pStyle w:val="Compact"/>
              <w:spacing w:after="80" w:line="240" w:lineRule="auto"/>
              <w:jc w:val="right"/>
            </w:pPr>
            <w:r>
              <w:rPr>
                <w:b/>
                <w:sz w:val="17"/>
              </w:rPr>
              <w:t xml:space="preserve">Shrunken reference R²</w:t>
            </w:r>
          </w:p>
        </w:tc>
        <w:tc>
          <w:tcPr>
            <w:tcW w:type="dxa" w:w="1229"/>
            <w:shd w:fill="EEEEEE"/>
          </w:tcPr>
          <w:p>
            <w:pPr>
              <w:pStyle w:val="Compact"/>
              <w:spacing w:after="80" w:line="240" w:lineRule="auto"/>
              <w:jc w:val="left"/>
            </w:pPr>
            <w:r>
              <w:rPr>
                <w:b/>
                <w:sz w:val="17"/>
              </w:rPr>
              <w:t xml:space="preserve">Difference [95% interval]</w:t>
            </w:r>
          </w:p>
        </w:tc>
        <w:tc>
          <w:tcPr>
            <w:tcW w:type="dxa" w:w="1229"/>
            <w:shd w:fill="EEEEEE"/>
          </w:tcPr>
          <w:p>
            <w:pPr>
              <w:pStyle w:val="Compact"/>
              <w:spacing w:after="80" w:line="240" w:lineRule="auto"/>
              <w:jc w:val="right"/>
            </w:pPr>
            <w:r>
              <w:rPr>
                <w:b/>
                <w:sz w:val="17"/>
              </w:rPr>
              <w:t xml:space="preserve">DOI-held-out R²</w:t>
            </w:r>
          </w:p>
        </w:tc>
      </w:tr>
      <w:tr>
        <w:trPr>
          <w:cantSplit/>
        </w:trPr>
        <w:tc>
          <w:tcPr>
            <w:tcW w:type="dxa" w:w="2520"/>
          </w:tcPr>
          <w:p>
            <w:pPr>
              <w:pStyle w:val="Compact"/>
              <w:spacing w:after="80" w:line="240" w:lineRule="auto"/>
              <w:jc w:val="left"/>
            </w:pPr>
            <w:r>
              <w:rPr>
                <w:sz w:val="17"/>
              </w:rPr>
              <w:t xml:space="preserve">Near-ambient profiles</w:t>
            </w:r>
          </w:p>
        </w:tc>
        <w:tc>
          <w:tcPr>
            <w:tcW w:type="dxa" w:w="1229"/>
          </w:tcPr>
          <w:p>
            <w:pPr>
              <w:pStyle w:val="Compact"/>
              <w:spacing w:after="80" w:line="240" w:lineRule="auto"/>
              <w:jc w:val="left"/>
            </w:pPr>
            <w:r>
              <w:rPr>
                <w:sz w:val="17"/>
              </w:rPr>
              <w:t xml:space="preserve">728/98</w:t>
            </w:r>
          </w:p>
        </w:tc>
        <w:tc>
          <w:tcPr>
            <w:tcW w:type="dxa" w:w="1229"/>
          </w:tcPr>
          <w:p>
            <w:pPr>
              <w:pStyle w:val="Compact"/>
              <w:spacing w:after="80" w:line="240" w:lineRule="auto"/>
              <w:jc w:val="right"/>
            </w:pPr>
            <w:r>
              <w:rPr>
                <w:sz w:val="17"/>
              </w:rPr>
              <w:t xml:space="preserve">0.6990</w:t>
            </w:r>
          </w:p>
        </w:tc>
        <w:tc>
          <w:tcPr>
            <w:tcW w:type="dxa" w:w="1229"/>
          </w:tcPr>
          <w:p>
            <w:pPr>
              <w:pStyle w:val="Compact"/>
              <w:spacing w:after="80" w:line="240" w:lineRule="auto"/>
              <w:jc w:val="right"/>
            </w:pPr>
            <w:r>
              <w:rPr>
                <w:sz w:val="17"/>
              </w:rPr>
              <w:t xml:space="preserve">0.6979</w:t>
            </w:r>
          </w:p>
        </w:tc>
        <w:tc>
          <w:tcPr>
            <w:tcW w:type="dxa" w:w="1229"/>
          </w:tcPr>
          <w:p>
            <w:pPr>
              <w:pStyle w:val="Compact"/>
              <w:spacing w:after="80" w:line="240" w:lineRule="auto"/>
              <w:jc w:val="right"/>
            </w:pPr>
            <w:r>
              <w:rPr>
                <w:sz w:val="17"/>
              </w:rPr>
              <w:t xml:space="preserve">0.7027</w:t>
            </w:r>
          </w:p>
        </w:tc>
        <w:tc>
          <w:tcPr>
            <w:tcW w:type="dxa" w:w="1229"/>
          </w:tcPr>
          <w:p>
            <w:pPr>
              <w:pStyle w:val="Compact"/>
              <w:spacing w:after="80" w:line="240" w:lineRule="auto"/>
              <w:jc w:val="left"/>
            </w:pPr>
            <w:r>
              <w:rPr>
                <w:sz w:val="17"/>
              </w:rPr>
              <w:t xml:space="preserve">−0.0037 [−0.0472, 0.0364]</w:t>
            </w:r>
          </w:p>
        </w:tc>
        <w:tc>
          <w:tcPr>
            <w:tcW w:type="dxa" w:w="1229"/>
          </w:tcPr>
          <w:p>
            <w:pPr>
              <w:pStyle w:val="Compact"/>
              <w:spacing w:after="80" w:line="240" w:lineRule="auto"/>
              <w:jc w:val="right"/>
            </w:pPr>
            <w:r>
              <w:rPr>
                <w:sz w:val="17"/>
              </w:rPr>
              <w:t xml:space="preserve">0.1679</w:t>
            </w:r>
          </w:p>
        </w:tc>
      </w:tr>
      <w:tr>
        <w:trPr>
          <w:cantSplit/>
        </w:trPr>
        <w:tc>
          <w:tcPr>
            <w:tcW w:type="dxa" w:w="2520"/>
          </w:tcPr>
          <w:p>
            <w:pPr>
              <w:pStyle w:val="Compact"/>
              <w:spacing w:after="80" w:line="240" w:lineRule="auto"/>
              <w:jc w:val="left"/>
            </w:pPr>
            <w:r>
              <w:rPr>
                <w:sz w:val="17"/>
              </w:rPr>
              <w:t xml:space="preserve">Same profiles without temperature input</w:t>
            </w:r>
          </w:p>
        </w:tc>
        <w:tc>
          <w:tcPr>
            <w:tcW w:type="dxa" w:w="1229"/>
          </w:tcPr>
          <w:p>
            <w:pPr>
              <w:pStyle w:val="Compact"/>
              <w:spacing w:after="80" w:line="240" w:lineRule="auto"/>
              <w:jc w:val="left"/>
            </w:pPr>
            <w:r>
              <w:rPr>
                <w:sz w:val="17"/>
              </w:rPr>
              <w:t xml:space="preserve">728/98</w:t>
            </w:r>
          </w:p>
        </w:tc>
        <w:tc>
          <w:tcPr>
            <w:tcW w:type="dxa" w:w="1229"/>
          </w:tcPr>
          <w:p>
            <w:pPr>
              <w:pStyle w:val="Compact"/>
              <w:spacing w:after="80" w:line="240" w:lineRule="auto"/>
              <w:jc w:val="right"/>
            </w:pPr>
            <w:r>
              <w:rPr>
                <w:sz w:val="17"/>
              </w:rPr>
              <w:t xml:space="preserve">0.7033</w:t>
            </w:r>
          </w:p>
        </w:tc>
        <w:tc>
          <w:tcPr>
            <w:tcW w:type="dxa" w:w="1229"/>
          </w:tcPr>
          <w:p>
            <w:pPr>
              <w:pStyle w:val="Compact"/>
              <w:spacing w:after="80" w:line="240" w:lineRule="auto"/>
              <w:jc w:val="right"/>
            </w:pPr>
            <w:r>
              <w:rPr>
                <w:sz w:val="17"/>
              </w:rPr>
              <w:t xml:space="preserve">0.6979</w:t>
            </w:r>
          </w:p>
        </w:tc>
        <w:tc>
          <w:tcPr>
            <w:tcW w:type="dxa" w:w="1229"/>
          </w:tcPr>
          <w:p>
            <w:pPr>
              <w:pStyle w:val="Compact"/>
              <w:spacing w:after="80" w:line="240" w:lineRule="auto"/>
              <w:jc w:val="right"/>
            </w:pPr>
            <w:r>
              <w:rPr>
                <w:sz w:val="17"/>
              </w:rPr>
              <w:t xml:space="preserve">0.7027</w:t>
            </w:r>
          </w:p>
        </w:tc>
        <w:tc>
          <w:tcPr>
            <w:tcW w:type="dxa" w:w="1229"/>
          </w:tcPr>
          <w:p>
            <w:pPr>
              <w:pStyle w:val="Compact"/>
              <w:spacing w:after="80" w:line="240" w:lineRule="auto"/>
              <w:jc w:val="left"/>
            </w:pPr>
            <w:r>
              <w:rPr>
                <w:sz w:val="17"/>
              </w:rPr>
              <w:t xml:space="preserve">0.0005 [−0.0479, 0.0485]</w:t>
            </w:r>
          </w:p>
        </w:tc>
        <w:tc>
          <w:tcPr>
            <w:tcW w:type="dxa" w:w="1229"/>
          </w:tcPr>
          <w:p>
            <w:pPr>
              <w:pStyle w:val="Compact"/>
              <w:spacing w:after="80" w:line="240" w:lineRule="auto"/>
              <w:jc w:val="right"/>
            </w:pPr>
            <w:r>
              <w:rPr>
                <w:sz w:val="17"/>
              </w:rPr>
              <w:t xml:space="preserve">0.1932</w:t>
            </w:r>
          </w:p>
        </w:tc>
      </w:tr>
      <w:tr>
        <w:trPr>
          <w:cantSplit/>
        </w:trPr>
        <w:tc>
          <w:tcPr>
            <w:tcW w:type="dxa" w:w="2520"/>
          </w:tcPr>
          <w:p>
            <w:pPr>
              <w:pStyle w:val="Compact"/>
              <w:spacing w:after="80" w:line="240" w:lineRule="auto"/>
              <w:jc w:val="left"/>
            </w:pPr>
            <w:r>
              <w:rPr>
                <w:sz w:val="17"/>
              </w:rPr>
              <w:t xml:space="preserve">Same sources at all temperatures</w:t>
            </w:r>
          </w:p>
        </w:tc>
        <w:tc>
          <w:tcPr>
            <w:tcW w:type="dxa" w:w="1229"/>
          </w:tcPr>
          <w:p>
            <w:pPr>
              <w:pStyle w:val="Compact"/>
              <w:spacing w:after="80" w:line="240" w:lineRule="auto"/>
              <w:jc w:val="left"/>
            </w:pPr>
            <w:r>
              <w:rPr>
                <w:sz w:val="17"/>
              </w:rPr>
              <w:t xml:space="preserve">6779/98</w:t>
            </w:r>
          </w:p>
        </w:tc>
        <w:tc>
          <w:tcPr>
            <w:tcW w:type="dxa" w:w="1229"/>
          </w:tcPr>
          <w:p>
            <w:pPr>
              <w:pStyle w:val="Compact"/>
              <w:spacing w:after="80" w:line="240" w:lineRule="auto"/>
              <w:jc w:val="right"/>
            </w:pPr>
            <w:r>
              <w:rPr>
                <w:sz w:val="17"/>
              </w:rPr>
              <w:t xml:space="preserve">0.9017</w:t>
            </w:r>
          </w:p>
        </w:tc>
        <w:tc>
          <w:tcPr>
            <w:tcW w:type="dxa" w:w="1229"/>
          </w:tcPr>
          <w:p>
            <w:pPr>
              <w:pStyle w:val="Compact"/>
              <w:spacing w:after="80" w:line="240" w:lineRule="auto"/>
              <w:jc w:val="right"/>
            </w:pPr>
            <w:r>
              <w:rPr>
                <w:sz w:val="17"/>
              </w:rPr>
              <w:t xml:space="preserve">0.5508</w:t>
            </w:r>
          </w:p>
        </w:tc>
        <w:tc>
          <w:tcPr>
            <w:tcW w:type="dxa" w:w="1229"/>
          </w:tcPr>
          <w:p>
            <w:pPr>
              <w:pStyle w:val="Compact"/>
              <w:spacing w:after="80" w:line="240" w:lineRule="auto"/>
              <w:jc w:val="right"/>
            </w:pPr>
            <w:r>
              <w:rPr>
                <w:sz w:val="17"/>
              </w:rPr>
              <w:t xml:space="preserve">0.5510</w:t>
            </w:r>
          </w:p>
        </w:tc>
        <w:tc>
          <w:tcPr>
            <w:tcW w:type="dxa" w:w="1229"/>
          </w:tcPr>
          <w:p>
            <w:pPr>
              <w:pStyle w:val="Compact"/>
              <w:spacing w:after="80" w:line="240" w:lineRule="auto"/>
              <w:jc w:val="left"/>
            </w:pPr>
            <w:r>
              <w:rPr>
                <w:sz w:val="17"/>
              </w:rPr>
              <w:t xml:space="preserve">0.3507 [0.2680, 0.4864]</w:t>
            </w:r>
          </w:p>
        </w:tc>
        <w:tc>
          <w:tcPr>
            <w:tcW w:type="dxa" w:w="1229"/>
          </w:tcPr>
          <w:p>
            <w:pPr>
              <w:pStyle w:val="Compact"/>
              <w:spacing w:after="80" w:line="240" w:lineRule="auto"/>
              <w:jc w:val="right"/>
            </w:pPr>
            <w:r>
              <w:rPr>
                <w:sz w:val="17"/>
              </w:rPr>
              <w:t xml:space="preserve">0.3671</w:t>
            </w:r>
          </w:p>
        </w:tc>
      </w:tr>
    </w:tbl>
    <w:p>
      <w:pPr>
        <w:pStyle w:val="BodyText"/>
      </w:pPr>
      <w:r>
        <w:t xml:space="preserve">Source:</w:t>
      </w:r>
      <w:r>
        <w:t xml:space="preserve"> </w:t>
      </w:r>
      <w:r>
        <w:rPr>
          <w:rStyle w:val="VerbatimChar"/>
          <w:rFonts w:ascii="Liberation Mono" w:hAnsi="Liberation Mono"/>
          <w:sz w:val="18"/>
        </w:rPr>
        <w:t xml:space="preserve">artifacts/modeling/external_diagnostic_replication/run_v1/summary.json</w:t>
      </w:r>
      <w:r>
        <w:t xml:space="preserve">. Metrics and their differences are rounded independently for display. Differences were computed from unrounded values, so subtracting two displayed four-decimal scores need not reproduce the displayed difference exactly. The primary raw-reference score was 0.6979. Eight primary test rows lacked a same-source training row and used the global-mean fallback; no canonical shrinkage variance estimate was truncated at zero. Random-row and DOI-held-out root mean squared errors were 1.0558 and 1.7555 log10(S/cm), respectively. These are not the published Bradford model’s performance.</w:t>
      </w:r>
    </w:p>
    <w:p>
      <w:pPr>
        <w:pStyle w:val="BodyText"/>
      </w:pPr>
      <w:r>
        <w:t xml:space="preserve">All 199 within-source permutations had a statistic below the observed difference. Their median was −0.0743 and their 2.5th–97.5th percentile range [−0.0952,−0.0545];</w:t>
      </w:r>
      <w:r>
        <w:t xml:space="preserve"> </w:t>
      </w:r>
      <m:oMath>
        <m:r>
          <m:t>p</m:t>
        </m:r>
        <m:r>
          <m:rPr>
            <m:sty m:val="p"/>
          </m:rPr>
          <m:t>=</m:t>
        </m:r>
        <m:d>
          <m:dPr>
            <m:begChr m:val="("/>
            <m:endChr m:val=")"/>
            <m:sepChr m:val=""/>
            <m:grow/>
          </m:dPr>
          <m:e>
            <m:r>
              <m:t>1</m:t>
            </m:r>
            <m:r>
              <m:rPr>
                <m:sty m:val="p"/>
              </m:rPr>
              <m:t>+</m:t>
            </m:r>
            <m:r>
              <m:t>0</m:t>
            </m:r>
          </m:e>
        </m:d>
        <m:r>
          <m:rPr>
            <m:sty m:val="p"/>
          </m:rPr>
          <m:t>/</m:t>
        </m:r>
        <m:d>
          <m:dPr>
            <m:begChr m:val="("/>
            <m:endChr m:val=")"/>
            <m:sepChr m:val=""/>
            <m:grow/>
          </m:dPr>
          <m:e>
            <m:r>
              <m:t>199</m:t>
            </m:r>
            <m:r>
              <m:rPr>
                <m:sty m:val="p"/>
              </m:rPr>
              <m:t>+</m:t>
            </m:r>
            <m:r>
              <m:t>1</m:t>
            </m:r>
          </m:e>
        </m:d>
        <m:r>
          <m:rPr>
            <m:sty m:val="p"/>
          </m:rPr>
          <m:t>=</m:t>
        </m:r>
        <m:r>
          <m:t>0.005</m:t>
        </m:r>
      </m:oMath>
      <w:r>
        <w:t xml:space="preserve">. The 99 global controls gave median −0.1253, range [−0.1758,−0.0742], and</w:t>
      </w:r>
      <w:r>
        <w:t xml:space="preserve"> </w:t>
      </w:r>
      <m:oMath>
        <m:r>
          <m:t>p</m:t>
        </m:r>
        <m:r>
          <m:rPr>
            <m:sty m:val="p"/>
          </m:rPr>
          <m:t>=</m:t>
        </m:r>
        <m:r>
          <m:t>0.010</m:t>
        </m:r>
      </m:oMath>
      <w:r>
        <w:t xml:space="preserve">. The corresponding exact binomial 95% intervals for the sampled exceedance fraction were [0,0.0184] and [0,0.0366]. They concern Monte Carlo tail uncertainty, not a model-reference effect interval. Every permutation refitted the feature model and references, with unchanged unsupervised training-feature transforms cached. Within-source exchangeability is an assumption, not a test of material truth.</w:t>
      </w:r>
    </w:p>
    <w:p>
      <w:pPr>
        <w:pStyle w:val="BodyText"/>
      </w:pPr>
      <w:r>
        <w:t xml:space="preserve">Ten fixed partitions gave reference differences from −0.0095 to 0.0203 and DOI-held-out R² from 0.1105 to 0.2354. Three additional estimator seeds gave differences from −0.0030 to −0.0020. Canonical/base seed was 20260908; partition seeds were 20260908+101*k for k=0,…,9, and the three additional model seeds were 20260918,20260928,20260938. These numeric RNG identifiers are not calendar dates. The canonical partition was reused rather than counted as a new execution. Full 13 sensitivity rows are in the frozen summary.</w:t>
      </w:r>
    </w:p>
    <w:p>
      <w:pPr>
        <w:pStyle w:val="BodyText"/>
      </w:pPr>
      <w:r>
        <w:t xml:space="preserve">The all-temperature expansion contained 6779 rows in the same 98 groups and 1121 profiles, 393 more profiles than the primary set. The later structural inventory found 5864 temperature rows among the original 728 profiles; it did not fit that new restricted contrast. Therefore the score of 0.9017 is not an isolated effect of adding temperature points. The external study’s pre-execution joint positive-evidence criterion was false: the difference interval was not wholly positive despite significant pairing.</w:t>
      </w:r>
    </w:p>
    <w:p>
      <w:pPr>
        <w:pStyle w:val="BodyText"/>
        <w:keepNext/>
        <w:spacing w:after="80"/>
      </w:pPr>
      <w:r>
        <w:drawing>
          <wp:inline>
            <wp:extent cx="6281928" cy="7142423"/>
            <wp:effectExtent b="0" l="0" r="0" t="0"/>
            <wp:docPr descr="Supplementary Figure S1" title="" id="27" name="Picture"/>
            <a:graphic>
              <a:graphicData uri="http://schemas.openxmlformats.org/drawingml/2006/picture">
                <pic:pic>
                  <pic:nvPicPr>
                    <pic:cNvPr descr="../../../artifacts/modeling/manuscript_revision/advisor_review_v1/figures/figure_3_diagnostic_limits.png" id="28" name="Picture"/>
                    <pic:cNvPicPr>
                      <a:picLocks noChangeArrowheads="1" noChangeAspect="1"/>
                    </pic:cNvPicPr>
                  </pic:nvPicPr>
                  <pic:blipFill>
                    <a:blip r:embed="rId26"/>
                    <a:stretch>
                      <a:fillRect/>
                    </a:stretch>
                  </pic:blipFill>
                  <pic:spPr bwMode="auto">
                    <a:xfrm>
                      <a:off x="0" y="0"/>
                      <a:ext cx="6281928" cy="7142423"/>
                    </a:xfrm>
                    <a:prstGeom prst="rect">
                      <a:avLst/>
                    </a:prstGeom>
                    <a:noFill/>
                    <a:ln w="9525">
                      <a:noFill/>
                      <a:headEnd/>
                      <a:tailEnd/>
                    </a:ln>
                  </pic:spPr>
                </pic:pic>
              </a:graphicData>
            </a:graphic>
          </wp:inline>
        </w:drawing>
      </w:r>
    </w:p>
    <w:p>
      <w:pPr>
        <w:pStyle w:val="BodyText"/>
        <w:keepLines/>
      </w:pPr>
      <w:r>
        <w:rPr>
          <w:bCs/>
          <w:b/>
        </w:rPr>
        <w:t xml:space="preserve">Figure S1. Interpretation limits of source-reference and within-source pairing diagnostics.</w:t>
      </w:r>
      <w:r>
        <w:t xml:space="preserve"> </w:t>
      </w:r>
      <w:r>
        <w:t xml:space="preserve">Panel A retains the previously completed simulation and shows that, under the specified between-group-only mechanism, a positive model-minus-shrunken-reference interval can occur without a within-group feature effect. Panel B retains the external 728-profile/98-DOI-group diagnostic:</w:t>
      </w:r>
      <w:r>
        <w:t xml:space="preserve"> </w:t>
      </w:r>
      <m:oMath>
        <m:sSub>
          <m:e>
            <m:r>
              <m:t>Δ</m:t>
            </m:r>
          </m:e>
          <m:sub>
            <m:r>
              <m:rPr>
                <m:sty m:val="p"/>
              </m:rPr>
              <m:t>s</m:t>
            </m:r>
            <m:r>
              <m:rPr>
                <m:sty m:val="p"/>
              </m:rPr>
              <m:t>h</m:t>
            </m:r>
            <m:r>
              <m:rPr>
                <m:sty m:val="p"/>
              </m:rPr>
              <m:t>r</m:t>
            </m:r>
            <m:r>
              <m:rPr>
                <m:sty m:val="p"/>
              </m:rPr>
              <m:t>u</m:t>
            </m:r>
            <m:r>
              <m:rPr>
                <m:sty m:val="p"/>
              </m:rPr>
              <m:t>n</m:t>
            </m:r>
            <m:r>
              <m:rPr>
                <m:sty m:val="p"/>
              </m:rPr>
              <m:t>k</m:t>
            </m:r>
          </m:sub>
        </m:sSub>
        <m:r>
          <m:rPr>
            <m:sty m:val="p"/>
          </m:rPr>
          <m:t>=</m:t>
        </m:r>
        <m:r>
          <m:rPr>
            <m:sty m:val="p"/>
          </m:rPr>
          <m:t>−</m:t>
        </m:r>
        <m:r>
          <m:t>0.0037</m:t>
        </m:r>
      </m:oMath>
      <w:r>
        <w:t xml:space="preserve"> </w:t>
      </w:r>
      <w:r>
        <w:t xml:space="preserve">[95% interval −0.0472, 0.0364], while the within-source permutation result is</w:t>
      </w:r>
      <w:r>
        <w:t xml:space="preserve"> </w:t>
      </w:r>
      <m:oMath>
        <m:r>
          <m:t>p</m:t>
        </m:r>
        <m:r>
          <m:rPr>
            <m:sty m:val="p"/>
          </m:rPr>
          <m:t>=</m:t>
        </m:r>
        <m:r>
          <m:t>0.005</m:t>
        </m:r>
      </m:oMath>
      <w:r>
        <w:t xml:space="preserve">. These panels address statistical interpretation only; they do not add starch observations, validate starch material classifications, or estimate a field-wide error rate. The underlying figure file is unchanged from the frozen Figure 3.</w:t>
      </w:r>
    </w:p>
    <w:bookmarkEnd w:id="29"/>
    <w:bookmarkStart w:id="30" w:name="Xbada3c323cd6680df56c63c6426c2231d7e5e5b"/>
    <w:p>
      <w:pPr>
        <w:pStyle w:val="Heading2"/>
      </w:pPr>
      <w:r>
        <w:t xml:space="preserve">S8 Historical analyses and protocol limitations</w:t>
      </w:r>
    </w:p>
    <w:p>
      <w:pPr>
        <w:pStyle w:val="FirstParagraph"/>
        <w:keepNext/>
      </w:pPr>
      <w:r>
        <w:rPr>
          <w:bCs/>
          <w:b/>
        </w:rPr>
        <w:t xml:space="preserve">Table S8. Frozen historical starch scores retained for provenance only.</w:t>
      </w:r>
      <w:r>
        <w:t xml:space="preserve"> </w:t>
      </w:r>
      <w:r>
        <w:t xml:space="preserve">These use legacy inputs and groups, with 2000-draw fixed-prediction bootstrap intervals. They are not corrected hydrogel performance.</w:t>
      </w:r>
    </w:p>
    <w:tbl>
      <w:tblPr>
        <w:tblStyle w:val="Table"/>
        <w:tblW w:type="pct" w:w="5000"/>
        <w:tblLayout w:type="fixed"/>
        <w:tblLook w:firstRow="1" w:lastRow="0" w:firstColumn="0" w:lastColumn="0" w:noHBand="0" w:noVBand="0" w:val="0020"/>
        <w:jc w:val="start"/>
      </w:tblPr>
      <w:tblGrid>
        <w:gridCol w:w="1649"/>
        <w:gridCol w:w="1649"/>
        <w:gridCol w:w="1649"/>
        <w:gridCol w:w="1649"/>
        <w:gridCol w:w="1649"/>
        <w:gridCol w:w="1649"/>
      </w:tblGrid>
      <w:tr>
        <w:trPr>
          <w:tblHeader w:val="true"/>
          <w:cantSplit/>
          <w:tblHeader/>
        </w:trPr>
        <w:tc>
          <w:tcPr>
            <w:tcW w:type="dxa" w:w="1649"/>
            <w:shd w:fill="EEEEEE"/>
          </w:tcPr>
          <w:p>
            <w:pPr>
              <w:pStyle w:val="Compact"/>
              <w:spacing w:after="80" w:line="240" w:lineRule="auto"/>
              <w:jc w:val="left"/>
            </w:pPr>
            <w:r>
              <w:rPr>
                <w:b/>
                <w:sz w:val="17"/>
              </w:rPr>
              <w:t xml:space="preserve">Legacy view</w:t>
            </w:r>
          </w:p>
        </w:tc>
        <w:tc>
          <w:tcPr>
            <w:tcW w:type="dxa" w:w="1649"/>
            <w:shd w:fill="EEEEEE"/>
          </w:tcPr>
          <w:p>
            <w:pPr>
              <w:pStyle w:val="Compact"/>
              <w:spacing w:after="80" w:line="240" w:lineRule="auto"/>
              <w:jc w:val="left"/>
            </w:pPr>
            <w:r>
              <w:rPr>
                <w:b/>
                <w:sz w:val="17"/>
              </w:rPr>
              <w:t xml:space="preserve">Rows/legacy groups</w:t>
            </w:r>
          </w:p>
        </w:tc>
        <w:tc>
          <w:tcPr>
            <w:tcW w:type="dxa" w:w="1649"/>
            <w:shd w:fill="EEEEEE"/>
          </w:tcPr>
          <w:p>
            <w:pPr>
              <w:pStyle w:val="Compact"/>
              <w:spacing w:after="80" w:line="240" w:lineRule="auto"/>
              <w:jc w:val="right"/>
            </w:pPr>
            <w:r>
              <w:rPr>
                <w:b/>
                <w:sz w:val="17"/>
              </w:rPr>
              <w:t xml:space="preserve">Random R²</w:t>
            </w:r>
          </w:p>
        </w:tc>
        <w:tc>
          <w:tcPr>
            <w:tcW w:type="dxa" w:w="1649"/>
            <w:shd w:fill="EEEEEE"/>
          </w:tcPr>
          <w:p>
            <w:pPr>
              <w:pStyle w:val="Compact"/>
              <w:spacing w:after="80" w:line="240" w:lineRule="auto"/>
              <w:jc w:val="right"/>
            </w:pPr>
            <w:r>
              <w:rPr>
                <w:b/>
                <w:sz w:val="17"/>
              </w:rPr>
              <w:t xml:space="preserve">Raw reference R²</w:t>
            </w:r>
          </w:p>
        </w:tc>
        <w:tc>
          <w:tcPr>
            <w:tcW w:type="dxa" w:w="1649"/>
            <w:shd w:fill="EEEEEE"/>
          </w:tcPr>
          <w:p>
            <w:pPr>
              <w:pStyle w:val="Compact"/>
              <w:spacing w:after="80" w:line="240" w:lineRule="auto"/>
              <w:jc w:val="right"/>
            </w:pPr>
            <w:r>
              <w:rPr>
                <w:b/>
                <w:sz w:val="17"/>
              </w:rPr>
              <w:t xml:space="preserve">Shrunken reference R²</w:t>
            </w:r>
          </w:p>
        </w:tc>
        <w:tc>
          <w:tcPr>
            <w:tcW w:type="dxa" w:w="1649"/>
            <w:shd w:fill="EEEEEE"/>
          </w:tcPr>
          <w:p>
            <w:pPr>
              <w:pStyle w:val="Compact"/>
              <w:spacing w:after="80" w:line="240" w:lineRule="auto"/>
              <w:jc w:val="left"/>
            </w:pPr>
            <w:r>
              <w:rPr>
                <w:b/>
                <w:sz w:val="17"/>
              </w:rPr>
              <w:t xml:space="preserve">Difference [95% interval]</w:t>
            </w:r>
          </w:p>
        </w:tc>
      </w:tr>
      <w:tr>
        <w:trPr>
          <w:cantSplit/>
        </w:trPr>
        <w:tc>
          <w:tcPr>
            <w:tcW w:type="dxa" w:w="1649"/>
          </w:tcPr>
          <w:p>
            <w:pPr>
              <w:pStyle w:val="Compact"/>
              <w:spacing w:after="80" w:line="240" w:lineRule="auto"/>
              <w:jc w:val="left"/>
            </w:pPr>
            <w:r>
              <w:rPr>
                <w:sz w:val="17"/>
              </w:rPr>
              <w:t xml:space="preserve">S_all_ge2</w:t>
            </w:r>
          </w:p>
        </w:tc>
        <w:tc>
          <w:tcPr>
            <w:tcW w:type="dxa" w:w="1649"/>
          </w:tcPr>
          <w:p>
            <w:pPr>
              <w:pStyle w:val="Compact"/>
              <w:spacing w:after="80" w:line="240" w:lineRule="auto"/>
              <w:jc w:val="left"/>
            </w:pPr>
            <w:r>
              <w:rPr>
                <w:sz w:val="17"/>
              </w:rPr>
              <w:t xml:space="preserve">545/100</w:t>
            </w:r>
          </w:p>
        </w:tc>
        <w:tc>
          <w:tcPr>
            <w:tcW w:type="dxa" w:w="1649"/>
          </w:tcPr>
          <w:p>
            <w:pPr>
              <w:pStyle w:val="Compact"/>
              <w:spacing w:after="80" w:line="240" w:lineRule="auto"/>
              <w:jc w:val="right"/>
            </w:pPr>
            <w:r>
              <w:rPr>
                <w:sz w:val="17"/>
              </w:rPr>
              <w:t xml:space="preserve">0.7415</w:t>
            </w:r>
          </w:p>
        </w:tc>
        <w:tc>
          <w:tcPr>
            <w:tcW w:type="dxa" w:w="1649"/>
          </w:tcPr>
          <w:p>
            <w:pPr>
              <w:pStyle w:val="Compact"/>
              <w:spacing w:after="80" w:line="240" w:lineRule="auto"/>
              <w:jc w:val="right"/>
            </w:pPr>
            <w:r>
              <w:rPr>
                <w:sz w:val="17"/>
              </w:rPr>
              <w:t xml:space="preserve">0.5922</w:t>
            </w:r>
          </w:p>
        </w:tc>
        <w:tc>
          <w:tcPr>
            <w:tcW w:type="dxa" w:w="1649"/>
          </w:tcPr>
          <w:p>
            <w:pPr>
              <w:pStyle w:val="Compact"/>
              <w:spacing w:after="80" w:line="240" w:lineRule="auto"/>
              <w:jc w:val="right"/>
            </w:pPr>
            <w:r>
              <w:rPr>
                <w:sz w:val="17"/>
              </w:rPr>
              <w:t xml:space="preserve">0.6130</w:t>
            </w:r>
          </w:p>
        </w:tc>
        <w:tc>
          <w:tcPr>
            <w:tcW w:type="dxa" w:w="1649"/>
          </w:tcPr>
          <w:p>
            <w:pPr>
              <w:pStyle w:val="Compact"/>
              <w:spacing w:after="80" w:line="240" w:lineRule="auto"/>
              <w:jc w:val="left"/>
            </w:pPr>
            <w:r>
              <w:rPr>
                <w:sz w:val="17"/>
              </w:rPr>
              <w:t xml:space="preserve">0.1284 [0.0661, 0.1898]</w:t>
            </w:r>
          </w:p>
        </w:tc>
      </w:tr>
      <w:tr>
        <w:trPr>
          <w:cantSplit/>
        </w:trPr>
        <w:tc>
          <w:tcPr>
            <w:tcW w:type="dxa" w:w="1649"/>
          </w:tcPr>
          <w:p>
            <w:pPr>
              <w:pStyle w:val="Compact"/>
              <w:spacing w:after="80" w:line="240" w:lineRule="auto"/>
              <w:jc w:val="left"/>
            </w:pPr>
            <w:r>
              <w:rPr>
                <w:sz w:val="17"/>
              </w:rPr>
              <w:t xml:space="preserve">S_all_ge3</w:t>
            </w:r>
          </w:p>
        </w:tc>
        <w:tc>
          <w:tcPr>
            <w:tcW w:type="dxa" w:w="1649"/>
          </w:tcPr>
          <w:p>
            <w:pPr>
              <w:pStyle w:val="Compact"/>
              <w:spacing w:after="80" w:line="240" w:lineRule="auto"/>
              <w:jc w:val="left"/>
            </w:pPr>
            <w:r>
              <w:rPr>
                <w:sz w:val="17"/>
              </w:rPr>
              <w:t xml:space="preserve">507/81</w:t>
            </w:r>
          </w:p>
        </w:tc>
        <w:tc>
          <w:tcPr>
            <w:tcW w:type="dxa" w:w="1649"/>
          </w:tcPr>
          <w:p>
            <w:pPr>
              <w:pStyle w:val="Compact"/>
              <w:spacing w:after="80" w:line="240" w:lineRule="auto"/>
              <w:jc w:val="right"/>
            </w:pPr>
            <w:r>
              <w:rPr>
                <w:sz w:val="17"/>
              </w:rPr>
              <w:t xml:space="preserve">0.7568</w:t>
            </w:r>
          </w:p>
        </w:tc>
        <w:tc>
          <w:tcPr>
            <w:tcW w:type="dxa" w:w="1649"/>
          </w:tcPr>
          <w:p>
            <w:pPr>
              <w:pStyle w:val="Compact"/>
              <w:spacing w:after="80" w:line="240" w:lineRule="auto"/>
              <w:jc w:val="right"/>
            </w:pPr>
            <w:r>
              <w:rPr>
                <w:sz w:val="17"/>
              </w:rPr>
              <w:t xml:space="preserve">0.6258</w:t>
            </w:r>
          </w:p>
        </w:tc>
        <w:tc>
          <w:tcPr>
            <w:tcW w:type="dxa" w:w="1649"/>
          </w:tcPr>
          <w:p>
            <w:pPr>
              <w:pStyle w:val="Compact"/>
              <w:spacing w:after="80" w:line="240" w:lineRule="auto"/>
              <w:jc w:val="right"/>
            </w:pPr>
            <w:r>
              <w:rPr>
                <w:sz w:val="17"/>
              </w:rPr>
              <w:t xml:space="preserve">0.6230</w:t>
            </w:r>
          </w:p>
        </w:tc>
        <w:tc>
          <w:tcPr>
            <w:tcW w:type="dxa" w:w="1649"/>
          </w:tcPr>
          <w:p>
            <w:pPr>
              <w:pStyle w:val="Compact"/>
              <w:spacing w:after="80" w:line="240" w:lineRule="auto"/>
              <w:jc w:val="left"/>
            </w:pPr>
            <w:r>
              <w:rPr>
                <w:sz w:val="17"/>
              </w:rPr>
              <w:t xml:space="preserve">0.1338 [0.0763, 0.1993]</w:t>
            </w:r>
          </w:p>
        </w:tc>
      </w:tr>
      <w:tr>
        <w:trPr>
          <w:cantSplit/>
        </w:trPr>
        <w:tc>
          <w:tcPr>
            <w:tcW w:type="dxa" w:w="1649"/>
          </w:tcPr>
          <w:p>
            <w:pPr>
              <w:pStyle w:val="Compact"/>
              <w:spacing w:after="80" w:line="240" w:lineRule="auto"/>
              <w:jc w:val="left"/>
            </w:pPr>
            <w:r>
              <w:rPr>
                <w:sz w:val="17"/>
              </w:rPr>
              <w:t xml:space="preserve">strict_ge2</w:t>
            </w:r>
          </w:p>
        </w:tc>
        <w:tc>
          <w:tcPr>
            <w:tcW w:type="dxa" w:w="1649"/>
          </w:tcPr>
          <w:p>
            <w:pPr>
              <w:pStyle w:val="Compact"/>
              <w:spacing w:after="80" w:line="240" w:lineRule="auto"/>
              <w:jc w:val="left"/>
            </w:pPr>
            <w:r>
              <w:rPr>
                <w:sz w:val="17"/>
              </w:rPr>
              <w:t xml:space="preserve">251/46</w:t>
            </w:r>
          </w:p>
        </w:tc>
        <w:tc>
          <w:tcPr>
            <w:tcW w:type="dxa" w:w="1649"/>
          </w:tcPr>
          <w:p>
            <w:pPr>
              <w:pStyle w:val="Compact"/>
              <w:spacing w:after="80" w:line="240" w:lineRule="auto"/>
              <w:jc w:val="right"/>
            </w:pPr>
            <w:r>
              <w:rPr>
                <w:sz w:val="17"/>
              </w:rPr>
              <w:t xml:space="preserve">0.6816</w:t>
            </w:r>
          </w:p>
        </w:tc>
        <w:tc>
          <w:tcPr>
            <w:tcW w:type="dxa" w:w="1649"/>
          </w:tcPr>
          <w:p>
            <w:pPr>
              <w:pStyle w:val="Compact"/>
              <w:spacing w:after="80" w:line="240" w:lineRule="auto"/>
              <w:jc w:val="right"/>
            </w:pPr>
            <w:r>
              <w:rPr>
                <w:sz w:val="17"/>
              </w:rPr>
              <w:t xml:space="preserve">0.4924</w:t>
            </w:r>
          </w:p>
        </w:tc>
        <w:tc>
          <w:tcPr>
            <w:tcW w:type="dxa" w:w="1649"/>
          </w:tcPr>
          <w:p>
            <w:pPr>
              <w:pStyle w:val="Compact"/>
              <w:spacing w:after="80" w:line="240" w:lineRule="auto"/>
              <w:jc w:val="right"/>
            </w:pPr>
            <w:r>
              <w:rPr>
                <w:sz w:val="17"/>
              </w:rPr>
              <w:t xml:space="preserve">0.5110</w:t>
            </w:r>
          </w:p>
        </w:tc>
        <w:tc>
          <w:tcPr>
            <w:tcW w:type="dxa" w:w="1649"/>
          </w:tcPr>
          <w:p>
            <w:pPr>
              <w:pStyle w:val="Compact"/>
              <w:spacing w:after="80" w:line="240" w:lineRule="auto"/>
              <w:jc w:val="left"/>
            </w:pPr>
            <w:r>
              <w:rPr>
                <w:sz w:val="17"/>
              </w:rPr>
              <w:t xml:space="preserve">0.1705 [0.1096, 0.2500]</w:t>
            </w:r>
          </w:p>
        </w:tc>
      </w:tr>
    </w:tbl>
    <w:p>
      <w:pPr>
        <w:pStyle w:val="BodyText"/>
      </w:pPr>
      <w:r>
        <w:t xml:space="preserve">Source:</w:t>
      </w:r>
      <w:r>
        <w:t xml:space="preserve"> </w:t>
      </w:r>
      <w:r>
        <w:rPr>
          <w:rStyle w:val="VerbatimChar"/>
          <w:rFonts w:ascii="Liberation Mono" w:hAnsi="Liberation Mono"/>
          <w:sz w:val="18"/>
        </w:rPr>
        <w:t xml:space="preserve">artifacts/modeling/diagnostic_calibration/run_v1/observed.csv</w:t>
      </w:r>
      <w:r>
        <w:t xml:space="preserve">. The 545-row view had legacy-group-held-out R²=0.4443 and 199 within-group permutations giving</w:t>
      </w:r>
      <w:r>
        <w:t xml:space="preserve"> </w:t>
      </w:r>
      <m:oMath>
        <m:r>
          <m:t>p</m:t>
        </m:r>
        <m:r>
          <m:rPr>
            <m:sty m:val="p"/>
          </m:rPr>
          <m:t>=</m:t>
        </m:r>
        <m:r>
          <m:t>0.005</m:t>
        </m:r>
      </m:oMath>
      <w:r>
        <w:t xml:space="preserve">. This result does not certify true-source separation after the later identity findings. The legacy strict labels do not certify a purely aqueous-hydrogel, graph-free or human-verified population.</w:t>
      </w:r>
    </w:p>
    <w:p>
      <w:pPr>
        <w:pStyle w:val="BodyText"/>
      </w:pPr>
      <w:r>
        <w:t xml:space="preserve">The older fixed-row pipeline comparison used 272 strict rows/67 legacy groups and gave grouped R² of 0.1285, 0.2890, 0.3299 and 0.4420 along its stated four-step path. The final score used 21 mixed formulation, process and unit-convention fields, not formulation alone. The approximately 51% learner/encoder share was descriptive and order-dependent. Its within-group process increment was −0.0006 [−0.1024,0.1357], not evidence of equivalence to zero or absence of process effects. The first step used a whole-table top-eight salt dictionary as a historical reproduction exception; subsequent encodings were trained within folds. None of these fits was rerun for this derivative, and no correction-induced performance change is claimed.</w:t>
      </w:r>
    </w:p>
    <w:p>
      <w:pPr>
        <w:pStyle w:val="BodyText"/>
      </w:pPr>
      <w:r>
        <w:t xml:space="preserve">The historical 21-input view contained ten numeric fields (</w:t>
      </w:r>
      <w:r>
        <w:rPr>
          <w:rStyle w:val="VerbatimChar"/>
          <w:rFonts w:ascii="Liberation Mono" w:hAnsi="Liberation Mono"/>
          <w:sz w:val="18"/>
        </w:rPr>
        <w:t xml:space="preserve">starch_amount</w:t>
      </w:r>
      <w:r>
        <w:t xml:space="preserve">,</w:t>
      </w:r>
      <w:r>
        <w:t xml:space="preserve"> </w:t>
      </w:r>
      <w:r>
        <w:rPr>
          <w:rStyle w:val="VerbatimChar"/>
          <w:rFonts w:ascii="Liberation Mono" w:hAnsi="Liberation Mono"/>
          <w:sz w:val="18"/>
        </w:rPr>
        <w:t xml:space="preserve">starch_g</w:t>
      </w:r>
      <w:r>
        <w:t xml:space="preserve">,</w:t>
      </w:r>
      <w:r>
        <w:t xml:space="preserve"> </w:t>
      </w:r>
      <w:r>
        <w:rPr>
          <w:rStyle w:val="VerbatimChar"/>
          <w:rFonts w:ascii="Liberation Mono" w:hAnsi="Liberation Mono"/>
          <w:sz w:val="18"/>
        </w:rPr>
        <w:t xml:space="preserve">solid_content_pct</w:t>
      </w:r>
      <w:r>
        <w:t xml:space="preserve">,</w:t>
      </w:r>
      <w:r>
        <w:t xml:space="preserve"> </w:t>
      </w:r>
      <w:r>
        <w:rPr>
          <w:rStyle w:val="VerbatimChar"/>
          <w:rFonts w:ascii="Liberation Mono" w:hAnsi="Liberation Mono"/>
          <w:sz w:val="18"/>
        </w:rPr>
        <w:t xml:space="preserve">water_g</w:t>
      </w:r>
      <w:r>
        <w:t xml:space="preserve">,</w:t>
      </w:r>
      <w:r>
        <w:t xml:space="preserve"> </w:t>
      </w:r>
      <w:r>
        <w:rPr>
          <w:rStyle w:val="VerbatimChar"/>
          <w:rFonts w:ascii="Liberation Mono" w:hAnsi="Liberation Mono"/>
          <w:sz w:val="18"/>
        </w:rPr>
        <w:t xml:space="preserve">water_to_starch</w:t>
      </w:r>
      <w:r>
        <w:t xml:space="preserve">,</w:t>
      </w:r>
      <w:r>
        <w:t xml:space="preserve"> </w:t>
      </w:r>
      <w:r>
        <w:rPr>
          <w:rStyle w:val="VerbatimChar"/>
          <w:rFonts w:ascii="Liberation Mono" w:hAnsi="Liberation Mono"/>
          <w:sz w:val="18"/>
        </w:rPr>
        <w:t xml:space="preserve">salt_content_num</w:t>
      </w:r>
      <w:r>
        <w:t xml:space="preserve">,</w:t>
      </w:r>
      <w:r>
        <w:t xml:space="preserve"> </w:t>
      </w:r>
      <w:r>
        <w:rPr>
          <w:rStyle w:val="VerbatimChar"/>
          <w:rFonts w:ascii="Liberation Mono" w:hAnsi="Liberation Mono"/>
          <w:sz w:val="18"/>
        </w:rPr>
        <w:t xml:space="preserve">plasticizer_content</w:t>
      </w:r>
      <w:r>
        <w:t xml:space="preserve">,</w:t>
      </w:r>
      <w:r>
        <w:t xml:space="preserve"> </w:t>
      </w:r>
      <w:r>
        <w:rPr>
          <w:rStyle w:val="VerbatimChar"/>
          <w:rFonts w:ascii="Liberation Mono" w:hAnsi="Liberation Mono"/>
          <w:sz w:val="18"/>
        </w:rPr>
        <w:t xml:space="preserve">crosslinker_content</w:t>
      </w:r>
      <w:r>
        <w:t xml:space="preserve">,</w:t>
      </w:r>
      <w:r>
        <w:t xml:space="preserve"> </w:t>
      </w:r>
      <w:r>
        <w:rPr>
          <w:rStyle w:val="VerbatimChar"/>
          <w:rFonts w:ascii="Liberation Mono" w:hAnsi="Liberation Mono"/>
          <w:sz w:val="18"/>
        </w:rPr>
        <w:t xml:space="preserve">gelatinization_temp</w:t>
      </w:r>
      <w:r>
        <w:t xml:space="preserve">,</w:t>
      </w:r>
      <w:r>
        <w:t xml:space="preserve"> </w:t>
      </w:r>
      <w:r>
        <w:rPr>
          <w:rStyle w:val="VerbatimChar"/>
          <w:rFonts w:ascii="Liberation Mono" w:hAnsi="Liberation Mono"/>
          <w:sz w:val="18"/>
        </w:rPr>
        <w:t xml:space="preserve">gelatinization_time</w:t>
      </w:r>
      <w:r>
        <w:t xml:space="preserve">) and eleven categorical fields (</w:t>
      </w:r>
      <w:r>
        <w:rPr>
          <w:rStyle w:val="VerbatimChar"/>
          <w:rFonts w:ascii="Liberation Mono" w:hAnsi="Liberation Mono"/>
          <w:sz w:val="18"/>
        </w:rPr>
        <w:t xml:space="preserve">salt_canon</w:t>
      </w:r>
      <w:r>
        <w:t xml:space="preserve">,</w:t>
      </w:r>
      <w:r>
        <w:t xml:space="preserve"> </w:t>
      </w:r>
      <w:r>
        <w:rPr>
          <w:rStyle w:val="VerbatimChar"/>
          <w:rFonts w:ascii="Liberation Mono" w:hAnsi="Liberation Mono"/>
          <w:sz w:val="18"/>
        </w:rPr>
        <w:t xml:space="preserve">salt_unit</w:t>
      </w:r>
      <w:r>
        <w:t xml:space="preserve">,</w:t>
      </w:r>
      <w:r>
        <w:t xml:space="preserve"> </w:t>
      </w:r>
      <w:r>
        <w:rPr>
          <w:rStyle w:val="VerbatimChar"/>
          <w:rFonts w:ascii="Liberation Mono" w:hAnsi="Liberation Mono"/>
          <w:sz w:val="18"/>
        </w:rPr>
        <w:t xml:space="preserve">salt_loading_route</w:t>
      </w:r>
      <w:r>
        <w:t xml:space="preserve">,</w:t>
      </w:r>
      <w:r>
        <w:t xml:space="preserve"> </w:t>
      </w:r>
      <w:r>
        <w:rPr>
          <w:rStyle w:val="VerbatimChar"/>
          <w:rFonts w:ascii="Liberation Mono" w:hAnsi="Liberation Mono"/>
          <w:sz w:val="18"/>
        </w:rPr>
        <w:t xml:space="preserve">plasticizer_type</w:t>
      </w:r>
      <w:r>
        <w:t xml:space="preserve">,</w:t>
      </w:r>
      <w:r>
        <w:t xml:space="preserve"> </w:t>
      </w:r>
      <w:r>
        <w:rPr>
          <w:rStyle w:val="VerbatimChar"/>
          <w:rFonts w:ascii="Liberation Mono" w:hAnsi="Liberation Mono"/>
          <w:sz w:val="18"/>
        </w:rPr>
        <w:t xml:space="preserve">crosslinker_type</w:t>
      </w:r>
      <w:r>
        <w:t xml:space="preserve">,</w:t>
      </w:r>
      <w:r>
        <w:t xml:space="preserve"> </w:t>
      </w:r>
      <w:r>
        <w:rPr>
          <w:rStyle w:val="VerbatimChar"/>
          <w:rFonts w:ascii="Liberation Mono" w:hAnsi="Liberation Mono"/>
          <w:sz w:val="18"/>
        </w:rPr>
        <w:t xml:space="preserve">secondary_polymer_type</w:t>
      </w:r>
      <w:r>
        <w:t xml:space="preserve">,</w:t>
      </w:r>
      <w:r>
        <w:t xml:space="preserve"> </w:t>
      </w:r>
      <w:r>
        <w:rPr>
          <w:rStyle w:val="VerbatimChar"/>
          <w:rFonts w:ascii="Liberation Mono" w:hAnsi="Liberation Mono"/>
          <w:sz w:val="18"/>
        </w:rPr>
        <w:t xml:space="preserve">filler_type</w:t>
      </w:r>
      <w:r>
        <w:t xml:space="preserve">,</w:t>
      </w:r>
      <w:r>
        <w:t xml:space="preserve"> </w:t>
      </w:r>
      <w:r>
        <w:rPr>
          <w:rStyle w:val="VerbatimChar"/>
          <w:rFonts w:ascii="Liberation Mono" w:hAnsi="Liberation Mono"/>
          <w:sz w:val="18"/>
        </w:rPr>
        <w:t xml:space="preserve">crosslink_method</w:t>
      </w:r>
      <w:r>
        <w:t xml:space="preserve">,</w:t>
      </w:r>
      <w:r>
        <w:t xml:space="preserve"> </w:t>
      </w:r>
      <w:r>
        <w:rPr>
          <w:rStyle w:val="VerbatimChar"/>
          <w:rFonts w:ascii="Liberation Mono" w:hAnsi="Liberation Mono"/>
          <w:sz w:val="18"/>
        </w:rPr>
        <w:t xml:space="preserve">drying</w:t>
      </w:r>
      <w:r>
        <w:t xml:space="preserve">,</w:t>
      </w:r>
      <w:r>
        <w:t xml:space="preserve"> </w:t>
      </w:r>
      <w:r>
        <w:rPr>
          <w:rStyle w:val="VerbatimChar"/>
          <w:rFonts w:ascii="Liberation Mono" w:hAnsi="Liberation Mono"/>
          <w:sz w:val="18"/>
        </w:rPr>
        <w:t xml:space="preserve">retrogradation</w:t>
      </w:r>
      <w:r>
        <w:t xml:space="preserve">,</w:t>
      </w:r>
      <w:r>
        <w:t xml:space="preserve"> </w:t>
      </w:r>
      <w:r>
        <w:rPr>
          <w:rStyle w:val="VerbatimChar"/>
          <w:rFonts w:ascii="Liberation Mono" w:hAnsi="Liberation Mono"/>
          <w:sz w:val="18"/>
        </w:rPr>
        <w:t xml:space="preserve">freeze_thaw_cycles</w:t>
      </w:r>
      <w:r>
        <w:t xml:space="preserve">). Gel point and water activity were not in that list. Correcting misnamed facts cannot by itself be claimed to change that model’s process result.</w:t>
      </w:r>
    </w:p>
    <w:p>
      <w:pPr>
        <w:pStyle w:val="BodyText"/>
      </w:pPr>
      <w:r>
        <w:t xml:space="preserve">The initial global-permutation stopping action was not followed after a threshold fired; a byte-identity test failed at about 1.78×10⁻¹⁵; the process protocol was replaced after a coding defect and inspection of descriptive ICC; and an earlier informed-floor study continued after its stopping rule. The historical ledger remains in</w:t>
      </w:r>
      <w:r>
        <w:t xml:space="preserve"> </w:t>
      </w:r>
      <w:r>
        <w:rPr>
          <w:rStyle w:val="VerbatimChar"/>
          <w:rFonts w:ascii="Liberation Mono" w:hAnsi="Liberation Mono"/>
          <w:sz w:val="18"/>
        </w:rPr>
        <w:t xml:space="preserve">paper_methods_validation/supplementary_information.md</w:t>
      </w:r>
      <w:r>
        <w:t xml:space="preserve"> </w:t>
      </w:r>
      <w:r>
        <w:t xml:space="preserve">and is not relabeled as passed. Newer protocols preceded their own derived tables or fits but were informed by earlier results. They do not retrospectively restore blind confirmation.</w:t>
      </w:r>
    </w:p>
    <w:p>
      <w:pPr>
        <w:pStyle w:val="BodyText"/>
      </w:pPr>
      <w:r>
        <w:t xml:space="preserve">Older mechanical, temporal, CALiSol and mediator-reporting studies are not needed to establish this manuscript’s main argument and are not presented as new confirmations. The old nominal-core support percentages and quote-presence counts are likewise not promoted to human accuracy or used to justify the corrected evidence population.</w:t>
      </w:r>
    </w:p>
    <w:bookmarkEnd w:id="30"/>
    <w:bookmarkStart w:id="31" w:name="s9-unresolved-work-and-evidence-identity"/>
    <w:p>
      <w:pPr>
        <w:pStyle w:val="Heading2"/>
      </w:pPr>
      <w:r>
        <w:t xml:space="preserve">S9 Unresolved work and evidence identity</w:t>
      </w:r>
    </w:p>
    <w:p>
      <w:pPr>
        <w:pStyle w:val="FirstParagraph"/>
      </w:pPr>
      <w:r>
        <w:t xml:space="preserve">No independent human audit has been completed. The original packet contains 4470 blank human fields in its frozen initial outputs; that is an integrity fact, not a measure of work completed. Its 118 rows and the corrected core have zero row and carrier overlap.</w:t>
      </w:r>
    </w:p>
    <w:p>
      <w:pPr>
        <w:pStyle w:val="BodyText"/>
      </w:pPr>
      <w:r>
        <w:t xml:space="preserve">A previously proposed targeted human check has not been executed and is not activated by this review text. Its existence is recorded only to distinguish planned work from completed evidence. No human-return dataset is claimed here.</w:t>
      </w:r>
    </w:p>
    <w:p>
      <w:pPr>
        <w:pStyle w:val="BodyText"/>
      </w:pPr>
      <w:r>
        <w:t xml:space="preserve">Such checking, if separately authorized in the future, could revise the current record counts but would not manufacture missing temperature, water content or independent sources. It also would not certify all 118 unresolved material rows or all exclusions as free of missed evidence. Prior exposure to AI findings would need to be declared rather than assumed absent.</w:t>
      </w:r>
    </w:p>
    <w:p>
      <w:pPr>
        <w:pStyle w:val="BodyText"/>
      </w:pPr>
      <w:r>
        <w:t xml:space="preserve">Reference verification for the frozen review version is recorded in</w:t>
      </w:r>
      <w:r>
        <w:t xml:space="preserve"> </w:t>
      </w:r>
      <w:r>
        <w:rPr>
          <w:rStyle w:val="VerbatimChar"/>
          <w:rFonts w:ascii="Liberation Mono" w:hAnsi="Liberation Mono"/>
          <w:sz w:val="18"/>
        </w:rPr>
        <w:t xml:space="preserve">artifacts/modeling/manuscript_revision/advisor_review_v1/reference_check.json</w:t>
      </w:r>
      <w:r>
        <w:t xml:space="preserve">. Claim support levels differ. Metadata alone does not validate case values. No comprehensive novelty search was conducted for this framing, and this review derivative does not add one.</w:t>
      </w:r>
    </w:p>
    <w:p>
      <w:pPr>
        <w:pStyle w:val="BodyText"/>
      </w:pPr>
      <w:r>
        <w:t xml:space="preserve">Author order, affiliations, corresponding-author information, CRediT roles, funding and grant identifiers, conflicts of interest and acknowledgements were not supplied in the materials reviewed for this draft. They remain unset and must not be inferred or fabricated.</w:t>
      </w:r>
    </w:p>
    <w:bookmarkEnd w:id="31"/>
    <w:bookmarkStart w:id="32" w:name="supplementary-references"/>
    <w:p>
      <w:pPr>
        <w:pStyle w:val="Heading2"/>
      </w:pPr>
      <w:r>
        <w:t xml:space="preserve">Supplementary references</w:t>
      </w:r>
    </w:p>
    <w:p>
      <w:pPr>
        <w:pStyle w:val="FirstParagraph"/>
      </w:pPr>
      <w:r>
        <w:t xml:space="preserve">S1. Searle, S. R.; Casella, G.; McCulloch, C. E.</w:t>
      </w:r>
      <w:r>
        <w:t xml:space="preserve"> </w:t>
      </w:r>
      <w:r>
        <w:rPr>
          <w:iCs/>
          <w:i/>
        </w:rPr>
        <w:t xml:space="preserve">Variance Components</w:t>
      </w:r>
      <w:r>
        <w:t xml:space="preserve">. Wiley (1992). DOI: 10.1002/9780470316856.</w:t>
      </w:r>
    </w:p>
    <w:p>
      <w:pPr>
        <w:pStyle w:val="BodyText"/>
      </w:pPr>
      <w:r>
        <w:t xml:space="preserve">S2. Phipson, B.; Smyth, G. K. Permutation P-values Should Never Be Zero: Calculating Exact P-values When Permutations Are Randomly Drawn.</w:t>
      </w:r>
      <w:r>
        <w:t xml:space="preserve"> </w:t>
      </w:r>
      <w:r>
        <w:rPr>
          <w:iCs/>
          <w:i/>
        </w:rPr>
        <w:t xml:space="preserve">Statistical Applications in Genetics and Molecular Biology</w:t>
      </w:r>
      <w:r>
        <w:t xml:space="preserve"> </w:t>
      </w:r>
      <w:r>
        <w:t xml:space="preserve">9(1), Article 39 (2010). DOI: 10.2202/1544-6115.1585.</w:t>
      </w:r>
    </w:p>
    <w:p>
      <w:pPr>
        <w:pStyle w:val="BodyText"/>
      </w:pPr>
      <w:r>
        <w:t xml:space="preserve">S3. Morris, T. P.; White, I. R.; Crowther, M. J. Using simulation studies to evaluate statistical methods.</w:t>
      </w:r>
      <w:r>
        <w:t xml:space="preserve"> </w:t>
      </w:r>
      <w:r>
        <w:rPr>
          <w:iCs/>
          <w:i/>
        </w:rPr>
        <w:t xml:space="preserve">Statistics in Medicine</w:t>
      </w:r>
      <w:r>
        <w:t xml:space="preserve"> </w:t>
      </w:r>
      <w:r>
        <w:t xml:space="preserve">38(11), 2074–2102 (2019). DOI: 10.1002/sim.8086.</w:t>
      </w:r>
    </w:p>
    <w:p>
      <w:pPr>
        <w:pStyle w:val="BodyText"/>
      </w:pPr>
      <w:r>
        <w:t xml:space="preserve">S4. Bradford, G. et al. Chemistry-Informed Machine Learning for Polymer Electrolyte Discovery.</w:t>
      </w:r>
      <w:r>
        <w:t xml:space="preserve"> </w:t>
      </w:r>
      <w:r>
        <w:rPr>
          <w:iCs/>
          <w:i/>
        </w:rPr>
        <w:t xml:space="preserve">ACS Central Science</w:t>
      </w:r>
      <w:r>
        <w:t xml:space="preserve"> </w:t>
      </w:r>
      <w:r>
        <w:t xml:space="preserve">9(2), 206–216 (2023). DOI: 10.1021/acscentsci.2c01123.</w:t>
      </w:r>
    </w:p>
    <w:p>
      <w:pPr>
        <w:pStyle w:val="BodyText"/>
      </w:pPr>
      <w:r>
        <w:t xml:space="preserve">S5. Cruz-Balaz, M. I. et al. Synthesis and characterization of Chitosan-Avocado seed starch hydrogels as electrolytes for zinc-air batteries.</w:t>
      </w:r>
      <w:r>
        <w:t xml:space="preserve"> </w:t>
      </w:r>
      <w:r>
        <w:rPr>
          <w:iCs/>
          <w:i/>
        </w:rPr>
        <w:t xml:space="preserve">Journal of Polymer Research</w:t>
      </w:r>
      <w:r>
        <w:t xml:space="preserve"> </w:t>
      </w:r>
      <w:r>
        <w:t xml:space="preserve">30(6), 189 (2023). DOI: 10.1007/s10965-023-03566-0.</w:t>
      </w:r>
    </w:p>
    <w:p>
      <w:pPr>
        <w:pStyle w:val="BodyText"/>
      </w:pPr>
      <w:r>
        <w:t xml:space="preserve">S6. Zhen, C.; Dedetemo, P. K.; Chiku, M.; Higuchi, E.; Inoue, H. Preparation and Characterization of Starch-Based Hydrogel Electrolyte Membrane for Quasi-Solid-State Rechargeable Alkaline Zinc Battery.</w:t>
      </w:r>
      <w:r>
        <w:t xml:space="preserve"> </w:t>
      </w:r>
      <w:r>
        <w:rPr>
          <w:iCs/>
          <w:i/>
        </w:rPr>
        <w:t xml:space="preserve">Electrochemistry</w:t>
      </w:r>
      <w:r>
        <w:t xml:space="preserve"> </w:t>
      </w:r>
      <w:r>
        <w:t xml:space="preserve">93(2), 027010 (2025). DOI: 10.5796/electrochemistry.24-00125.</w:t>
      </w:r>
    </w:p>
    <w:p>
      <w:pPr>
        <w:pStyle w:val="BodyText"/>
      </w:pPr>
      <w:r>
        <w:t xml:space="preserve">S7. Tiwari, T.; Srivastava, N.; Srivastava, P. C. Electrical transport study of potato starch-based electrolyte system.</w:t>
      </w:r>
      <w:r>
        <w:t xml:space="preserve"> </w:t>
      </w:r>
      <w:r>
        <w:rPr>
          <w:iCs/>
          <w:i/>
        </w:rPr>
        <w:t xml:space="preserve">Ionics</w:t>
      </w:r>
      <w:r>
        <w:t xml:space="preserve"> </w:t>
      </w:r>
      <w:r>
        <w:t xml:space="preserve">17(4), 353–360 (2011). DOI: 10.1007/s11581-010-0516-0.</w:t>
      </w:r>
    </w:p>
    <w:p>
      <w:pPr>
        <w:pStyle w:val="BodyText"/>
      </w:pPr>
      <w:r>
        <w:t xml:space="preserve">S8. Teoh, K. H.; Lim, C.-S.; Ramesh, S. Lithium ion conduction in corn starch based solid polymer electrolytes.</w:t>
      </w:r>
      <w:r>
        <w:t xml:space="preserve"> </w:t>
      </w:r>
      <w:r>
        <w:rPr>
          <w:iCs/>
          <w:i/>
        </w:rPr>
        <w:t xml:space="preserve">Measurement</w:t>
      </w:r>
      <w:r>
        <w:t xml:space="preserve"> </w:t>
      </w:r>
      <w:r>
        <w:t xml:space="preserve">48, 87–95 (2014). DOI: 10.1016/j.measurement.2013.10.040.</w:t>
      </w:r>
    </w:p>
    <w:p>
      <w:pPr>
        <w:pStyle w:val="BodyText"/>
      </w:pPr>
      <w:r>
        <w:t xml:space="preserve">S9. Anandha Jothi, M. et al. Investigations of lithium ion conducting polymer blend electrolytes using biodegradable cornstarch and PVP.</w:t>
      </w:r>
      <w:r>
        <w:t xml:space="preserve"> </w:t>
      </w:r>
      <w:r>
        <w:rPr>
          <w:iCs/>
          <w:i/>
        </w:rPr>
        <w:t xml:space="preserve">Physica B: Condensed Matter</w:t>
      </w:r>
      <w:r>
        <w:t xml:space="preserve"> </w:t>
      </w:r>
      <w:r>
        <w:t xml:space="preserve">580, 411940 (2020). DOI: 10.1016/j.physb.2019.411940.</w:t>
      </w:r>
    </w:p>
    <w:bookmarkEnd w:id="32"/>
    <w:bookmarkStart w:id="33" w:name="public-distribution-note"/>
    <w:p>
      <w:pPr>
        <w:pStyle w:val="Heading2"/>
      </w:pPr>
      <w:r>
        <w:t xml:space="preserve">Public distribution note</w:t>
      </w:r>
    </w:p>
    <w:p>
      <w:pPr>
        <w:pStyle w:val="FirstParagraph"/>
      </w:pPr>
      <w:r>
        <w:t xml:space="preserve">This is a reduced public derivative of the 14 September 2026 review supplement, updated for the review delivery of 18 September 2026. Scientific tables and numerical results are retained without a new scientific run. Article full text, original paper PDFs/page images, complete private fact tables and source-reconstruction material, private cleaning/source mappings, local-path metadata, historical model binaries and unchecked administrative/contact material are not redistributed. Use the public reproducibility note for the available public inputs and checks; missing original dependencies do not count as a passed full reproduction.</w:t>
      </w:r>
    </w:p>
    <w:bookmarkEnd w:id="33"/>
    <w:bookmarkEnd w:id="34"/>
    <w:sectPr>
      <w:footerReference w:type="default" r:id="rId9"/>
      <w:pgSz w:w="11909" w:h="16834"/>
      <w:pgMar w:top="1008" w:bottom="1008" w:left="1008" w:right="1008"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69" w:lineRule="auto"/>
    </w:pPr>
    <w:rPr>
      <w:rFonts w:ascii="Liberation Serif" w:hAnsi="Liberation Serif" w:eastAsia="Noto Sans CJK SC"/>
      <w:color w:val="000000"/>
      <w:sz w:val="21"/>
    </w:rPr>
  </w:style>
  <w:style w:styleId="BodyText" w:type="paragraph">
    <w:name w:val="Body Text"/>
    <w:basedOn w:val="Normal"/>
    <w:link w:val="BodyTextChar"/>
    <w:pPr>
      <w:widowControl/>
      <w:spacing w:after="120" w:before="180" w:line="269" w:lineRule="auto"/>
    </w:pPr>
    <w:qFormat/>
    <w:rPr>
      <w:rFonts w:ascii="Liberation Serif" w:hAnsi="Liberation Serif" w:eastAsia="Noto Sans CJK SC"/>
      <w:color w:val="000000"/>
      <w:sz w:val="21"/>
    </w:rPr>
  </w:style>
  <w:style w:customStyle="1" w:styleId="FirstParagraph" w:type="paragraph">
    <w:name w:val="First Paragraph"/>
    <w:basedOn w:val="BodyText"/>
    <w:next w:val="BodyText"/>
    <w:qFormat/>
    <w:pPr>
      <w:widowControl/>
      <w:spacing w:after="120" w:line="269" w:lineRule="auto"/>
    </w:pPr>
    <w:rPr>
      <w:rFonts w:ascii="Liberation Serif" w:hAnsi="Liberation Serif" w:eastAsia="Noto Sans CJK SC"/>
      <w:color w:val="000000"/>
      <w:sz w:val="21"/>
    </w:rPr>
  </w:style>
  <w:style w:customStyle="1" w:styleId="Compact" w:type="paragraph">
    <w:name w:val="Compact"/>
    <w:basedOn w:val="BodyText"/>
    <w:qFormat/>
    <w:pPr>
      <w:widowControl/>
      <w:spacing w:after="120" w:before="36" w:line="269" w:lineRule="auto"/>
    </w:pPr>
    <w:rPr>
      <w:rFonts w:ascii="Liberation Serif" w:hAnsi="Liberation Serif" w:eastAsia="Noto Sans CJK SC"/>
      <w:color w:val="000000"/>
      <w:sz w:val="21"/>
    </w:rPr>
  </w:style>
  <w:style w:styleId="Title" w:type="paragraph">
    <w:name w:val="Title"/>
    <w:basedOn w:val="Normal"/>
    <w:next w:val="BodyText"/>
    <w:qFormat/>
    <w:pPr>
      <w:keepNext/>
      <w:keepLines/>
      <w:widowControl/>
      <w:spacing w:after="120" w:before="240" w:line="269" w:lineRule="auto"/>
      <w:jc w:val="center"/>
    </w:pPr>
    <w:rPr>
      <w:rFonts w:asciiTheme="majorHAnsi" w:cstheme="majorBidi" w:eastAsiaTheme="majorEastAsia" w:hAnsiTheme="majorHAnsi" w:ascii="Liberation Serif" w:hAnsi="Liberation Serif" w:eastAsia="Noto Sans CJK SC"/>
      <w:b/>
      <w:bCs/>
      <w:color w:val="000000"/>
      <w:sz w:val="34"/>
      <w:szCs w:val="36"/>
    </w:rPr>
  </w:style>
  <w:style w:styleId="Subtitle" w:type="paragraph">
    <w:name w:val="Subtitle"/>
    <w:basedOn w:val="Title"/>
    <w:next w:val="BodyText"/>
    <w:qFormat/>
    <w:pPr>
      <w:keepNext/>
      <w:keepLines/>
      <w:widowControl/>
      <w:spacing w:after="120" w:before="240" w:line="269" w:lineRule="auto"/>
      <w:jc w:val="center"/>
    </w:pPr>
    <w:rPr>
      <w:rFonts w:ascii="Liberation Serif" w:hAnsi="Liberation Serif" w:eastAsia="Noto Sans CJK SC"/>
      <w:color w:val="000000"/>
      <w:sz w:val="21"/>
      <w:szCs w:val="30"/>
    </w:rPr>
  </w:style>
  <w:style w:customStyle="1" w:styleId="Author" w:type="paragraph">
    <w:name w:val="Author"/>
    <w:next w:val="BodyText"/>
    <w:qFormat/>
    <w:pPr>
      <w:keepNext/>
      <w:keepLines/>
      <w:widowControl/>
      <w:spacing w:after="120" w:line="269" w:lineRule="auto"/>
      <w:jc w:val="center"/>
    </w:pPr>
    <w:rPr>
      <w:rFonts w:ascii="Liberation Serif" w:hAnsi="Liberation Serif" w:eastAsia="Noto Sans CJK SC"/>
      <w:color w:val="000000"/>
      <w:sz w:val="21"/>
    </w:rPr>
  </w:style>
  <w:style w:styleId="Date" w:type="paragraph">
    <w:name w:val="Date"/>
    <w:next w:val="BodyText"/>
    <w:qFormat/>
    <w:pPr>
      <w:keepNext/>
      <w:keepLines/>
      <w:widowControl/>
      <w:spacing w:after="120" w:line="269" w:lineRule="auto"/>
      <w:jc w:val="center"/>
    </w:pPr>
    <w:rPr>
      <w:rFonts w:ascii="Liberation Serif" w:hAnsi="Liberation Serif" w:eastAsia="Noto Sans CJK SC"/>
      <w:color w:val="000000"/>
      <w:sz w:val="21"/>
    </w:rPr>
  </w:style>
  <w:style w:customStyle="1" w:styleId="AbstractTitle" w:type="paragraph">
    <w:name w:val="Abstract Title"/>
    <w:basedOn w:val="Normal"/>
    <w:next w:val="Abstract"/>
    <w:qFormat/>
    <w:pPr>
      <w:keepNext/>
      <w:keepLines/>
      <w:jc w:val="center"/>
      <w:widowControl/>
      <w:spacing w:after="120" w:before="300" w:line="269" w:lineRule="auto"/>
    </w:pPr>
    <w:rPr>
      <w:color w:val="000000"/>
      <w:sz w:val="21"/>
      <w:szCs w:val="20"/>
      <w:rFonts w:ascii="Liberation Serif" w:hAnsi="Liberation Serif" w:eastAsia="Noto Sans CJK SC"/>
      <w:b/>
    </w:rPr>
  </w:style>
  <w:style w:customStyle="1" w:styleId="Abstract" w:type="paragraph">
    <w:name w:val="Abstract"/>
    <w:basedOn w:val="Normal"/>
    <w:next w:val="BodyText"/>
    <w:qFormat/>
    <w:pPr>
      <w:keepNext/>
      <w:keepLines/>
      <w:widowControl/>
      <w:spacing w:after="120" w:before="100" w:line="269" w:lineRule="auto"/>
    </w:pPr>
    <w:rPr>
      <w:rFonts w:ascii="Liberation Serif" w:hAnsi="Liberation Serif" w:eastAsia="Noto Sans CJK SC"/>
      <w:color w:val="000000"/>
      <w:sz w:val="21"/>
      <w:szCs w:val="20"/>
    </w:rPr>
  </w:style>
  <w:style w:styleId="Bibliography" w:type="paragraph">
    <w:name w:val="Bibliography"/>
    <w:basedOn w:val="Normal"/>
    <w:next w:val="Bibliography"/>
    <w:qFormat/>
    <w:pPr>
      <w:widowControl/>
      <w:spacing w:after="120" w:line="269" w:lineRule="auto"/>
    </w:pPr>
    <w:rPr>
      <w:rFonts w:ascii="Liberation Serif" w:hAnsi="Liberation Serif" w:eastAsia="Noto Sans CJK SC"/>
      <w:color w:val="000000"/>
      <w:sz w:val="21"/>
    </w:rPr>
  </w:style>
  <w:style w:styleId="Heading1" w:type="paragraph">
    <w:name w:val="Heading 1"/>
    <w:basedOn w:val="Normal"/>
    <w:next w:val="BodyText"/>
    <w:uiPriority w:val="9"/>
    <w:qFormat/>
    <w:pPr>
      <w:keepNext/>
      <w:keepLines/>
      <w:widowControl/>
      <w:spacing w:after="120" w:before="240" w:line="269" w:lineRule="auto"/>
      <w:outlineLvl w:val="0"/>
    </w:pPr>
    <w:rPr>
      <w:rFonts w:asciiTheme="majorHAnsi" w:cstheme="majorBidi" w:eastAsiaTheme="majorEastAsia" w:hAnsiTheme="majorHAnsi" w:ascii="Liberation Serif" w:hAnsi="Liberation Serif" w:eastAsia="Noto Sans CJK SC"/>
      <w:b/>
      <w:bCs/>
      <w:color w:val="000000"/>
      <w:sz w:val="34"/>
      <w:szCs w:val="32"/>
    </w:rPr>
  </w:style>
  <w:style w:styleId="Heading2" w:type="paragraph">
    <w:name w:val="Heading 2"/>
    <w:basedOn w:val="Normal"/>
    <w:next w:val="BodyText"/>
    <w:uiPriority w:val="9"/>
    <w:unhideWhenUsed/>
    <w:qFormat/>
    <w:pPr>
      <w:keepNext/>
      <w:keepLines/>
      <w:widowControl/>
      <w:spacing w:after="120" w:before="240" w:line="269" w:lineRule="auto"/>
      <w:outlineLvl w:val="1"/>
    </w:pPr>
    <w:rPr>
      <w:rFonts w:asciiTheme="majorHAnsi" w:cstheme="majorBidi" w:eastAsiaTheme="majorEastAsia" w:hAnsiTheme="majorHAnsi" w:ascii="Liberation Serif" w:hAnsi="Liberation Serif" w:eastAsia="Noto Sans CJK SC"/>
      <w:b/>
      <w:bCs/>
      <w:color w:val="000000"/>
      <w:sz w:val="26"/>
      <w:szCs w:val="28"/>
    </w:rPr>
  </w:style>
  <w:style w:styleId="Heading3" w:type="paragraph">
    <w:name w:val="Heading 3"/>
    <w:basedOn w:val="Normal"/>
    <w:next w:val="BodyText"/>
    <w:uiPriority w:val="9"/>
    <w:unhideWhenUsed/>
    <w:qFormat/>
    <w:pPr>
      <w:keepNext/>
      <w:keepLines/>
      <w:widowControl/>
      <w:spacing w:after="120" w:before="240" w:line="269" w:lineRule="auto"/>
      <w:outlineLvl w:val="2"/>
    </w:pPr>
    <w:rPr>
      <w:rFonts w:asciiTheme="majorHAnsi" w:cstheme="majorBidi" w:eastAsiaTheme="majorEastAsia" w:hAnsiTheme="majorHAnsi" w:ascii="Liberation Serif" w:hAnsi="Liberation Serif" w:eastAsia="Noto Sans CJK SC"/>
      <w:b/>
      <w:bCs/>
      <w:color w:val="000000"/>
      <w:sz w:val="23"/>
      <w:szCs w:val="24"/>
    </w:rPr>
  </w:style>
  <w:style w:styleId="Heading4" w:type="paragraph">
    <w:name w:val="Heading 4"/>
    <w:basedOn w:val="Normal"/>
    <w:next w:val="BodyText"/>
    <w:uiPriority w:val="9"/>
    <w:unhideWhenUsed/>
    <w:qFormat/>
    <w:pPr>
      <w:keepNext/>
      <w:keepLines/>
      <w:widowControl/>
      <w:spacing w:after="120" w:before="200" w:line="269" w:lineRule="auto"/>
      <w:outlineLvl w:val="3"/>
    </w:pPr>
    <w:rPr>
      <w:rFonts w:asciiTheme="majorHAnsi" w:cstheme="majorBidi" w:eastAsiaTheme="majorEastAsia" w:hAnsiTheme="majorHAnsi" w:ascii="Liberation Serif" w:hAnsi="Liberation Serif" w:eastAsia="Noto Sans CJK SC"/>
      <w:i/>
      <w:bCs/>
      <w:color w:val="000000"/>
      <w:sz w:val="21"/>
      <w:szCs w:val="24"/>
    </w:rPr>
  </w:style>
  <w:style w:styleId="Heading5" w:type="paragraph">
    <w:name w:val="Heading 5"/>
    <w:basedOn w:val="Normal"/>
    <w:next w:val="BodyText"/>
    <w:uiPriority w:val="9"/>
    <w:unhideWhenUsed/>
    <w:qFormat/>
    <w:pPr>
      <w:keepNext/>
      <w:keepLines/>
      <w:widowControl/>
      <w:spacing w:after="120" w:before="200" w:line="269" w:lineRule="auto"/>
      <w:outlineLvl w:val="4"/>
    </w:pPr>
    <w:rPr>
      <w:rFonts w:asciiTheme="majorHAnsi" w:cstheme="majorBidi" w:eastAsiaTheme="majorEastAsia" w:hAnsiTheme="majorHAnsi" w:ascii="Liberation Serif" w:hAnsi="Liberation Serif" w:eastAsia="Noto Sans CJK SC"/>
      <w:iCs/>
      <w:color w:val="000000"/>
      <w:sz w:val="21"/>
      <w:szCs w:val="24"/>
    </w:rPr>
  </w:style>
  <w:style w:styleId="Heading6" w:type="paragraph">
    <w:name w:val="Heading 6"/>
    <w:basedOn w:val="Normal"/>
    <w:next w:val="BodyText"/>
    <w:uiPriority w:val="9"/>
    <w:unhideWhenUsed/>
    <w:qFormat/>
    <w:pPr>
      <w:keepNext/>
      <w:keepLines/>
      <w:widowControl/>
      <w:spacing w:after="120" w:before="200" w:line="269" w:lineRule="auto"/>
      <w:outlineLvl w:val="5"/>
    </w:pPr>
    <w:rPr>
      <w:rFonts w:asciiTheme="majorHAnsi" w:cstheme="majorBidi" w:eastAsiaTheme="majorEastAsia" w:hAnsiTheme="majorHAnsi" w:ascii="Liberation Serif" w:hAnsi="Liberation Serif" w:eastAsia="Noto Sans CJK SC"/>
      <w:color w:val="000000"/>
      <w:sz w:val="21"/>
      <w:szCs w:val="24"/>
    </w:rPr>
  </w:style>
  <w:style w:styleId="Heading7" w:type="paragraph">
    <w:name w:val="Heading 7"/>
    <w:basedOn w:val="Normal"/>
    <w:next w:val="BodyText"/>
    <w:uiPriority w:val="9"/>
    <w:unhideWhenUsed/>
    <w:qFormat/>
    <w:pPr>
      <w:keepNext/>
      <w:keepLines/>
      <w:widowControl/>
      <w:spacing w:after="120" w:before="200" w:line="269" w:lineRule="auto"/>
      <w:outlineLvl w:val="6"/>
    </w:pPr>
    <w:rPr>
      <w:rFonts w:asciiTheme="majorHAnsi" w:cstheme="majorBidi" w:eastAsiaTheme="majorEastAsia" w:hAnsiTheme="majorHAnsi" w:ascii="Liberation Serif" w:hAnsi="Liberation Serif" w:eastAsia="Noto Sans CJK SC"/>
      <w:color w:val="000000"/>
      <w:sz w:val="21"/>
      <w:szCs w:val="24"/>
    </w:rPr>
  </w:style>
  <w:style w:styleId="Heading8" w:type="paragraph">
    <w:name w:val="Heading 8"/>
    <w:basedOn w:val="Normal"/>
    <w:next w:val="BodyText"/>
    <w:uiPriority w:val="9"/>
    <w:unhideWhenUsed/>
    <w:qFormat/>
    <w:pPr>
      <w:keepNext/>
      <w:keepLines/>
      <w:widowControl/>
      <w:spacing w:after="120" w:before="200" w:line="269" w:lineRule="auto"/>
      <w:outlineLvl w:val="7"/>
    </w:pPr>
    <w:rPr>
      <w:rFonts w:asciiTheme="majorHAnsi" w:cstheme="majorBidi" w:eastAsiaTheme="majorEastAsia" w:hAnsiTheme="majorHAnsi" w:ascii="Liberation Serif" w:hAnsi="Liberation Serif" w:eastAsia="Noto Sans CJK SC"/>
      <w:color w:val="000000"/>
      <w:sz w:val="21"/>
      <w:szCs w:val="24"/>
    </w:rPr>
  </w:style>
  <w:style w:styleId="Heading9" w:type="paragraph">
    <w:name w:val="Heading 9"/>
    <w:basedOn w:val="Normal"/>
    <w:next w:val="BodyText"/>
    <w:uiPriority w:val="9"/>
    <w:unhideWhenUsed/>
    <w:qFormat/>
    <w:pPr>
      <w:keepNext/>
      <w:keepLines/>
      <w:widowControl/>
      <w:spacing w:after="120" w:before="200" w:line="269" w:lineRule="auto"/>
      <w:outlineLvl w:val="8"/>
    </w:pPr>
    <w:rPr>
      <w:rFonts w:asciiTheme="majorHAnsi" w:cstheme="majorBidi" w:eastAsiaTheme="majorEastAsia" w:hAnsiTheme="majorHAnsi" w:ascii="Liberation Serif" w:hAnsi="Liberation Serif" w:eastAsia="Noto Sans CJK SC"/>
      <w:color w:val="000000"/>
      <w:sz w:val="21"/>
      <w:szCs w:val="24"/>
    </w:rPr>
  </w:style>
  <w:style w:styleId="BlockText" w:type="paragraph">
    <w:name w:val="Block Text"/>
    <w:basedOn w:val="BodyText"/>
    <w:next w:val="BodyText"/>
    <w:uiPriority w:val="9"/>
    <w:unhideWhenUsed/>
    <w:qFormat/>
    <w:pPr>
      <w:widowControl/>
      <w:spacing w:after="120" w:before="100" w:line="269" w:lineRule="auto"/>
      <w:ind w:firstLine="0" w:left="480" w:right="480"/>
    </w:pPr>
    <w:rPr>
      <w:rFonts w:ascii="Liberation Serif" w:hAnsi="Liberation Serif" w:eastAsia="Noto Sans CJK SC"/>
      <w:color w:val="000000"/>
      <w:sz w:val="21"/>
    </w:rPr>
  </w:style>
  <w:style w:styleId="FootnoteText" w:type="paragraph">
    <w:name w:val="Footnote Text"/>
    <w:basedOn w:val="Normal"/>
    <w:next w:val="FootnoteText"/>
    <w:uiPriority w:val="9"/>
    <w:unhideWhenUsed/>
    <w:qFormat/>
    <w:pPr>
      <w:widowControl/>
      <w:spacing w:after="120" w:line="269" w:lineRule="auto"/>
    </w:pPr>
    <w:rPr>
      <w:rFonts w:ascii="Liberation Serif" w:hAnsi="Liberation Serif" w:eastAsia="Noto Sans CJK SC"/>
      <w:color w:val="000000"/>
      <w:sz w:val="21"/>
    </w:rPr>
  </w:style>
  <w:style w:default="1" w:styleId="DefaultParagraphFont" w:type="character">
    <w:name w:val="Default Paragraph Font"/>
    <w:semiHidden/>
    <w:unhideWhenUsed/>
    <w:rPr>
      <w:rFonts w:ascii="Liberation Serif" w:hAnsi="Liberation Serif" w:eastAsia="Noto Sans CJK SC"/>
      <w:color w:val="000000"/>
      <w:sz w:val="21"/>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widowControl/>
      <w:spacing w:after="120" w:line="269" w:lineRule="auto"/>
    </w:pPr>
    <w:rPr>
      <w:rFonts w:ascii="Liberation Serif" w:hAnsi="Liberation Serif" w:eastAsia="Noto Sans CJK SC"/>
      <w:b/>
      <w:color w:val="000000"/>
      <w:sz w:val="21"/>
    </w:rPr>
  </w:style>
  <w:style w:customStyle="1" w:styleId="Definition" w:type="paragraph">
    <w:name w:val="Definition"/>
    <w:basedOn w:val="Normal"/>
    <w:pPr>
      <w:widowControl/>
      <w:spacing w:after="120" w:line="269" w:lineRule="auto"/>
    </w:pPr>
    <w:rPr>
      <w:rFonts w:ascii="Liberation Serif" w:hAnsi="Liberation Serif" w:eastAsia="Noto Sans CJK SC"/>
      <w:color w:val="000000"/>
      <w:sz w:val="21"/>
    </w:rPr>
  </w:style>
  <w:style w:styleId="Caption" w:type="paragraph">
    <w:name w:val="Caption"/>
    <w:basedOn w:val="Normal"/>
    <w:link w:val="BodyTextChar"/>
    <w:pPr>
      <w:widowControl/>
      <w:spacing w:after="120" w:before="0" w:line="269" w:lineRule="auto"/>
    </w:pPr>
    <w:rPr>
      <w:rFonts w:ascii="Liberation Serif" w:hAnsi="Liberation Serif" w:eastAsia="Noto Sans CJK SC"/>
      <w:i/>
      <w:color w:val="000000"/>
      <w:sz w:val="21"/>
    </w:rPr>
  </w:style>
  <w:style w:customStyle="1" w:styleId="TableCaption" w:type="paragraph">
    <w:name w:val="Table Caption"/>
    <w:basedOn w:val="Caption"/>
    <w:pPr>
      <w:keepNext/>
      <w:widowControl/>
      <w:spacing w:after="120" w:line="269" w:lineRule="auto"/>
    </w:pPr>
    <w:rPr>
      <w:rFonts w:ascii="Liberation Serif" w:hAnsi="Liberation Serif" w:eastAsia="Noto Sans CJK SC"/>
      <w:color w:val="000000"/>
      <w:sz w:val="21"/>
    </w:rPr>
  </w:style>
  <w:style w:customStyle="1" w:styleId="ImageCaption" w:type="paragraph">
    <w:name w:val="Image Caption"/>
    <w:basedOn w:val="Caption"/>
    <w:pPr>
      <w:widowControl/>
      <w:spacing w:after="120" w:line="269" w:lineRule="auto"/>
    </w:pPr>
    <w:rPr>
      <w:rFonts w:ascii="Liberation Serif" w:hAnsi="Liberation Serif" w:eastAsia="Noto Sans CJK SC"/>
      <w:color w:val="000000"/>
      <w:sz w:val="21"/>
    </w:rPr>
  </w:style>
  <w:style w:customStyle="1" w:styleId="Figure" w:type="paragraph">
    <w:name w:val="Figure"/>
    <w:basedOn w:val="Normal"/>
    <w:pPr>
      <w:widowControl/>
      <w:spacing w:after="120" w:line="269" w:lineRule="auto"/>
    </w:pPr>
    <w:rPr>
      <w:rFonts w:ascii="Liberation Serif" w:hAnsi="Liberation Serif" w:eastAsia="Noto Sans CJK SC"/>
      <w:color w:val="000000"/>
      <w:sz w:val="21"/>
    </w:rPr>
  </w:style>
  <w:style w:customStyle="1" w:styleId="CaptionedFigure" w:type="paragraph">
    <w:name w:val="Captioned Figure"/>
    <w:basedOn w:val="Figure"/>
    <w:pPr>
      <w:keepNext/>
      <w:widowControl/>
      <w:spacing w:after="120" w:line="269" w:lineRule="auto"/>
    </w:pPr>
    <w:rPr>
      <w:rFonts w:ascii="Liberation Serif" w:hAnsi="Liberation Serif" w:eastAsia="Noto Sans CJK SC"/>
      <w:color w:val="000000"/>
      <w:sz w:val="21"/>
    </w:rPr>
  </w:style>
  <w:style w:customStyle="1" w:styleId="BodyTextChar" w:type="character">
    <w:name w:val="Body Text Char"/>
    <w:basedOn w:val="DefaultParagraphFont"/>
    <w:link w:val="BodyText"/>
    <w:rPr>
      <w:rFonts w:ascii="Liberation Serif" w:hAnsi="Liberation Serif" w:eastAsia="Noto Sans CJK SC"/>
      <w:color w:val="000000"/>
      <w:sz w:val="21"/>
    </w:rPr>
  </w:style>
  <w:style w:customStyle="1" w:styleId="VerbatimChar" w:type="character">
    <w:name w:val="Verbatim Char"/>
    <w:basedOn w:val="BodyTextChar"/>
    <w:rPr>
      <w:rFonts w:ascii="Liberation Serif" w:hAnsi="Liberation Serif" w:eastAsia="Noto Sans CJK SC"/>
      <w:color w:val="000000"/>
      <w:sz w:val="21"/>
    </w:rPr>
  </w:style>
  <w:style w:customStyle="1" w:styleId="SectionNumber" w:type="character">
    <w:name w:val="Section Number"/>
    <w:basedOn w:val="BodyTextChar"/>
    <w:rPr>
      <w:rFonts w:ascii="Liberation Serif" w:hAnsi="Liberation Serif" w:eastAsia="Noto Sans CJK SC"/>
      <w:color w:val="000000"/>
      <w:sz w:val="21"/>
    </w:rPr>
  </w:style>
  <w:style w:styleId="FootnoteReference" w:type="character">
    <w:name w:val="Footnote Reference"/>
    <w:basedOn w:val="BodyTextChar"/>
    <w:rPr>
      <w:rFonts w:ascii="Liberation Serif" w:hAnsi="Liberation Serif" w:eastAsia="Noto Sans CJK SC"/>
      <w:color w:val="000000"/>
      <w:sz w:val="21"/>
      <w:vertAlign w:val="superscript"/>
    </w:rPr>
  </w:style>
  <w:style w:styleId="Hyperlink" w:type="character">
    <w:name w:val="Hyperlink"/>
    <w:basedOn w:val="BodyTextChar"/>
    <w:rPr>
      <w:rFonts w:ascii="Liberation Serif" w:hAnsi="Liberation Serif" w:eastAsia="Noto Sans CJK SC"/>
      <w:color w:val="000000"/>
      <w:sz w:val="21"/>
    </w:rPr>
  </w:style>
  <w:style w:styleId="TOCHeading" w:type="paragraph">
    <w:name w:val="TOC Heading"/>
    <w:basedOn w:val="Heading1"/>
    <w:next w:val="BodyText"/>
    <w:uiPriority w:val="39"/>
    <w:unhideWhenUsed/>
    <w:qFormat/>
    <w:pPr>
      <w:widowControl/>
      <w:spacing w:before="240" w:line="269" w:lineRule="auto" w:after="120"/>
      <w:outlineLvl w:val="9"/>
    </w:pPr>
    <w:rPr>
      <w:rFonts w:asciiTheme="majorHAnsi" w:cstheme="majorBidi" w:eastAsiaTheme="majorEastAsia" w:hAnsiTheme="majorHAnsi" w:ascii="Liberation Serif" w:hAnsi="Liberation Serif" w:eastAsia="Noto Sans CJK SC"/>
      <w:b w:val="0"/>
      <w:bCs w:val="0"/>
      <w:color w:val="000000"/>
      <w:sz w:val="21"/>
    </w:rPr>
  </w:style>
  <w:style w:type="paragraph" w:customStyle="1" w:styleId="SourceCode">
    <w:name w:val="Source Code"/>
    <w:basedOn w:val="Normal"/>
    <w:link w:val="VerbatimChar"/>
    <w:pPr>
      <w:widowControl/>
      <w:wordWrap w:val="off"/>
      <w:spacing w:after="120" w:line="269" w:lineRule="auto"/>
    </w:pPr>
    <w:rPr>
      <w:rFonts w:ascii="Liberation Serif" w:hAnsi="Liberation Serif" w:eastAsia="Noto Sans CJK SC"/>
      <w:color w:val="000000"/>
      <w:sz w:val="21"/>
    </w:rPr>
  </w:style>
  <w:style w:type="character" w:customStyle="1" w:styleId="KeywordTok">
    <w:name w:val="KeywordTok"/>
    <w:basedOn w:val="VerbatimChar"/>
    <w:rPr>
      <w:rFonts w:ascii="Liberation Serif" w:hAnsi="Liberation Serif" w:eastAsia="Noto Sans CJK SC"/>
      <w:b/>
      <w:color w:val="000000"/>
      <w:sz w:val="21"/>
    </w:rPr>
  </w:style>
  <w:style w:type="character" w:customStyle="1" w:styleId="DataTypeTok">
    <w:name w:val="DataTypeTok"/>
    <w:basedOn w:val="VerbatimChar"/>
    <w:rPr>
      <w:rFonts w:ascii="Liberation Serif" w:hAnsi="Liberation Serif" w:eastAsia="Noto Sans CJK SC"/>
      <w:color w:val="000000"/>
      <w:sz w:val="21"/>
    </w:rPr>
  </w:style>
  <w:style w:type="character" w:customStyle="1" w:styleId="DecValTok">
    <w:name w:val="DecValTok"/>
    <w:basedOn w:val="VerbatimChar"/>
    <w:rPr>
      <w:rFonts w:ascii="Liberation Serif" w:hAnsi="Liberation Serif" w:eastAsia="Noto Sans CJK SC"/>
      <w:color w:val="000000"/>
      <w:sz w:val="21"/>
    </w:rPr>
  </w:style>
  <w:style w:type="character" w:customStyle="1" w:styleId="BaseNTok">
    <w:name w:val="BaseNTok"/>
    <w:basedOn w:val="VerbatimChar"/>
    <w:rPr>
      <w:rFonts w:ascii="Liberation Serif" w:hAnsi="Liberation Serif" w:eastAsia="Noto Sans CJK SC"/>
      <w:color w:val="000000"/>
      <w:sz w:val="21"/>
    </w:rPr>
  </w:style>
  <w:style w:type="character" w:customStyle="1" w:styleId="FloatTok">
    <w:name w:val="FloatTok"/>
    <w:basedOn w:val="VerbatimChar"/>
    <w:rPr>
      <w:rFonts w:ascii="Liberation Serif" w:hAnsi="Liberation Serif" w:eastAsia="Noto Sans CJK SC"/>
      <w:color w:val="000000"/>
      <w:sz w:val="21"/>
    </w:rPr>
  </w:style>
  <w:style w:type="character" w:customStyle="1" w:styleId="ConstantTok">
    <w:name w:val="ConstantTok"/>
    <w:basedOn w:val="VerbatimChar"/>
    <w:rPr>
      <w:rFonts w:ascii="Liberation Serif" w:hAnsi="Liberation Serif" w:eastAsia="Noto Sans CJK SC"/>
      <w:color w:val="000000"/>
      <w:sz w:val="21"/>
    </w:rPr>
  </w:style>
  <w:style w:type="character" w:customStyle="1" w:styleId="CharTok">
    <w:name w:val="CharTok"/>
    <w:basedOn w:val="VerbatimChar"/>
    <w:rPr>
      <w:rFonts w:ascii="Liberation Serif" w:hAnsi="Liberation Serif" w:eastAsia="Noto Sans CJK SC"/>
      <w:color w:val="000000"/>
      <w:sz w:val="21"/>
    </w:rPr>
  </w:style>
  <w:style w:type="character" w:customStyle="1" w:styleId="SpecialCharTok">
    <w:name w:val="SpecialCharTok"/>
    <w:basedOn w:val="VerbatimChar"/>
    <w:rPr>
      <w:rFonts w:ascii="Liberation Serif" w:hAnsi="Liberation Serif" w:eastAsia="Noto Sans CJK SC"/>
      <w:color w:val="000000"/>
      <w:sz w:val="21"/>
    </w:rPr>
  </w:style>
  <w:style w:type="character" w:customStyle="1" w:styleId="StringTok">
    <w:name w:val="StringTok"/>
    <w:basedOn w:val="VerbatimChar"/>
    <w:rPr>
      <w:rFonts w:ascii="Liberation Serif" w:hAnsi="Liberation Serif" w:eastAsia="Noto Sans CJK SC"/>
      <w:color w:val="000000"/>
      <w:sz w:val="21"/>
    </w:rPr>
  </w:style>
  <w:style w:type="character" w:customStyle="1" w:styleId="VerbatimStringTok">
    <w:name w:val="VerbatimStringTok"/>
    <w:basedOn w:val="VerbatimChar"/>
    <w:rPr>
      <w:rFonts w:ascii="Liberation Serif" w:hAnsi="Liberation Serif" w:eastAsia="Noto Sans CJK SC"/>
      <w:color w:val="000000"/>
      <w:sz w:val="21"/>
    </w:rPr>
  </w:style>
  <w:style w:type="character" w:customStyle="1" w:styleId="SpecialStringTok">
    <w:name w:val="SpecialStringTok"/>
    <w:basedOn w:val="VerbatimChar"/>
    <w:rPr>
      <w:rFonts w:ascii="Liberation Serif" w:hAnsi="Liberation Serif" w:eastAsia="Noto Sans CJK SC"/>
      <w:color w:val="000000"/>
      <w:sz w:val="21"/>
    </w:rPr>
  </w:style>
  <w:style w:type="character" w:customStyle="1" w:styleId="ImportTok">
    <w:name w:val="ImportTok"/>
    <w:basedOn w:val="VerbatimChar"/>
    <w:rPr>
      <w:rFonts w:ascii="Liberation Serif" w:hAnsi="Liberation Serif" w:eastAsia="Noto Sans CJK SC"/>
      <w:b/>
      <w:color w:val="000000"/>
      <w:sz w:val="21"/>
    </w:rPr>
  </w:style>
  <w:style w:type="character" w:customStyle="1" w:styleId="CommentTok">
    <w:name w:val="CommentTok"/>
    <w:basedOn w:val="VerbatimChar"/>
    <w:rPr>
      <w:rFonts w:ascii="Liberation Serif" w:hAnsi="Liberation Serif" w:eastAsia="Noto Sans CJK SC"/>
      <w:i/>
      <w:color w:val="000000"/>
      <w:sz w:val="21"/>
    </w:rPr>
  </w:style>
  <w:style w:type="character" w:customStyle="1" w:styleId="DocumentationTok">
    <w:name w:val="DocumentationTok"/>
    <w:basedOn w:val="VerbatimChar"/>
    <w:rPr>
      <w:rFonts w:ascii="Liberation Serif" w:hAnsi="Liberation Serif" w:eastAsia="Noto Sans CJK SC"/>
      <w:i/>
      <w:color w:val="000000"/>
      <w:sz w:val="21"/>
    </w:rPr>
  </w:style>
  <w:style w:type="character" w:customStyle="1" w:styleId="AnnotationTok">
    <w:name w:val="AnnotationTok"/>
    <w:basedOn w:val="VerbatimChar"/>
    <w:rPr>
      <w:rFonts w:ascii="Liberation Serif" w:hAnsi="Liberation Serif" w:eastAsia="Noto Sans CJK SC"/>
      <w:b/>
      <w:i/>
      <w:color w:val="000000"/>
      <w:sz w:val="21"/>
    </w:rPr>
  </w:style>
  <w:style w:type="character" w:customStyle="1" w:styleId="CommentVarTok">
    <w:name w:val="CommentVarTok"/>
    <w:basedOn w:val="VerbatimChar"/>
    <w:rPr>
      <w:rFonts w:ascii="Liberation Serif" w:hAnsi="Liberation Serif" w:eastAsia="Noto Sans CJK SC"/>
      <w:b/>
      <w:i/>
      <w:color w:val="000000"/>
      <w:sz w:val="21"/>
    </w:rPr>
  </w:style>
  <w:style w:type="character" w:customStyle="1" w:styleId="OtherTok">
    <w:name w:val="OtherTok"/>
    <w:basedOn w:val="VerbatimChar"/>
    <w:rPr>
      <w:rFonts w:ascii="Liberation Serif" w:hAnsi="Liberation Serif" w:eastAsia="Noto Sans CJK SC"/>
      <w:color w:val="000000"/>
      <w:sz w:val="21"/>
    </w:rPr>
  </w:style>
  <w:style w:type="character" w:customStyle="1" w:styleId="FunctionTok">
    <w:name w:val="FunctionTok"/>
    <w:basedOn w:val="VerbatimChar"/>
    <w:rPr>
      <w:rFonts w:ascii="Liberation Serif" w:hAnsi="Liberation Serif" w:eastAsia="Noto Sans CJK SC"/>
      <w:color w:val="000000"/>
      <w:sz w:val="21"/>
    </w:rPr>
  </w:style>
  <w:style w:type="character" w:customStyle="1" w:styleId="VariableTok">
    <w:name w:val="VariableTok"/>
    <w:basedOn w:val="VerbatimChar"/>
    <w:rPr>
      <w:rFonts w:ascii="Liberation Serif" w:hAnsi="Liberation Serif" w:eastAsia="Noto Sans CJK SC"/>
      <w:color w:val="000000"/>
      <w:sz w:val="21"/>
    </w:rPr>
  </w:style>
  <w:style w:type="character" w:customStyle="1" w:styleId="ControlFlowTok">
    <w:name w:val="ControlFlowTok"/>
    <w:basedOn w:val="VerbatimChar"/>
    <w:rPr>
      <w:rFonts w:ascii="Liberation Serif" w:hAnsi="Liberation Serif" w:eastAsia="Noto Sans CJK SC"/>
      <w:b/>
      <w:color w:val="000000"/>
      <w:sz w:val="21"/>
    </w:rPr>
  </w:style>
  <w:style w:type="character" w:customStyle="1" w:styleId="OperatorTok">
    <w:name w:val="OperatorTok"/>
    <w:basedOn w:val="VerbatimChar"/>
    <w:rPr>
      <w:rFonts w:ascii="Liberation Serif" w:hAnsi="Liberation Serif" w:eastAsia="Noto Sans CJK SC"/>
      <w:color w:val="000000"/>
      <w:sz w:val="21"/>
    </w:rPr>
  </w:style>
  <w:style w:type="character" w:customStyle="1" w:styleId="BuiltInTok">
    <w:name w:val="BuiltInTok"/>
    <w:basedOn w:val="VerbatimChar"/>
    <w:rPr>
      <w:rFonts w:ascii="Liberation Serif" w:hAnsi="Liberation Serif" w:eastAsia="Noto Sans CJK SC"/>
      <w:color w:val="000000"/>
      <w:sz w:val="21"/>
    </w:rPr>
  </w:style>
  <w:style w:type="character" w:customStyle="1" w:styleId="ExtensionTok">
    <w:name w:val="ExtensionTok"/>
    <w:basedOn w:val="VerbatimChar"/>
    <w:rPr>
      <w:rFonts w:ascii="Liberation Serif" w:hAnsi="Liberation Serif" w:eastAsia="Noto Sans CJK SC"/>
      <w:color w:val="000000"/>
      <w:sz w:val="21"/>
    </w:rPr>
  </w:style>
  <w:style w:type="character" w:customStyle="1" w:styleId="PreprocessorTok">
    <w:name w:val="PreprocessorTok"/>
    <w:basedOn w:val="VerbatimChar"/>
    <w:rPr>
      <w:rFonts w:ascii="Liberation Serif" w:hAnsi="Liberation Serif" w:eastAsia="Noto Sans CJK SC"/>
      <w:color w:val="000000"/>
      <w:sz w:val="21"/>
    </w:rPr>
  </w:style>
  <w:style w:type="character" w:customStyle="1" w:styleId="AttributeTok">
    <w:name w:val="AttributeTok"/>
    <w:basedOn w:val="VerbatimChar"/>
    <w:rPr>
      <w:rFonts w:ascii="Liberation Serif" w:hAnsi="Liberation Serif" w:eastAsia="Noto Sans CJK SC"/>
      <w:color w:val="000000"/>
      <w:sz w:val="21"/>
    </w:rPr>
  </w:style>
  <w:style w:type="character" w:customStyle="1" w:styleId="RegionMarkerTok">
    <w:name w:val="RegionMarkerTok"/>
    <w:basedOn w:val="VerbatimChar"/>
    <w:rPr>
      <w:rFonts w:ascii="Liberation Serif" w:hAnsi="Liberation Serif" w:eastAsia="Noto Sans CJK SC"/>
      <w:color w:val="000000"/>
      <w:sz w:val="21"/>
    </w:rPr>
  </w:style>
  <w:style w:type="character" w:customStyle="1" w:styleId="InformationTok">
    <w:name w:val="InformationTok"/>
    <w:basedOn w:val="VerbatimChar"/>
    <w:rPr>
      <w:rFonts w:ascii="Liberation Serif" w:hAnsi="Liberation Serif" w:eastAsia="Noto Sans CJK SC"/>
      <w:b/>
      <w:i/>
      <w:color w:val="000000"/>
      <w:sz w:val="21"/>
    </w:rPr>
  </w:style>
  <w:style w:type="character" w:customStyle="1" w:styleId="WarningTok">
    <w:name w:val="WarningTok"/>
    <w:basedOn w:val="VerbatimChar"/>
    <w:rPr>
      <w:rFonts w:ascii="Liberation Serif" w:hAnsi="Liberation Serif" w:eastAsia="Noto Sans CJK SC"/>
      <w:b/>
      <w:i/>
      <w:color w:val="000000"/>
      <w:sz w:val="21"/>
    </w:rPr>
  </w:style>
  <w:style w:type="character" w:customStyle="1" w:styleId="AlertTok">
    <w:name w:val="AlertTok"/>
    <w:basedOn w:val="VerbatimChar"/>
    <w:rPr>
      <w:rFonts w:ascii="Liberation Serif" w:hAnsi="Liberation Serif" w:eastAsia="Noto Sans CJK SC"/>
      <w:b/>
      <w:color w:val="000000"/>
      <w:sz w:val="21"/>
    </w:rPr>
  </w:style>
  <w:style w:type="character" w:customStyle="1" w:styleId="ErrorTok">
    <w:name w:val="ErrorTok"/>
    <w:basedOn w:val="VerbatimChar"/>
    <w:rPr>
      <w:rFonts w:ascii="Liberation Serif" w:hAnsi="Liberation Serif" w:eastAsia="Noto Sans CJK SC"/>
      <w:b/>
      <w:color w:val="000000"/>
      <w:sz w:val="21"/>
    </w:rPr>
  </w:style>
  <w:style w:type="character" w:customStyle="1" w:styleId="NormalTok">
    <w:name w:val="NormalTok"/>
    <w:basedOn w:val="VerbatimChar"/>
    <w:rPr>
      <w:rFonts w:ascii="Liberation Serif" w:hAnsi="Liberation Serif" w:eastAsia="Noto Sans CJK SC"/>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A bounded audit of conductivity records and prediction tasks in starch materials</dc:title>
  <dc:creator/>
  <cp:keywords/>
  <dcterms:created xsi:type="dcterms:W3CDTF">2026-09-18T03:01:52Z</dcterms:created>
  <dcterms:modified xsi:type="dcterms:W3CDTF">2026-09-18T03:01:52Z</dcterms:modified>
  <cp:lastModifiedBy/>
  <dc:description/>
</cp:coreProperties>
</file>

<file path=docProps/custom.xml><?xml version="1.0" encoding="utf-8"?>
<Properties xmlns="http://schemas.openxmlformats.org/officeDocument/2006/custom-properties" xmlns:vt="http://schemas.openxmlformats.org/officeDocument/2006/docPropsVTypes"/>
</file>