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21</w:t>
      </w:r>
      <w:r>
        <w:rPr>
          <w:rFonts w:hint="eastAsia"/>
          <w:lang w:eastAsia="zh-CN"/>
        </w:rPr>
        <w:t>”</w:t>
      </w:r>
      <w:r>
        <w:rPr>
          <w:rFonts w:hint="eastAsia"/>
        </w:rPr>
        <w:t>风险登记册</w:t>
      </w:r>
    </w:p>
    <w:p/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软件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乔晓悦，李婷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习惯养成计划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投资引入不畅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投资方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。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资金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刘丹青、付逍遥、侯德森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投资方发展方向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，设计出符合他们的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投资需求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用户参与兴趣消退，放弃习惯养成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打卡形式单一，吸引度不够。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李婷、刘丹青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设计科学的业务流程，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提高产品功能多样性。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乔晓悦，付逍遥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侯德森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B1E022A"/>
    <w:rsid w:val="56177AD1"/>
    <w:rsid w:val="5733639D"/>
    <w:rsid w:val="6127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4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1</TotalTime>
  <ScaleCrop>false</ScaleCrop>
  <LinksUpToDate>false</LinksUpToDate>
  <CharactersWithSpaces>442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闪闪发光bling!</cp:lastModifiedBy>
  <dcterms:modified xsi:type="dcterms:W3CDTF">2020-05-18T08:14:21Z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