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0" w:name="docs-internal-guid-d0a3b7fe-39c3-a76f-6731-82667d0ba6ca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Answer the following questions: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(a) In the Jetson article, what kind of workloads does the author think NVidia is now focusing on?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NVIDIA has continued to invest in developing their line of ARM SoCs and products built around them such as the SHIELD platform.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 xml:space="preserve">(b) Why had NVidia moved to a “mobile first” strategy? 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Because the trend of the computer is to focus more on energy consumption. Moving to “mobile first” is help get competitive against Kepler.</w:t>
      </w:r>
    </w:p>
    <w:p>
      <w:pPr>
        <w:pStyle w:val="TextBody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(c) Name one power optimization that was made in the Maxwell architecture.</w:t>
      </w:r>
    </w:p>
    <w:p>
      <w:pPr>
        <w:pStyle w:val="TextBody"/>
        <w:spacing w:before="0" w:after="14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Chip density has improved. At 165W TDP NVIDIA’s energy efficiency optimizations are in full effect of the less power consumption.</w:t>
      </w:r>
    </w:p>
    <w:sectPr>
      <w:headerReference w:type="default" r:id="rId2"/>
      <w:type w:val="nextPage"/>
      <w:pgSz w:w="12240" w:h="15840"/>
      <w:pgMar w:left="1134" w:right="1134" w:header="1134" w:top="1693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r>
      <w:rPr/>
      <w:t>Ece571</w:t>
      <w:tab/>
      <w:t>hw10</w:t>
      <w:tab/>
      <w:t>Qihao He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2016-04-21T12:59:42Z</dcterms:created>
  <dc:language>en-US</dc:language>
  <cp:revision>0</cp:revision>
</cp:coreProperties>
</file>