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bookmarkStart w:id="0" w:name="docs-internal-guid-d0a3b7fe-39c3-a76f-6731-82667d0ba6ca"/>
      <w:bookmarkEnd w:id="0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Answer the following questions: 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(a) In the Jetson article, what kind of workloads does the author think NVidia is now focusing on? 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NVIDIA has continued to invest in developing their line of ARM SoCs and products built around them such as the SHIELD platform.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(b) Why had NVidia moved to a “mobile first” strategy? 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Because the trend of the computer is to focus more on energy consumption. Moving to “mobile first” is help get competitive against Kepler.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(c) Name one power optimization that was made in the Maxwell architecture.</w:t>
      </w:r>
    </w:p>
    <w:p>
      <w:pPr>
        <w:pStyle w:val="TextBody"/>
        <w:spacing w:before="0" w:after="14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auto" w:val="clear"/>
        </w:rPr>
        <w:t>Chip density has improved. At 165W TDP NVIDIA’s energy efficiency optimizations are in full effect of the less power consumption.</w:t>
      </w:r>
    </w:p>
    <w:sectPr>
      <w:headerReference w:type="default" r:id="rId2"/>
      <w:type w:val="nextPage"/>
      <w:pgSz w:w="12240" w:h="15840"/>
      <w:pgMar w:left="1134" w:right="1134" w:header="1134" w:top="1693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rPr/>
    </w:pPr>
    <w:r>
      <w:rPr/>
      <w:t>Ece571</w:t>
      <w:tab/>
      <w:t>hw10</w:t>
      <w:tab/>
      <w:t>Qihao He</w:t>
    </w:r>
  </w:p>
</w:hdr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2016-04-21T12:59:42Z</dcterms:created>
  <dc:language>en-US</dc:language>
  <cp:revision>0</cp:revision>
</cp:coreProperties>
</file>