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6DB1" w14:textId="77777777" w:rsidR="00E50285" w:rsidRDefault="00E50285" w:rsidP="00E502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ECE574: Embedded Systems – Homework #2 </w:t>
      </w:r>
    </w:p>
    <w:p w14:paraId="2E4CED27" w14:textId="77777777" w:rsidR="00E50285" w:rsidRDefault="00E50285" w:rsidP="00E502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Supercomputer Paper Reading </w:t>
      </w:r>
    </w:p>
    <w:p w14:paraId="5832C071" w14:textId="77777777" w:rsidR="00E50285" w:rsidRDefault="00E50285" w:rsidP="00E502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Due: 26 January 2017, 3:30pm </w:t>
      </w:r>
    </w:p>
    <w:p w14:paraId="2E0D8FA3" w14:textId="77777777" w:rsidR="00E50285" w:rsidRDefault="00E50285" w:rsidP="00E502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Read the following three papers and answer the questions. </w:t>
      </w:r>
    </w:p>
    <w:p w14:paraId="681A7EDD" w14:textId="77777777" w:rsidR="0029368F" w:rsidRPr="0029368F" w:rsidRDefault="00E50285" w:rsidP="00E502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How the World’s Most Powerful Supercomputer Inched Toward the Exascale, IEEE Spectrum, 20 Jul 2016.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16"/>
          <w:szCs w:val="16"/>
        </w:rPr>
        <w:t xml:space="preserve">http://spectrum.ieee.org/computing/hardware/how- the- worlds- most- powerful- supercomputer- inched- toward- the- exascale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FDFAFD4" w14:textId="6052E2A3" w:rsidR="0029368F" w:rsidRPr="00385B86" w:rsidRDefault="00E50285" w:rsidP="00385B8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 w:rsidRPr="00385B86">
        <w:rPr>
          <w:rFonts w:ascii="Times" w:hAnsi="Times" w:cs="Times"/>
          <w:color w:val="000000"/>
          <w:sz w:val="32"/>
          <w:szCs w:val="32"/>
        </w:rPr>
        <w:t>Name one way the computer’s design saved on power.</w:t>
      </w:r>
      <w:r w:rsidRPr="00385B86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155CD37" w14:textId="2B7A4C9C" w:rsidR="00687631" w:rsidRPr="00687631" w:rsidRDefault="00E12E6B" w:rsidP="006E54AE">
      <w:pPr>
        <w:ind w:left="720" w:firstLine="720"/>
      </w:pPr>
      <w:r>
        <w:t xml:space="preserve">It </w:t>
      </w:r>
      <w:r w:rsidR="00962480">
        <w:t>uses lightweight approach that use microprocessors that are slower but cooler.</w:t>
      </w:r>
      <w:r w:rsidR="00EE67C8">
        <w:t xml:space="preserve"> It uses DDR3, an older, slower memory, to save on power.</w:t>
      </w:r>
      <w:r w:rsidR="00F13928">
        <w:t xml:space="preserve"> Its architecture also uses small amounts of local memory near each core instead of a more traditional memory hierarchy. That is making the ratio of the floating-point operations for every byte of main memory accessed. This architecture design cuts down on a big expense in a supercomputer’s power budget.</w:t>
      </w:r>
    </w:p>
    <w:p w14:paraId="5143A2ED" w14:textId="032B3645" w:rsidR="0029368F" w:rsidRPr="00AA05B7" w:rsidRDefault="00E50285" w:rsidP="00AA05B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 w:rsidRPr="00AA05B7">
        <w:rPr>
          <w:rFonts w:ascii="Times" w:hAnsi="Times" w:cs="Times"/>
          <w:color w:val="000000"/>
          <w:sz w:val="32"/>
          <w:szCs w:val="32"/>
        </w:rPr>
        <w:t xml:space="preserve">What percentage of theoretical peak does it reach on Linpack? On HPCG? </w:t>
      </w:r>
    </w:p>
    <w:p w14:paraId="7A4D510C" w14:textId="5C7FDB21" w:rsidR="00AA05B7" w:rsidRPr="00AA05B7" w:rsidRDefault="003330AD" w:rsidP="008D57B9">
      <w:pPr>
        <w:ind w:left="720" w:firstLine="720"/>
      </w:pPr>
      <w:r>
        <w:t>It reaches 74% on Linpack and 0.3% on HPCG.</w:t>
      </w:r>
    </w:p>
    <w:p w14:paraId="594C18DC" w14:textId="281E3958" w:rsidR="00E50285" w:rsidRPr="008D57B9" w:rsidRDefault="00E50285" w:rsidP="008D57B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 w:rsidRPr="008D57B9">
        <w:rPr>
          <w:rFonts w:ascii="Times" w:hAnsi="Times" w:cs="Times"/>
          <w:color w:val="000000"/>
          <w:sz w:val="32"/>
          <w:szCs w:val="32"/>
        </w:rPr>
        <w:t xml:space="preserve">When does the US plan on having an Exaflop machine? </w:t>
      </w:r>
      <w:r w:rsidRPr="008D57B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88597D3" w14:textId="7355877B" w:rsidR="008D57B9" w:rsidRPr="008D57B9" w:rsidRDefault="008D57B9" w:rsidP="008D57B9">
      <w:pPr>
        <w:ind w:left="1440"/>
      </w:pPr>
      <w:r>
        <w:t>US is targeting the early 2020s.</w:t>
      </w:r>
    </w:p>
    <w:p w14:paraId="112D9A40" w14:textId="77777777" w:rsidR="0029368F" w:rsidRDefault="00E50285" w:rsidP="002936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Next-Generation Supercomputers, IEEE Spectrum, 26 Jan 2011 </w:t>
      </w:r>
      <w:r>
        <w:rPr>
          <w:rFonts w:ascii="Times" w:hAnsi="Times" w:cs="Times"/>
          <w:color w:val="000000"/>
          <w:sz w:val="21"/>
          <w:szCs w:val="21"/>
        </w:rPr>
        <w:t xml:space="preserve">http://spectrum.ieee.org/computing/hardware/nextgeneration- supercomputers </w:t>
      </w:r>
    </w:p>
    <w:p w14:paraId="7F201026" w14:textId="5FF0191A" w:rsidR="0029368F" w:rsidRPr="00AC513B" w:rsidRDefault="00E50285" w:rsidP="00AC513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 w:rsidRPr="00AC513B">
        <w:rPr>
          <w:rFonts w:ascii="Times" w:hAnsi="Times" w:cs="Times"/>
          <w:color w:val="000000"/>
          <w:sz w:val="32"/>
          <w:szCs w:val="32"/>
        </w:rPr>
        <w:t xml:space="preserve">Is the limiting power factor (in pico-Joules per operation) the actual floating point instruction, or something else? </w:t>
      </w:r>
    </w:p>
    <w:p w14:paraId="10F69CF5" w14:textId="50437015" w:rsidR="00AC513B" w:rsidRPr="00AC513B" w:rsidRDefault="002103BB" w:rsidP="00AC513B">
      <w:pPr>
        <w:ind w:left="1220"/>
      </w:pPr>
      <w:r>
        <w:t>No, the actual floating point instruction is not limiting power factor, i</w:t>
      </w:r>
      <w:r w:rsidR="003937F5">
        <w:t xml:space="preserve">t is a </w:t>
      </w:r>
      <w:r w:rsidR="000B275B">
        <w:t>small limit compare with the energy needed to shuffle the data around.</w:t>
      </w:r>
      <w:r w:rsidR="00FA1B88">
        <w:rPr>
          <w:rFonts w:hint="eastAsia"/>
        </w:rPr>
        <w:t xml:space="preserve"> </w:t>
      </w:r>
      <w:r w:rsidR="002E248C">
        <w:rPr>
          <w:rFonts w:hint="eastAsia"/>
        </w:rPr>
        <w:t>M</w:t>
      </w:r>
      <w:r w:rsidR="002E248C">
        <w:t>emory technologies requires emerge to have greater densities at the same or lower power.</w:t>
      </w:r>
    </w:p>
    <w:p w14:paraId="0095EA3B" w14:textId="629B6B2B" w:rsidR="0029368F" w:rsidRDefault="00E50285" w:rsidP="002936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(b)  Typically, around what percentage of a supercomputer’s theoretic</w:t>
      </w:r>
      <w:r w:rsidR="0023580D">
        <w:rPr>
          <w:rFonts w:ascii="Times" w:hAnsi="Times" w:cs="Times"/>
          <w:color w:val="000000"/>
          <w:sz w:val="32"/>
          <w:szCs w:val="32"/>
        </w:rPr>
        <w:t xml:space="preserve">al peak performance is actually </w:t>
      </w:r>
      <w:r>
        <w:rPr>
          <w:rFonts w:ascii="Times" w:hAnsi="Times" w:cs="Times"/>
          <w:color w:val="000000"/>
          <w:sz w:val="32"/>
          <w:szCs w:val="32"/>
        </w:rPr>
        <w:t>achieved?</w:t>
      </w:r>
      <w:r w:rsidR="00685085">
        <w:rPr>
          <w:rFonts w:ascii="Times" w:hAnsi="Times" w:cs="Times"/>
          <w:color w:val="000000"/>
          <w:sz w:val="32"/>
          <w:szCs w:val="32"/>
        </w:rPr>
        <w:br/>
      </w:r>
      <w:r w:rsidR="005B08E2">
        <w:lastRenderedPageBreak/>
        <w:t>5 to 10 percent.</w:t>
      </w:r>
      <w:bookmarkStart w:id="0" w:name="_GoBack"/>
      <w:bookmarkEnd w:id="0"/>
      <w:r w:rsidRPr="00964763">
        <w:t xml:space="preserve"> </w:t>
      </w:r>
      <w:r w:rsidRPr="00964763">
        <w:rPr>
          <w:rFonts w:ascii="MS Mincho" w:eastAsia="MS Mincho" w:hAnsi="MS Mincho" w:cs="MS Mincho"/>
        </w:rPr>
        <w:t> </w:t>
      </w:r>
    </w:p>
    <w:p w14:paraId="00DEFBDB" w14:textId="77777777" w:rsidR="000643BB" w:rsidRDefault="00E50285" w:rsidP="002936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(c)  Did we make DARPAs goal of an Exaflop by 2015? </w:t>
      </w:r>
    </w:p>
    <w:p w14:paraId="5356A5BD" w14:textId="6A756D65" w:rsidR="00E50285" w:rsidRDefault="00D93C49" w:rsidP="00964763">
      <w:pPr>
        <w:rPr>
          <w:rFonts w:ascii="Times" w:hAnsi="Times" w:cs="Times"/>
          <w:color w:val="000000"/>
          <w:sz w:val="32"/>
          <w:szCs w:val="32"/>
        </w:rPr>
      </w:pPr>
      <w:r w:rsidRPr="00964763">
        <w:t>No we did not</w:t>
      </w:r>
      <w:r>
        <w:rPr>
          <w:rFonts w:ascii="Times" w:hAnsi="Times" w:cs="Times"/>
          <w:color w:val="000000"/>
          <w:sz w:val="32"/>
          <w:szCs w:val="32"/>
        </w:rPr>
        <w:t>.</w:t>
      </w:r>
      <w:r w:rsidR="00E50285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B3FDD2" w14:textId="77777777" w:rsidR="0029368F" w:rsidRPr="0029368F" w:rsidRDefault="00E50285" w:rsidP="00E502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How To Kill A Supercomputer: Dirty Power, Cosmic Rays, and Bad Solder, IEEE Spectrum, 23 Feb 2016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16"/>
          <w:szCs w:val="16"/>
        </w:rPr>
        <w:t xml:space="preserve">http://spectrum.ieee.org/computing/hardware/how- to- kill- a- supercomputer- dirty- power- cosmic- rays- and- bad- solder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CFA6588" w14:textId="1CA33499" w:rsidR="0029368F" w:rsidRDefault="00E50285" w:rsidP="00EC33D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 w:rsidRPr="008D14C0">
        <w:rPr>
          <w:rFonts w:ascii="Times" w:hAnsi="Times" w:cs="Times"/>
          <w:color w:val="000000"/>
          <w:sz w:val="32"/>
          <w:szCs w:val="32"/>
        </w:rPr>
        <w:t>What year does this article predict an exascale computer will be ready?</w:t>
      </w:r>
    </w:p>
    <w:p w14:paraId="3C259624" w14:textId="1EB15F9F" w:rsidR="00EC33D3" w:rsidRPr="00EC33D3" w:rsidRDefault="00EC33D3" w:rsidP="00964763">
      <w:r>
        <w:t>By</w:t>
      </w:r>
      <w:r w:rsidR="007E7653">
        <w:t xml:space="preserve"> 2023, exascale are predicted to arrive in the USA.</w:t>
      </w:r>
    </w:p>
    <w:p w14:paraId="320005FD" w14:textId="3D79E874" w:rsidR="0029368F" w:rsidRPr="000E60A9" w:rsidRDefault="00E50285" w:rsidP="000E60A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 w:rsidRPr="000E60A9">
        <w:rPr>
          <w:rFonts w:ascii="Times" w:hAnsi="Times" w:cs="Times"/>
          <w:color w:val="000000"/>
          <w:sz w:val="32"/>
          <w:szCs w:val="32"/>
        </w:rPr>
        <w:t xml:space="preserve">How often were ECC memory errors happening on the Jaguar super computer? </w:t>
      </w:r>
    </w:p>
    <w:p w14:paraId="0101CF4A" w14:textId="5B43A6EE" w:rsidR="000E60A9" w:rsidRPr="000E60A9" w:rsidRDefault="000E60A9" w:rsidP="00964763">
      <w:r>
        <w:t>350 times per minute.</w:t>
      </w:r>
    </w:p>
    <w:p w14:paraId="4D67DC7D" w14:textId="4076C576" w:rsidR="000E60A9" w:rsidRPr="000E60A9" w:rsidRDefault="00E50285" w:rsidP="000E60A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</w:rPr>
      </w:pPr>
      <w:r w:rsidRPr="000E60A9">
        <w:rPr>
          <w:rFonts w:ascii="Times" w:hAnsi="Times" w:cs="Times"/>
          <w:color w:val="000000"/>
          <w:sz w:val="32"/>
          <w:szCs w:val="32"/>
        </w:rPr>
        <w:t>What was causing the LLNL Bluegene computer to crash?</w:t>
      </w:r>
    </w:p>
    <w:p w14:paraId="06F0B389" w14:textId="4DC9C428" w:rsidR="0029368F" w:rsidRPr="001351C8" w:rsidRDefault="001351C8" w:rsidP="00964763">
      <w:pPr>
        <w:rPr>
          <w:rFonts w:ascii="Times New Roman" w:hAnsi="Times New Roman"/>
        </w:rPr>
      </w:pPr>
      <w:r w:rsidRPr="001351C8">
        <w:rPr>
          <w:shd w:val="clear" w:color="auto" w:fill="FFFFFF"/>
        </w:rPr>
        <w:t>Radioactive lead in the solder was found to be causing bad data in the L1 cache, a chunk of very fast memory meant to hold frequently accessed data.</w:t>
      </w:r>
    </w:p>
    <w:p w14:paraId="6F275A67" w14:textId="25FFE5DF" w:rsidR="00964763" w:rsidRDefault="00E50285" w:rsidP="009647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</w:pPr>
      <w:r w:rsidRPr="00964763">
        <w:rPr>
          <w:rFonts w:ascii="Times" w:hAnsi="Times" w:cs="Times"/>
          <w:color w:val="000000"/>
          <w:sz w:val="32"/>
          <w:szCs w:val="32"/>
        </w:rPr>
        <w:t xml:space="preserve">Why might powering off unused chips or parts of chips be bad? </w:t>
      </w:r>
      <w:r w:rsidRPr="00964763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="00CD57E4" w:rsidRPr="00CD57E4">
        <w:t xml:space="preserve"> </w:t>
      </w:r>
    </w:p>
    <w:p w14:paraId="5131B878" w14:textId="77777777" w:rsidR="00B03371" w:rsidRPr="00B03371" w:rsidRDefault="00CD57E4" w:rsidP="00B03371">
      <w:pPr>
        <w:rPr>
          <w:rFonts w:ascii="Times New Roman" w:eastAsia="Times New Roman" w:hAnsi="Times New Roman" w:cs="Times New Roman"/>
        </w:rPr>
      </w:pPr>
      <w:r w:rsidRPr="00964763">
        <w:t>Studies done at the University of Mich</w:t>
      </w:r>
      <w:r w:rsidRPr="00B03371">
        <w:t>igan in 2009 found that constant power cycling reduced a chip’s typical lifetime up to 25 percent.</w:t>
      </w:r>
      <w:r w:rsidR="0014306F" w:rsidRPr="00B03371">
        <w:t xml:space="preserve"> Power cycling has a secondary effect on resilience because it causes voltage fluctuations throughout the system.</w:t>
      </w:r>
      <w:r w:rsidR="00B03371" w:rsidRPr="00B03371">
        <w:t xml:space="preserve"> Too large of a voltage fluctuation can cause circuits to switch on or off spontaneously inside a computer.</w:t>
      </w:r>
    </w:p>
    <w:p w14:paraId="3E21145C" w14:textId="35332DB3" w:rsidR="00E50285" w:rsidRPr="0014306F" w:rsidRDefault="00E50285" w:rsidP="00964763">
      <w:pPr>
        <w:rPr>
          <w:rFonts w:ascii="Times New Roman" w:eastAsia="Times New Roman" w:hAnsi="Times New Roman" w:cs="Times New Roman"/>
        </w:rPr>
      </w:pPr>
    </w:p>
    <w:p w14:paraId="1616D8F4" w14:textId="77777777" w:rsidR="00996FAD" w:rsidRDefault="00626C9E"/>
    <w:sectPr w:rsidR="00996FAD" w:rsidSect="00842BA3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A8B29" w14:textId="77777777" w:rsidR="00626C9E" w:rsidRDefault="00626C9E" w:rsidP="00023164">
      <w:r>
        <w:separator/>
      </w:r>
    </w:p>
  </w:endnote>
  <w:endnote w:type="continuationSeparator" w:id="0">
    <w:p w14:paraId="517758AC" w14:textId="77777777" w:rsidR="00626C9E" w:rsidRDefault="00626C9E" w:rsidP="0002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58885" w14:textId="77777777" w:rsidR="00626C9E" w:rsidRDefault="00626C9E" w:rsidP="00023164">
      <w:r>
        <w:separator/>
      </w:r>
    </w:p>
  </w:footnote>
  <w:footnote w:type="continuationSeparator" w:id="0">
    <w:p w14:paraId="2E4A00FB" w14:textId="77777777" w:rsidR="00626C9E" w:rsidRDefault="00626C9E" w:rsidP="000231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55E47" w14:textId="38721F4E" w:rsidR="00023164" w:rsidRDefault="00023164">
    <w:pPr>
      <w:pStyle w:val="Header"/>
    </w:pPr>
    <w:r>
      <w:t>Qihao He</w:t>
    </w:r>
  </w:p>
  <w:p w14:paraId="7BE5C349" w14:textId="3F4A09C3" w:rsidR="00023164" w:rsidRDefault="000231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FF2A54"/>
    <w:multiLevelType w:val="hybridMultilevel"/>
    <w:tmpl w:val="066CC2EC"/>
    <w:lvl w:ilvl="0" w:tplc="CF6E448C">
      <w:start w:val="1"/>
      <w:numFmt w:val="lowerLetter"/>
      <w:lvlText w:val="(%1)"/>
      <w:lvlJc w:val="left"/>
      <w:pPr>
        <w:ind w:left="122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160078"/>
    <w:multiLevelType w:val="hybridMultilevel"/>
    <w:tmpl w:val="FB2A2230"/>
    <w:lvl w:ilvl="0" w:tplc="082CFD9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CC731E"/>
    <w:multiLevelType w:val="hybridMultilevel"/>
    <w:tmpl w:val="E4B46C08"/>
    <w:lvl w:ilvl="0" w:tplc="67687A6C">
      <w:start w:val="1"/>
      <w:numFmt w:val="lowerLetter"/>
      <w:lvlText w:val="(%1)"/>
      <w:lvlJc w:val="left"/>
      <w:pPr>
        <w:ind w:left="1440" w:hanging="72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85"/>
    <w:rsid w:val="00023164"/>
    <w:rsid w:val="000643BB"/>
    <w:rsid w:val="000B275B"/>
    <w:rsid w:val="000E60A9"/>
    <w:rsid w:val="001351C8"/>
    <w:rsid w:val="0014306F"/>
    <w:rsid w:val="002103BB"/>
    <w:rsid w:val="002106CE"/>
    <w:rsid w:val="0023580D"/>
    <w:rsid w:val="0029368F"/>
    <w:rsid w:val="002B1333"/>
    <w:rsid w:val="002B7B17"/>
    <w:rsid w:val="002E248C"/>
    <w:rsid w:val="003330AD"/>
    <w:rsid w:val="003355BD"/>
    <w:rsid w:val="00385B86"/>
    <w:rsid w:val="003937F5"/>
    <w:rsid w:val="005B08E2"/>
    <w:rsid w:val="00626C9E"/>
    <w:rsid w:val="00657BDA"/>
    <w:rsid w:val="00685085"/>
    <w:rsid w:val="00687631"/>
    <w:rsid w:val="006E54AE"/>
    <w:rsid w:val="00726B34"/>
    <w:rsid w:val="00773112"/>
    <w:rsid w:val="007E7653"/>
    <w:rsid w:val="008D14C0"/>
    <w:rsid w:val="008D57B9"/>
    <w:rsid w:val="00962480"/>
    <w:rsid w:val="00964763"/>
    <w:rsid w:val="009D7767"/>
    <w:rsid w:val="00AA05B7"/>
    <w:rsid w:val="00AC513B"/>
    <w:rsid w:val="00B03371"/>
    <w:rsid w:val="00C812B5"/>
    <w:rsid w:val="00CD57E4"/>
    <w:rsid w:val="00D93C49"/>
    <w:rsid w:val="00E12E6B"/>
    <w:rsid w:val="00E50285"/>
    <w:rsid w:val="00E91846"/>
    <w:rsid w:val="00EC33D3"/>
    <w:rsid w:val="00EE67C8"/>
    <w:rsid w:val="00F13928"/>
    <w:rsid w:val="00F52FE4"/>
    <w:rsid w:val="00FA1B88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38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164"/>
  </w:style>
  <w:style w:type="paragraph" w:styleId="Footer">
    <w:name w:val="footer"/>
    <w:basedOn w:val="Normal"/>
    <w:link w:val="FooterChar"/>
    <w:uiPriority w:val="99"/>
    <w:unhideWhenUsed/>
    <w:rsid w:val="0002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3</cp:revision>
  <cp:lastPrinted>2017-01-25T04:06:00Z</cp:lastPrinted>
  <dcterms:created xsi:type="dcterms:W3CDTF">2017-01-25T05:03:00Z</dcterms:created>
  <dcterms:modified xsi:type="dcterms:W3CDTF">2017-01-25T21:04:00Z</dcterms:modified>
</cp:coreProperties>
</file>