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96A9" w14:textId="77777777" w:rsidR="00394421" w:rsidRDefault="00394421"/>
    <w:p w14:paraId="0E4F176F" w14:textId="43716414" w:rsidR="00027946" w:rsidRDefault="00027946">
      <w:pPr>
        <w:rPr>
          <w:rFonts w:hint="eastAsia"/>
        </w:rPr>
      </w:pPr>
      <w:r w:rsidRPr="00027946">
        <w:t xml:space="preserve">The </w:t>
      </w:r>
      <w:r w:rsidRPr="00027946">
        <w:rPr>
          <w:b/>
          <w:bCs/>
        </w:rPr>
        <w:t>Secret</w:t>
      </w:r>
      <w:r w:rsidRPr="00027946">
        <w:t xml:space="preserve"> to Nvidia’s AI Succes</w:t>
      </w:r>
      <w:r w:rsidR="009F5D16">
        <w:rPr>
          <w:rFonts w:hint="eastAsia"/>
        </w:rPr>
        <w:t xml:space="preserve"> -</w:t>
      </w:r>
      <w:r w:rsidR="009F5D16" w:rsidRPr="009F5D16">
        <w:t xml:space="preserve">Nvidia’s </w:t>
      </w:r>
      <w:r w:rsidR="009F5D16" w:rsidRPr="009F5D16">
        <w:rPr>
          <w:b/>
          <w:bCs/>
        </w:rPr>
        <w:t>magic</w:t>
      </w:r>
      <w:r w:rsidR="009F5D16" w:rsidRPr="009F5D16">
        <w:t> </w:t>
      </w:r>
    </w:p>
    <w:p w14:paraId="19B90C4F" w14:textId="48652DD4" w:rsidR="00027946" w:rsidRDefault="00027946">
      <w:hyperlink r:id="rId4" w:history="1">
        <w:r w:rsidRPr="00027946">
          <w:rPr>
            <w:rStyle w:val="Hyperlink"/>
            <w:highlight w:val="yellow"/>
          </w:rPr>
          <w:t>The Secret to Nvidia’s AI Success - IEEE Spectrum</w:t>
        </w:r>
      </w:hyperlink>
    </w:p>
    <w:p w14:paraId="5556762D" w14:textId="77777777" w:rsidR="00027946" w:rsidRDefault="00027946"/>
    <w:p w14:paraId="3ABCF5DC" w14:textId="78F71863" w:rsidR="00027946" w:rsidRDefault="009F5D16">
      <w:r>
        <w:rPr>
          <w:noProof/>
        </w:rPr>
        <w:drawing>
          <wp:inline distT="0" distB="0" distL="0" distR="0" wp14:anchorId="3A6F8494" wp14:editId="36FB61A0">
            <wp:extent cx="3475892" cy="2383660"/>
            <wp:effectExtent l="0" t="0" r="0" b="0"/>
            <wp:docPr id="162014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40309" name=""/>
                    <pic:cNvPicPr/>
                  </pic:nvPicPr>
                  <pic:blipFill>
                    <a:blip r:embed="rId5"/>
                    <a:stretch>
                      <a:fillRect/>
                    </a:stretch>
                  </pic:blipFill>
                  <pic:spPr>
                    <a:xfrm>
                      <a:off x="0" y="0"/>
                      <a:ext cx="3483475" cy="2388860"/>
                    </a:xfrm>
                    <a:prstGeom prst="rect">
                      <a:avLst/>
                    </a:prstGeom>
                  </pic:spPr>
                </pic:pic>
              </a:graphicData>
            </a:graphic>
          </wp:inline>
        </w:drawing>
      </w:r>
    </w:p>
    <w:p w14:paraId="30072C0D" w14:textId="77777777" w:rsidR="00027946" w:rsidRDefault="00027946"/>
    <w:p w14:paraId="0BB91542" w14:textId="77777777" w:rsidR="009F5D16" w:rsidRDefault="009F5D16"/>
    <w:p w14:paraId="4F089D66" w14:textId="67424594" w:rsidR="009F5D16" w:rsidRDefault="009F5D16">
      <w:r>
        <w:rPr>
          <w:noProof/>
        </w:rPr>
        <w:drawing>
          <wp:inline distT="0" distB="0" distL="0" distR="0" wp14:anchorId="747424F7" wp14:editId="49C716F9">
            <wp:extent cx="4808359" cy="2713892"/>
            <wp:effectExtent l="0" t="0" r="0" b="0"/>
            <wp:docPr id="139551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10768" name=""/>
                    <pic:cNvPicPr/>
                  </pic:nvPicPr>
                  <pic:blipFill>
                    <a:blip r:embed="rId6"/>
                    <a:stretch>
                      <a:fillRect/>
                    </a:stretch>
                  </pic:blipFill>
                  <pic:spPr>
                    <a:xfrm>
                      <a:off x="0" y="0"/>
                      <a:ext cx="4811111" cy="2715445"/>
                    </a:xfrm>
                    <a:prstGeom prst="rect">
                      <a:avLst/>
                    </a:prstGeom>
                  </pic:spPr>
                </pic:pic>
              </a:graphicData>
            </a:graphic>
          </wp:inline>
        </w:drawing>
      </w:r>
    </w:p>
    <w:p w14:paraId="3236E1A5" w14:textId="77777777" w:rsidR="009F5D16" w:rsidRDefault="009F5D16"/>
    <w:p w14:paraId="57A98A70" w14:textId="77777777" w:rsidR="009F5D16" w:rsidRDefault="009F5D16"/>
    <w:p w14:paraId="4FAB43D1" w14:textId="5F68B4F4" w:rsidR="009F5D16" w:rsidRPr="009F5D16" w:rsidRDefault="009F5D16">
      <w:pPr>
        <w:rPr>
          <w:b/>
          <w:bCs/>
        </w:rPr>
      </w:pPr>
      <w:r w:rsidRPr="009F5D16">
        <w:rPr>
          <w:rFonts w:hint="eastAsia"/>
          <w:b/>
          <w:bCs/>
        </w:rPr>
        <w:t>3 reasons:</w:t>
      </w:r>
    </w:p>
    <w:p w14:paraId="5518C8A5" w14:textId="77777777" w:rsidR="009F5D16" w:rsidRDefault="009F5D16"/>
    <w:p w14:paraId="5B06C03F" w14:textId="5EA97416" w:rsidR="009F5D16" w:rsidRDefault="009F5D16" w:rsidP="009F5D16">
      <w:r w:rsidRPr="009F5D16">
        <w:rPr>
          <w:highlight w:val="yellow"/>
        </w:rPr>
        <w:t>Number Representation: 16x</w:t>
      </w:r>
      <w:r w:rsidRPr="009F5D16">
        <w:rPr>
          <w:rFonts w:hint="eastAsia"/>
          <w:highlight w:val="yellow"/>
        </w:rPr>
        <w:t>：</w:t>
      </w:r>
      <w:r>
        <w:rPr>
          <w:rFonts w:hint="eastAsia"/>
        </w:rPr>
        <w:t xml:space="preserve"> </w:t>
      </w:r>
    </w:p>
    <w:p w14:paraId="4EBF877B" w14:textId="366D45AA" w:rsidR="009F5D16" w:rsidRDefault="009F5D16" w:rsidP="009F5D16">
      <w:r>
        <w:rPr>
          <w:rFonts w:hint="eastAsia"/>
        </w:rPr>
        <w:t>32 bit -&gt; 8 bit,    4x4=16 倍</w:t>
      </w:r>
    </w:p>
    <w:p w14:paraId="08F34C38" w14:textId="77777777" w:rsidR="009F5D16" w:rsidRPr="009F5D16" w:rsidRDefault="009F5D16" w:rsidP="009F5D16">
      <w:pPr>
        <w:rPr>
          <w:rFonts w:hint="eastAsia"/>
        </w:rPr>
      </w:pPr>
    </w:p>
    <w:p w14:paraId="6335917E" w14:textId="0196CBFA" w:rsidR="009F5D16" w:rsidRDefault="0015566C">
      <w:r w:rsidRPr="0015566C">
        <w:t xml:space="preserve">And it’s clear the floating-point system </w:t>
      </w:r>
      <w:r w:rsidRPr="00DE307D">
        <w:rPr>
          <w:color w:val="FF0000"/>
        </w:rPr>
        <w:t>isn’t ideal</w:t>
      </w:r>
      <w:r w:rsidRPr="0015566C">
        <w:t xml:space="preserve">. One of the main problems is that floating-point accuracy is pretty consistent no matter how big or small the number. But the parameters for neural networks don’t make use of big numbers, they’re clustered right around zero. So, </w:t>
      </w:r>
      <w:r w:rsidRPr="00F218EF">
        <w:rPr>
          <w:b/>
          <w:bCs/>
        </w:rPr>
        <w:t>Nvidia’s R&amp;D focus is finding efficient ways to </w:t>
      </w:r>
      <w:hyperlink r:id="rId7" w:anchor="vector" w:tgtFrame="_blank" w:history="1">
        <w:r w:rsidRPr="00F218EF">
          <w:rPr>
            <w:rStyle w:val="Hyperlink"/>
            <w:b/>
            <w:bCs/>
          </w:rPr>
          <w:t xml:space="preserve">represent numbers so they are more </w:t>
        </w:r>
        <w:r w:rsidRPr="00F218EF">
          <w:rPr>
            <w:rStyle w:val="Hyperlink"/>
            <w:b/>
            <w:bCs/>
          </w:rPr>
          <w:lastRenderedPageBreak/>
          <w:t>accurate near zero</w:t>
        </w:r>
      </w:hyperlink>
      <w:r w:rsidRPr="0015566C">
        <w:t>.</w:t>
      </w:r>
    </w:p>
    <w:p w14:paraId="50B924F5" w14:textId="77777777" w:rsidR="009F5D16" w:rsidRDefault="009F5D16">
      <w:pPr>
        <w:rPr>
          <w:rFonts w:hint="eastAsia"/>
        </w:rPr>
      </w:pPr>
    </w:p>
    <w:p w14:paraId="06C80560" w14:textId="77777777" w:rsidR="009F5D16" w:rsidRDefault="009F5D16"/>
    <w:p w14:paraId="18E32370" w14:textId="77777777" w:rsidR="006509C5" w:rsidRPr="006509C5" w:rsidRDefault="006509C5" w:rsidP="006509C5">
      <w:pPr>
        <w:rPr>
          <w:b/>
          <w:bCs/>
        </w:rPr>
      </w:pPr>
      <w:r w:rsidRPr="006509C5">
        <w:rPr>
          <w:b/>
          <w:bCs/>
          <w:highlight w:val="yellow"/>
        </w:rPr>
        <w:t>Complex Instructions: 12.5x</w:t>
      </w:r>
    </w:p>
    <w:p w14:paraId="5CD341EC" w14:textId="77777777" w:rsidR="006509C5" w:rsidRDefault="006509C5" w:rsidP="006509C5">
      <w:r w:rsidRPr="006509C5">
        <w:t>“The overhead of fetching and decoding an instruction is many times that of doing a simple arithmetic operation,” said Dally. He pointed out</w:t>
      </w:r>
      <w:r w:rsidRPr="006509C5">
        <w:rPr>
          <w:b/>
          <w:bCs/>
        </w:rPr>
        <w:t xml:space="preserve"> one type of multiplication,</w:t>
      </w:r>
      <w:r w:rsidRPr="006509C5">
        <w:t xml:space="preserve"> which had an overhead that consumed a full </w:t>
      </w:r>
      <w:r w:rsidRPr="006509C5">
        <w:rPr>
          <w:b/>
          <w:bCs/>
        </w:rPr>
        <w:t>20 time</w:t>
      </w:r>
      <w:r w:rsidRPr="006509C5">
        <w:t xml:space="preserve">s the 1.5 picojoules used to do the math itself. By </w:t>
      </w:r>
      <w:r w:rsidRPr="006509C5">
        <w:rPr>
          <w:color w:val="FF0000"/>
        </w:rPr>
        <w:t>architecting its GPUs to perform big computations in a single instruction rather than a sequence of the</w:t>
      </w:r>
      <w:r w:rsidRPr="006509C5">
        <w:t>m, Nvidia made some huge gains. There’s still overhead, Dally said, but with complex instructions, it’s amortized over more math. For example, the complex instruction integer matrix multiply and accumulate (</w:t>
      </w:r>
      <w:r w:rsidRPr="006509C5">
        <w:rPr>
          <w:b/>
          <w:bCs/>
        </w:rPr>
        <w:t>IMMA</w:t>
      </w:r>
      <w:r w:rsidRPr="006509C5">
        <w:t>) has an overhead that’s just 16 percent of the energy cost of the math.</w:t>
      </w:r>
    </w:p>
    <w:p w14:paraId="130DBDBE" w14:textId="77777777" w:rsidR="00B55F92" w:rsidRDefault="00B55F92" w:rsidP="006509C5"/>
    <w:p w14:paraId="32F520EA" w14:textId="77777777" w:rsidR="00B55F92" w:rsidRDefault="00B55F92" w:rsidP="006509C5"/>
    <w:p w14:paraId="721A0781" w14:textId="77777777" w:rsidR="00B55F92" w:rsidRPr="006509C5" w:rsidRDefault="00B55F92" w:rsidP="006509C5">
      <w:pPr>
        <w:rPr>
          <w:rFonts w:hint="eastAsia"/>
        </w:rPr>
      </w:pPr>
    </w:p>
    <w:p w14:paraId="2F94EA74" w14:textId="77777777" w:rsidR="006509C5" w:rsidRPr="006509C5" w:rsidRDefault="006509C5" w:rsidP="006509C5">
      <w:r w:rsidRPr="006509C5">
        <w:rPr>
          <w:highlight w:val="yellow"/>
        </w:rPr>
        <w:t>Moore’s Law: 2.5x</w:t>
      </w:r>
    </w:p>
    <w:p w14:paraId="695A1275" w14:textId="77777777" w:rsidR="006509C5" w:rsidRDefault="006509C5"/>
    <w:p w14:paraId="45DC2DEE" w14:textId="45849BE4" w:rsidR="00B55F92" w:rsidRDefault="00B55F92">
      <w:r w:rsidRPr="00B55F92">
        <w:t>Maintaining the </w:t>
      </w:r>
      <w:hyperlink r:id="rId8" w:tgtFrame="_blank" w:history="1">
        <w:r w:rsidRPr="00B55F92">
          <w:rPr>
            <w:rStyle w:val="Hyperlink"/>
          </w:rPr>
          <w:t>progress of Moore’s Law</w:t>
        </w:r>
      </w:hyperlink>
      <w:r w:rsidRPr="00B55F92">
        <w:t xml:space="preserve"> is the subject of </w:t>
      </w:r>
      <w:proofErr w:type="spellStart"/>
      <w:r w:rsidRPr="00B55F92">
        <w:t>billons</w:t>
      </w:r>
      <w:proofErr w:type="spellEnd"/>
      <w:r w:rsidRPr="00B55F92">
        <w:t xml:space="preserve"> and billions of dollars of investment, some </w:t>
      </w:r>
      <w:hyperlink r:id="rId9" w:tgtFrame="_blank" w:history="1">
        <w:r w:rsidRPr="00B55F92">
          <w:rPr>
            <w:rStyle w:val="Hyperlink"/>
          </w:rPr>
          <w:t>very complex engineering</w:t>
        </w:r>
      </w:hyperlink>
      <w:r w:rsidRPr="00B55F92">
        <w:t>, and a bunch of </w:t>
      </w:r>
      <w:hyperlink r:id="rId10" w:tgtFrame="_blank" w:history="1">
        <w:r w:rsidRPr="00B55F92">
          <w:rPr>
            <w:rStyle w:val="Hyperlink"/>
          </w:rPr>
          <w:t>international</w:t>
        </w:r>
      </w:hyperlink>
      <w:r w:rsidRPr="00B55F92">
        <w:t> </w:t>
      </w:r>
      <w:hyperlink r:id="rId11" w:tgtFrame="_blank" w:history="1">
        <w:r w:rsidRPr="00B55F92">
          <w:rPr>
            <w:rStyle w:val="Hyperlink"/>
          </w:rPr>
          <w:t>angst</w:t>
        </w:r>
      </w:hyperlink>
      <w:r w:rsidRPr="00B55F92">
        <w:t>. But it’s only responsible for a fraction of Nvidia’s GPU gains. The company has consistently made use of the most advanced manufacturing technology available; the H100 is made with TSMC’s N5 (5-nanometer) process and the chip </w:t>
      </w:r>
      <w:hyperlink r:id="rId12" w:tgtFrame="_blank" w:history="1">
        <w:r w:rsidRPr="00B55F92">
          <w:rPr>
            <w:rStyle w:val="Hyperlink"/>
          </w:rPr>
          <w:t>foundry</w:t>
        </w:r>
      </w:hyperlink>
      <w:r w:rsidRPr="00B55F92">
        <w:t> only began initial production of its next generation N3 in late 2022.</w:t>
      </w:r>
    </w:p>
    <w:p w14:paraId="5AF1F069" w14:textId="77777777" w:rsidR="00B55F92" w:rsidRDefault="00B55F92"/>
    <w:p w14:paraId="7942ABC6" w14:textId="77777777" w:rsidR="00B55F92" w:rsidRDefault="00B55F92"/>
    <w:p w14:paraId="61150921" w14:textId="77777777" w:rsidR="00B55F92" w:rsidRPr="00B55F92" w:rsidRDefault="00B55F92" w:rsidP="00B55F92">
      <w:pPr>
        <w:rPr>
          <w:b/>
          <w:bCs/>
        </w:rPr>
      </w:pPr>
      <w:r w:rsidRPr="00B55F92">
        <w:rPr>
          <w:b/>
          <w:bCs/>
        </w:rPr>
        <w:t>Sparsity: 2x</w:t>
      </w:r>
    </w:p>
    <w:p w14:paraId="7F0C1AF0" w14:textId="6D0A7C62" w:rsidR="00B55F92" w:rsidRPr="00B55F92" w:rsidRDefault="00B55F92" w:rsidP="00B55F92">
      <w:pPr>
        <w:rPr>
          <w:rFonts w:hint="eastAsia"/>
        </w:rPr>
      </w:pPr>
      <w:r w:rsidRPr="00B55F92">
        <w:t xml:space="preserve">After training, there are many neurons in a neural network that may as well not have been there in the first place. For some networks, “you can </w:t>
      </w:r>
      <w:r w:rsidRPr="00B55F92">
        <w:rPr>
          <w:color w:val="FF0000"/>
        </w:rPr>
        <w:t>prune out half or more of the neurons and lose no accuracy</w:t>
      </w:r>
      <w:r w:rsidRPr="00B55F92">
        <w:t xml:space="preserve">,” said Dally. Their weight values are zero, or really close to it; </w:t>
      </w:r>
      <w:proofErr w:type="gramStart"/>
      <w:r w:rsidRPr="00B55F92">
        <w:t>so</w:t>
      </w:r>
      <w:proofErr w:type="gramEnd"/>
      <w:r w:rsidRPr="00B55F92">
        <w:t xml:space="preserve"> they just don’t </w:t>
      </w:r>
      <w:proofErr w:type="gramStart"/>
      <w:r w:rsidRPr="00B55F92">
        <w:t>contribute</w:t>
      </w:r>
      <w:proofErr w:type="gramEnd"/>
      <w:r w:rsidRPr="00B55F92">
        <w:t xml:space="preserve"> the </w:t>
      </w:r>
      <w:proofErr w:type="gramStart"/>
      <w:r w:rsidRPr="00B55F92">
        <w:t>output, and</w:t>
      </w:r>
      <w:proofErr w:type="gramEnd"/>
      <w:r w:rsidRPr="00B55F92">
        <w:t xml:space="preserve"> including them in computations is a waste of time and energy.</w:t>
      </w:r>
      <w:r w:rsidR="0018190B">
        <w:rPr>
          <w:rFonts w:hint="eastAsia"/>
        </w:rPr>
        <w:t xml:space="preserve"> </w:t>
      </w:r>
    </w:p>
    <w:p w14:paraId="0E72753B" w14:textId="77777777" w:rsidR="00B55F92" w:rsidRPr="00B55F92" w:rsidRDefault="00B55F92" w:rsidP="00B55F92">
      <w:r w:rsidRPr="00B55F92">
        <w:t>Making these networks “</w:t>
      </w:r>
      <w:hyperlink r:id="rId13" w:tgtFrame="_blank" w:history="1">
        <w:r w:rsidRPr="00B55F92">
          <w:rPr>
            <w:rStyle w:val="Hyperlink"/>
          </w:rPr>
          <w:t>sparse</w:t>
        </w:r>
      </w:hyperlink>
      <w:r w:rsidRPr="00B55F92">
        <w:t>“ to reduce the computational load is tricky business. But with the </w:t>
      </w:r>
      <w:hyperlink r:id="rId14" w:tgtFrame="_blank" w:history="1">
        <w:r w:rsidRPr="00B55F92">
          <w:rPr>
            <w:rStyle w:val="Hyperlink"/>
          </w:rPr>
          <w:t>A100</w:t>
        </w:r>
      </w:hyperlink>
      <w:r w:rsidRPr="00B55F92">
        <w:t xml:space="preserve">, the H100’s predecessor, Nvidia introduced what it calls </w:t>
      </w:r>
      <w:r w:rsidRPr="00B55F92">
        <w:rPr>
          <w:color w:val="00B0F0"/>
        </w:rPr>
        <w:t>structured sparsity.</w:t>
      </w:r>
      <w:r w:rsidRPr="00B55F92">
        <w:t xml:space="preserve"> It’s hardware that </w:t>
      </w:r>
      <w:r w:rsidRPr="00B55F92">
        <w:rPr>
          <w:color w:val="00B0F0"/>
        </w:rPr>
        <w:t>can force two out of every four possible pruning events to hap</w:t>
      </w:r>
      <w:r w:rsidRPr="00B55F92">
        <w:t>pen, leading to a new smaller matrix computation.</w:t>
      </w:r>
    </w:p>
    <w:p w14:paraId="58081EA4" w14:textId="77777777" w:rsidR="00B55F92" w:rsidRPr="00B55F92" w:rsidRDefault="00B55F92" w:rsidP="00B55F92">
      <w:r w:rsidRPr="00B55F92">
        <w:t>“We’re not done with sparsity,” Dally said. “We need to do something with activations and can have greater sparsity in weights as well.”</w:t>
      </w:r>
    </w:p>
    <w:p w14:paraId="51868AF6" w14:textId="77777777" w:rsidR="00B55F92" w:rsidRPr="00B55F92" w:rsidRDefault="00B55F92">
      <w:pPr>
        <w:rPr>
          <w:rFonts w:hint="eastAsia"/>
        </w:rPr>
      </w:pPr>
    </w:p>
    <w:p w14:paraId="49062426" w14:textId="77777777" w:rsidR="00B55F92" w:rsidRPr="00B55F92" w:rsidRDefault="00B55F92">
      <w:pPr>
        <w:rPr>
          <w:rFonts w:hint="eastAsia"/>
        </w:rPr>
      </w:pPr>
    </w:p>
    <w:sectPr w:rsidR="00B55F92" w:rsidRPr="00B55F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3C"/>
    <w:rsid w:val="00027946"/>
    <w:rsid w:val="000D333C"/>
    <w:rsid w:val="0015566C"/>
    <w:rsid w:val="0018190B"/>
    <w:rsid w:val="00394421"/>
    <w:rsid w:val="006509C5"/>
    <w:rsid w:val="009A1F4B"/>
    <w:rsid w:val="009F5D16"/>
    <w:rsid w:val="00A80674"/>
    <w:rsid w:val="00B55F92"/>
    <w:rsid w:val="00DE307D"/>
    <w:rsid w:val="00F21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EDB94"/>
  <w15:chartTrackingRefBased/>
  <w15:docId w15:val="{1722BFB1-6AB3-4773-9A9C-22416661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0D33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unhideWhenUsed/>
    <w:qFormat/>
    <w:rsid w:val="000D33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0D33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0D333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0D333C"/>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0D333C"/>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0D333C"/>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D333C"/>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D333C"/>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33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rsid w:val="000D333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D333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0D333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D333C"/>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0D333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0D333C"/>
    <w:rPr>
      <w:rFonts w:cstheme="majorBidi"/>
      <w:b/>
      <w:bCs/>
      <w:color w:val="595959" w:themeColor="text1" w:themeTint="A6"/>
    </w:rPr>
  </w:style>
  <w:style w:type="character" w:customStyle="1" w:styleId="Heading8Char">
    <w:name w:val="Heading 8 Char"/>
    <w:basedOn w:val="DefaultParagraphFont"/>
    <w:link w:val="Heading8"/>
    <w:uiPriority w:val="9"/>
    <w:semiHidden/>
    <w:rsid w:val="000D333C"/>
    <w:rPr>
      <w:rFonts w:cstheme="majorBidi"/>
      <w:color w:val="595959" w:themeColor="text1" w:themeTint="A6"/>
    </w:rPr>
  </w:style>
  <w:style w:type="character" w:customStyle="1" w:styleId="Heading9Char">
    <w:name w:val="Heading 9 Char"/>
    <w:basedOn w:val="DefaultParagraphFont"/>
    <w:link w:val="Heading9"/>
    <w:uiPriority w:val="9"/>
    <w:semiHidden/>
    <w:rsid w:val="000D333C"/>
    <w:rPr>
      <w:rFonts w:eastAsiaTheme="majorEastAsia" w:cstheme="majorBidi"/>
      <w:color w:val="595959" w:themeColor="text1" w:themeTint="A6"/>
    </w:rPr>
  </w:style>
  <w:style w:type="paragraph" w:styleId="Title">
    <w:name w:val="Title"/>
    <w:basedOn w:val="Normal"/>
    <w:next w:val="Normal"/>
    <w:link w:val="TitleChar"/>
    <w:uiPriority w:val="10"/>
    <w:qFormat/>
    <w:rsid w:val="000D333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33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33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D33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33C"/>
    <w:rPr>
      <w:i/>
      <w:iCs/>
      <w:color w:val="404040" w:themeColor="text1" w:themeTint="BF"/>
    </w:rPr>
  </w:style>
  <w:style w:type="paragraph" w:styleId="ListParagraph">
    <w:name w:val="List Paragraph"/>
    <w:basedOn w:val="Normal"/>
    <w:uiPriority w:val="34"/>
    <w:qFormat/>
    <w:rsid w:val="000D333C"/>
    <w:pPr>
      <w:ind w:left="720"/>
      <w:contextualSpacing/>
    </w:pPr>
  </w:style>
  <w:style w:type="character" w:styleId="IntenseEmphasis">
    <w:name w:val="Intense Emphasis"/>
    <w:basedOn w:val="DefaultParagraphFont"/>
    <w:uiPriority w:val="21"/>
    <w:qFormat/>
    <w:rsid w:val="000D333C"/>
    <w:rPr>
      <w:i/>
      <w:iCs/>
      <w:color w:val="0F4761" w:themeColor="accent1" w:themeShade="BF"/>
    </w:rPr>
  </w:style>
  <w:style w:type="paragraph" w:styleId="IntenseQuote">
    <w:name w:val="Intense Quote"/>
    <w:basedOn w:val="Normal"/>
    <w:next w:val="Normal"/>
    <w:link w:val="IntenseQuoteChar"/>
    <w:uiPriority w:val="30"/>
    <w:qFormat/>
    <w:rsid w:val="000D3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33C"/>
    <w:rPr>
      <w:i/>
      <w:iCs/>
      <w:color w:val="0F4761" w:themeColor="accent1" w:themeShade="BF"/>
    </w:rPr>
  </w:style>
  <w:style w:type="character" w:styleId="IntenseReference">
    <w:name w:val="Intense Reference"/>
    <w:basedOn w:val="DefaultParagraphFont"/>
    <w:uiPriority w:val="32"/>
    <w:qFormat/>
    <w:rsid w:val="000D333C"/>
    <w:rPr>
      <w:b/>
      <w:bCs/>
      <w:smallCaps/>
      <w:color w:val="0F4761" w:themeColor="accent1" w:themeShade="BF"/>
      <w:spacing w:val="5"/>
    </w:rPr>
  </w:style>
  <w:style w:type="character" w:styleId="Hyperlink">
    <w:name w:val="Hyperlink"/>
    <w:basedOn w:val="DefaultParagraphFont"/>
    <w:uiPriority w:val="99"/>
    <w:unhideWhenUsed/>
    <w:rsid w:val="00027946"/>
    <w:rPr>
      <w:color w:val="467886" w:themeColor="hyperlink"/>
      <w:u w:val="single"/>
    </w:rPr>
  </w:style>
  <w:style w:type="character" w:styleId="UnresolvedMention">
    <w:name w:val="Unresolved Mention"/>
    <w:basedOn w:val="DefaultParagraphFont"/>
    <w:uiPriority w:val="99"/>
    <w:semiHidden/>
    <w:unhideWhenUsed/>
    <w:rsid w:val="00027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um.ieee.org/transistor-density" TargetMode="External"/><Relationship Id="rId13" Type="http://schemas.openxmlformats.org/officeDocument/2006/relationships/hyperlink" Target="https://spectrum.ieee.org/large-language-models-size" TargetMode="External"/><Relationship Id="rId3" Type="http://schemas.openxmlformats.org/officeDocument/2006/relationships/webSettings" Target="webSettings.xml"/><Relationship Id="rId7" Type="http://schemas.openxmlformats.org/officeDocument/2006/relationships/hyperlink" Target="https://spectrum.ieee.org/number-representation" TargetMode="External"/><Relationship Id="rId12" Type="http://schemas.openxmlformats.org/officeDocument/2006/relationships/hyperlink" Target="https://spectrum.ieee.org/tag/foundry"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spectrum.ieee.org/chips-act-of-2022"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spectrum.ieee.org/eu-chips-act-imec" TargetMode="External"/><Relationship Id="rId4" Type="http://schemas.openxmlformats.org/officeDocument/2006/relationships/hyperlink" Target="https://spectrum.ieee.org/nvidia-gpu" TargetMode="External"/><Relationship Id="rId9" Type="http://schemas.openxmlformats.org/officeDocument/2006/relationships/hyperlink" Target="https://spectrum.ieee.org/stco-system-technology-cooptimization" TargetMode="External"/><Relationship Id="rId14" Type="http://schemas.openxmlformats.org/officeDocument/2006/relationships/hyperlink" Target="https://www.nvidia.com/en-us/data-center/a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Hongfei Qi (Nokia)</dc:creator>
  <cp:keywords/>
  <dc:description/>
  <cp:lastModifiedBy>Hongfei Qi (Nokia)</cp:lastModifiedBy>
  <cp:revision>9</cp:revision>
  <dcterms:created xsi:type="dcterms:W3CDTF">2026-02-28T08:38:00Z</dcterms:created>
  <dcterms:modified xsi:type="dcterms:W3CDTF">2026-02-28T08:44:00Z</dcterms:modified>
</cp:coreProperties>
</file>