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1D6F73"/>
          <w:sz w:val="22"/>
        </w:rPr>
        <w:t>独立项目书 01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RK3588 + RK1828端侧多模态任务规划器</w:t>
      </w:r>
    </w:p>
    <w:p>
      <w:pPr>
        <w:spacing w:after="520"/>
        <w:jc w:val="center"/>
      </w:pPr>
      <w:r>
        <w:rPr>
          <w:rFonts w:ascii="Calibri" w:hAnsi="Calibri" w:eastAsia="Microsoft YaHei"/>
          <w:color w:val="1F4D78"/>
          <w:sz w:val="28"/>
        </w:rPr>
        <w:t>离线VLM/LLM、场景理解、Function Call与量化评测</w:t>
      </w:r>
    </w:p>
    <w:p>
      <w:pPr>
        <w:spacing w:after="1400"/>
        <w:jc w:val="center"/>
      </w:pPr>
      <w:r>
        <w:rPr>
          <w:rFonts w:ascii="Calibri" w:hAnsi="Calibri" w:eastAsia="Microsoft YaHei"/>
          <w:color w:val="667085"/>
          <w:sz w:val="21"/>
        </w:rPr>
        <w:t>可独立交付 | 后续作为具身系统认知端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0B2545"/>
          <w:sz w:val="20"/>
        </w:rPr>
        <w:t>版本 1.0</w:t>
      </w:r>
    </w:p>
    <w:p>
      <w:pPr>
        <w:jc w:val="center"/>
      </w:pPr>
      <w:r>
        <w:rPr>
          <w:rFonts w:ascii="Calibri" w:hAnsi="Calibri" w:eastAsia="Microsoft YaHei"/>
          <w:color w:val="667085"/>
          <w:sz w:val="20"/>
        </w:rPr>
        <w:t>2026年8月</w:t>
      </w:r>
    </w:p>
    <w:p>
      <w:r>
        <w:br w:type="page"/>
      </w:r>
    </w:p>
    <w:p>
      <w:pPr>
        <w:pStyle w:val="Heading1"/>
      </w:pPr>
      <w:r>
        <w:t>目录与阅读说明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667085"/>
          <w:sz w:val="22"/>
        </w:rPr>
        <w:t>本目录不固定页码，Word导航窗格可按标题层级快速跳转。建议先阅读执行摘要，再进入对应项目书章节。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执行摘要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项目背景与目标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系统架构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模型与接口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数据与算法实验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实施计划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验收标准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风险与交付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参考资料</w:t>
      </w: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4E8"/>
          <w:left w:val="single" w:sz="2" w:space="0" w:color="FFF4E8"/>
          <w:bottom w:val="single" w:sz="2" w:space="0" w:color="FFF4E8"/>
          <w:right w:val="single" w:sz="2" w:space="0" w:color="FFF4E8"/>
          <w:insideH w:val="single" w:sz="2" w:space="0" w:color="FFF4E8"/>
          <w:insideV w:val="single" w:sz="2" w:space="0" w:color="FFF4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2"/>
              </w:rPr>
              <w:t xml:space="preserve">使用边界  </w:t>
            </w:r>
            <w:r>
              <w:rPr>
                <w:rFonts w:ascii="Calibri" w:hAnsi="Calibri" w:eastAsia="Microsoft YaHei"/>
                <w:color w:val="202124"/>
                <w:sz w:val="22"/>
              </w:rPr>
              <w:t>本方案用于个人项目、毕业设计和求职作品集规划，不构成工业功能安全认证方案。所有真机实验必须保留物理断电、关节限位和人工监护。</w:t>
            </w:r>
          </w:p>
        </w:tc>
      </w:tr>
    </w:tbl>
    <w:p>
      <w:pPr>
        <w:spacing w:after="60"/>
      </w:pPr>
    </w:p>
    <w:p>
      <w:pPr>
        <w:pStyle w:val="Heading1"/>
      </w:pPr>
      <w:r>
        <w:t>1. 执行摘要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4F6F9"/>
          <w:left w:val="single" w:sz="2" w:space="0" w:color="F4F6F9"/>
          <w:bottom w:val="single" w:sz="2" w:space="0" w:color="F4F6F9"/>
          <w:right w:val="single" w:sz="2" w:space="0" w:color="F4F6F9"/>
          <w:insideH w:val="single" w:sz="2" w:space="0" w:color="F4F6F9"/>
          <w:insideV w:val="single" w:sz="2" w:space="0" w:color="F4F6F9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2"/>
              </w:rPr>
              <w:t xml:space="preserve">核心建议  </w:t>
            </w:r>
            <w:r>
              <w:rPr>
                <w:rFonts w:ascii="Calibri" w:hAnsi="Calibri" w:eastAsia="Microsoft YaHei"/>
                <w:color w:val="202124"/>
                <w:sz w:val="22"/>
              </w:rPr>
              <w:t>先做两个可独立验收的子项目，再通过稳定接口整合。RK项目负责“认知与规划”，S100项目负责“策略与执行”，整合项目只新增跨板闭环、安全和统一评测，不重复造轮子。</w:t>
            </w:r>
          </w:p>
        </w:tc>
      </w:tr>
    </w:tbl>
    <w:p>
      <w:pPr>
        <w:spacing w:after="60"/>
      </w:pP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124"/>
          <w:sz w:val="22"/>
        </w:rPr>
        <w:t>该路线面向机器人行业中的端侧大模型部署、具身智能算法和机器人系统算法岗位。每个阶段都能独立演示、独立写进简历，同时为下一阶段提供可复用输入、输出和评测基线。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1400"/>
        <w:gridCol w:w="2600"/>
        <w:gridCol w:w="3300"/>
        <w:gridCol w:w="2060"/>
      </w:tblGrid>
      <w:tr>
        <w:trPr>
          <w:cantSplit/>
          <w:tblHeader w:val="true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独立成果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核心能力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主要岗位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项目一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RK端侧多模态任务规划器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VLM/LLM量化、场景理解、Function Call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端侧大模型部署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项目二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S100双臂ACT策略系统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模仿学习、数据、消融、BPU部署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具身/机器人算法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项目三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双板具身智能系统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闭环恢复、ROS2、分布式安全、系统评测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机器人系统算法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项目一：RK3588 + RK1828端侧多模态任务规划器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4F6F9"/>
          <w:left w:val="single" w:sz="2" w:space="0" w:color="F4F6F9"/>
          <w:bottom w:val="single" w:sz="2" w:space="0" w:color="F4F6F9"/>
          <w:right w:val="single" w:sz="2" w:space="0" w:color="F4F6F9"/>
          <w:insideH w:val="single" w:sz="2" w:space="0" w:color="F4F6F9"/>
          <w:insideV w:val="single" w:sz="2" w:space="0" w:color="F4F6F9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2"/>
              </w:rPr>
              <w:t xml:space="preserve">项目定位  </w:t>
            </w:r>
            <w:r>
              <w:rPr>
                <w:rFonts w:ascii="Calibri" w:hAnsi="Calibri" w:eastAsia="Microsoft YaHei"/>
                <w:color w:val="202124"/>
                <w:sz w:val="22"/>
              </w:rPr>
              <w:t>构建完全离线的机器人认知前端，将图像、视频、语音和文字转化为可执行、可校验的结构化TaskPlan。该项目独立运行，不依赖SO-101。</w:t>
            </w:r>
          </w:p>
        </w:tc>
      </w:tr>
    </w:tbl>
    <w:p>
      <w:pPr>
        <w:spacing w:after="6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 descr="图2  RK端侧多模态任务规划器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_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RK端侧多模态任务规划器架构</w:t>
      </w:r>
    </w:p>
    <w:p>
      <w:pPr>
        <w:pStyle w:val="Heading2"/>
      </w:pPr>
      <w:r>
        <w:t>3.1 目标与范围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识别场景中的物体、颜色、位置和相对关系。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理解语音或文字任务，并拆解为封闭技能集。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通过Function Call或约束输出生成严格JSON。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完成模型量化、板端运行和准确率/性能评测。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提供本地API或ROS2接口，供后续整合项目调用。</w:t>
      </w:r>
    </w:p>
    <w:p>
      <w:pPr>
        <w:pStyle w:val="Heading2"/>
      </w:pPr>
      <w:r>
        <w:t>3.2 技术方案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1700"/>
        <w:gridCol w:w="4500"/>
        <w:gridCol w:w="3160"/>
      </w:tblGrid>
      <w:tr>
        <w:trPr>
          <w:cantSplit/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建议实现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输出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视觉理解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Qwen3-VL 2B/4B或厂商支持的最小可用VLM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场景实体与关系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语音入口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轻量ASR；先离线文件，后接麦克风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规范化文本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任务规划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VLM直出或结构化场景+文本LLM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TaskPlan JSON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约束层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JSON Schema、技能白名单、参数范围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合法计划或拒绝原因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运行时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RKNN3/RKLLM3 + C++/Python服务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本地推理API</w:t>
            </w:r>
          </w:p>
        </w:tc>
      </w:tr>
    </w:tbl>
    <w:p>
      <w:pPr>
        <w:spacing w:after="80"/>
      </w:pPr>
    </w:p>
    <w:p>
      <w:pPr>
        <w:pStyle w:val="Heading2"/>
      </w:pPr>
      <w:r>
        <w:t>3.3 核心接口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0" w:line="264" w:lineRule="auto"/>
            </w:pPr>
            <w:r>
              <w:rPr>
                <w:rFonts w:ascii="Consolas" w:hAnsi="Consolas" w:eastAsia="Microsoft YaHei"/>
                <w:color w:val="202124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02124"/>
                <w:sz w:val="18"/>
              </w:rPr>
              <w:t xml:space="preserve">  "task_id": "20260810-001",</w:t>
            </w:r>
            <w:r>
              <w:br/>
            </w:r>
            <w:r>
              <w:rPr>
                <w:rFonts w:ascii="Consolas" w:hAnsi="Consolas" w:eastAsia="Microsoft YaHei"/>
                <w:color w:val="202124"/>
                <w:sz w:val="18"/>
              </w:rPr>
              <w:t xml:space="preserve">  "scene": ["object", "left_box", "right_box"],</w:t>
            </w:r>
            <w:r>
              <w:br/>
            </w:r>
            <w:r>
              <w:rPr>
                <w:rFonts w:ascii="Consolas" w:hAnsi="Consolas" w:eastAsia="Microsoft YaHei"/>
                <w:color w:val="202124"/>
                <w:sz w:val="18"/>
              </w:rPr>
              <w:t xml:space="preserve">  "steps": [</w:t>
            </w:r>
            <w:r>
              <w:br/>
            </w:r>
            <w:r>
              <w:rPr>
                <w:rFonts w:ascii="Consolas" w:hAnsi="Consolas" w:eastAsia="Microsoft YaHei"/>
                <w:color w:val="202124"/>
                <w:sz w:val="18"/>
              </w:rPr>
              <w:t xml:space="preserve">    {"skill": "pick"},</w:t>
            </w:r>
            <w:r>
              <w:br/>
            </w:r>
            <w:r>
              <w:rPr>
                <w:rFonts w:ascii="Consolas" w:hAnsi="Consolas" w:eastAsia="Microsoft YaHei"/>
                <w:color w:val="202124"/>
                <w:sz w:val="18"/>
              </w:rPr>
              <w:t xml:space="preserve">    {"skill": "handover"},</w:t>
            </w:r>
            <w:r>
              <w:br/>
            </w:r>
            <w:r>
              <w:rPr>
                <w:rFonts w:ascii="Consolas" w:hAnsi="Consolas" w:eastAsia="Microsoft YaHei"/>
                <w:color w:val="202124"/>
                <w:sz w:val="18"/>
              </w:rPr>
              <w:t xml:space="preserve">    {"skill": "place_right"}</w:t>
            </w:r>
            <w:r>
              <w:br/>
            </w:r>
            <w:r>
              <w:rPr>
                <w:rFonts w:ascii="Consolas" w:hAnsi="Consolas" w:eastAsia="Microsoft YaHei"/>
                <w:color w:val="202124"/>
                <w:sz w:val="18"/>
              </w:rPr>
              <w:t xml:space="preserve">  ]</w:t>
            </w:r>
            <w:r>
              <w:br/>
            </w:r>
            <w:r>
              <w:rPr>
                <w:rFonts w:ascii="Consolas" w:hAnsi="Consolas" w:eastAsia="Microsoft YaHei"/>
                <w:color w:val="202124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3.4 算法实验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VLM直接规划 vs. YOLO/检测器结构化场景 + 文本LLM规划。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单图、多图和短视频抽帧的场景理解准确率对比。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不同量化配置下的目标定位、计划正确率、TTFT和TPS对比。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自由生成、Function Call和JSON修复三种输出策略对比。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不同提示模板对未见表达、歧义指令和拒绝执行能力的影响。</w:t>
      </w:r>
    </w:p>
    <w:p>
      <w:pPr>
        <w:pStyle w:val="Heading2"/>
      </w:pPr>
      <w:r>
        <w:t>3.5 数据与评测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124"/>
          <w:sz w:val="22"/>
        </w:rPr>
        <w:t>建立100至300条离线测试样本，每条包含场景图像、用户指令、期望场景结构和期望技能序列。测试集应覆盖同义表达、无效目标、歧义指令和危险请求。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2350"/>
        <w:gridCol w:w="1900"/>
        <w:gridCol w:w="5110"/>
      </w:tblGrid>
      <w:tr>
        <w:trPr>
          <w:cantSplit/>
          <w:tblHeader w:val="true"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指标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建议目标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JSON格式正确率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≥99%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语法与Schema均合法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封闭技能规划准确率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≥90%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步骤、顺序和参数正确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目标/关系识别准确率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形成自有基线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按场景类型分组统计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性能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记录P50/P95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TTFT、TPS、内存、功耗、温度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拒绝执行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危险请求不进入执行层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保留拒绝原因</w:t>
            </w:r>
          </w:p>
        </w:tc>
      </w:tr>
    </w:tbl>
    <w:p>
      <w:pPr>
        <w:spacing w:after="80"/>
      </w:pPr>
    </w:p>
    <w:p>
      <w:pPr>
        <w:pStyle w:val="Heading2"/>
      </w:pPr>
      <w:r>
        <w:t>3.6 六周实施计划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900"/>
        <w:gridCol w:w="5000"/>
        <w:gridCol w:w="3460"/>
      </w:tblGrid>
      <w:tr>
        <w:trPr>
          <w:cantSplit/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周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工作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1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RKNN3环境、基准模型、板端监控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可重复的性能基线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2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图像/语音输入与结构化场景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场景理解Demo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3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TaskPlan、Schema和技能白名单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规划API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4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测试集与自动评测脚本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准确率报告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5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量化和性能对比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模型/精度/性能矩阵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6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异常场景、文档和演示视频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独立项目交付</w:t>
            </w:r>
          </w:p>
        </w:tc>
      </w:tr>
    </w:tbl>
    <w:p>
      <w:pPr>
        <w:spacing w:after="80"/>
      </w:pPr>
    </w:p>
    <w:p>
      <w:pPr>
        <w:pStyle w:val="Heading2"/>
      </w:pPr>
      <w:r>
        <w:t>3.7 主要风险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2200"/>
        <w:gridCol w:w="2400"/>
        <w:gridCol w:w="4760"/>
      </w:tblGrid>
      <w:tr>
        <w:trPr>
          <w:cantSplit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影响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应对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只形成厂商Demo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算法含量不足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自建测试集、基线和量化实验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VLM目标定位不稳定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计划对象错误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检测器结构化场景作为强基线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自由文本无法执行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接口不可控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Schema、白名单和拒绝策略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模型过大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内存/时延失控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先用最小可用模型，再逐级扩大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部署与性能分析方法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124"/>
          <w:sz w:val="22"/>
        </w:rPr>
        <w:t>部署流程应保留源模型、转换配置、量化产物、板端Runtime和测试脚本。每次升级只改变一个变量，避免模型版本、量化方式和提示模板同时变化。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</w:tblPr>
      <w:tblGrid>
        <w:gridCol w:w="1500"/>
        <w:gridCol w:w="4300"/>
        <w:gridCol w:w="3560"/>
      </w:tblGrid>
      <w:tr>
        <w:trPr>
          <w:cantSplit/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检查项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失败时定位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源模型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离线样本输出与任务计划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提示、模型能力、图像预处理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转换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支持算子、形状、量化日志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模型结构或工具链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板端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TTFT、TPS、内存、温度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Runtime、I/O或资源竞争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应用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Schema、拒绝、错误修复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02124"/>
                <w:sz w:val="17"/>
              </w:rPr>
              <w:t>约束层与状态机</w:t>
            </w:r>
          </w:p>
        </w:tc>
      </w:tr>
    </w:tbl>
    <w:p>
      <w:pPr>
        <w:spacing w:after="80"/>
      </w:pPr>
    </w:p>
    <w:p>
      <w:pPr>
        <w:pStyle w:val="Heading2"/>
      </w:pPr>
      <w:r>
        <w:t>建议的算法增强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将检测器输出的结构化场景与VLM直接输出进行一致性融合。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使用有限状态或语法约束降低非法Function Call。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对歧义指令加入澄清/拒绝分类器，而不是强制生成计划。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建立轻量成功验证模型，为后续双板闭环提供统一接口。</w:t>
      </w:r>
    </w:p>
    <w:p>
      <w:pPr>
        <w:pStyle w:val="Heading1"/>
        <w:pageBreakBefore/>
      </w:pPr>
      <w:r>
        <w:t>项目管理与交付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4F6F9"/>
          <w:left w:val="single" w:sz="2" w:space="0" w:color="F4F6F9"/>
          <w:bottom w:val="single" w:sz="2" w:space="0" w:color="F4F6F9"/>
          <w:right w:val="single" w:sz="2" w:space="0" w:color="F4F6F9"/>
          <w:insideH w:val="single" w:sz="2" w:space="0" w:color="F4F6F9"/>
          <w:insideV w:val="single" w:sz="2" w:space="0" w:color="F4F6F9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22"/>
              </w:rPr>
              <w:t xml:space="preserve">交付目标  </w:t>
            </w:r>
            <w:r>
              <w:rPr>
                <w:rFonts w:ascii="Calibri" w:hAnsi="Calibri" w:eastAsia="Microsoft YaHei"/>
                <w:color w:val="202124"/>
                <w:sz w:val="22"/>
              </w:rPr>
              <w:t>在RK3588+RK1828上形成稳定、离线、可评测的多模态认知与规划服务。</w:t>
            </w:r>
          </w:p>
        </w:tc>
      </w:tr>
    </w:tbl>
    <w:p>
      <w:pPr>
        <w:spacing w:after="60"/>
      </w:pPr>
    </w:p>
    <w:p>
      <w:pPr>
        <w:pStyle w:val="Heading2"/>
      </w:pPr>
      <w:r>
        <w:t>工作包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模型部署与量化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多模态评测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接口开发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性能分析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文档与演示</w:t>
      </w:r>
    </w:p>
    <w:p>
      <w:pPr>
        <w:pStyle w:val="Heading2"/>
      </w:pPr>
      <w:r>
        <w:t>最终交付物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板端推理服务与API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场景/指令测试集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量化和性能报告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异常计划案例库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3分钟演示视频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完整README</w:t>
      </w:r>
    </w:p>
    <w:p>
      <w:pPr>
        <w:pStyle w:val="Heading2"/>
      </w:pPr>
      <w:r>
        <w:t>评审门槛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任何性能结论必须附测试条件和样本数量。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任何算法改进必须有基线和至少一个消融对比。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任何真机结果必须同时保留失败案例。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  <w:sz w:val="22"/>
        </w:rPr>
        <w:t>文档必须能让另一名开发者复现实验环境和主要结果。</w:t>
      </w:r>
    </w:p>
    <w:p>
      <w:pPr>
        <w:pStyle w:val="Heading2"/>
      </w:pPr>
      <w:r>
        <w:t>简历表达模板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AF4EE"/>
          <w:left w:val="single" w:sz="2" w:space="0" w:color="EAF4EE"/>
          <w:bottom w:val="single" w:sz="2" w:space="0" w:color="EAF4EE"/>
          <w:right w:val="single" w:sz="2" w:space="0" w:color="EAF4EE"/>
          <w:insideH w:val="single" w:sz="2" w:space="0" w:color="EAF4EE"/>
          <w:insideV w:val="single" w:sz="2" w:space="0" w:color="EAF4E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56D4A"/>
                <w:sz w:val="22"/>
              </w:rPr>
              <w:t xml:space="preserve">示例  </w:t>
            </w:r>
            <w:r>
              <w:rPr>
                <w:rFonts w:ascii="Calibri" w:hAnsi="Calibri" w:eastAsia="Microsoft YaHei"/>
                <w:color w:val="202124"/>
                <w:sz w:val="22"/>
              </w:rPr>
              <w:t>在RK3588+RK1828上部署端侧VLM/LLM任务规划器，构建自有场景-指令评测集，完成量化前后目标理解、Function Call准确率及TTFT/TPS/内存对比，并提供严格Schema和危险指令拒绝机制。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>参考资料</w:t>
      </w:r>
    </w:p>
    <w:p>
      <w:pPr>
        <w:spacing w:after="120" w:line="300" w:lineRule="auto"/>
        <w:jc w:val="left"/>
      </w:pPr>
      <w:r>
        <w:rPr>
          <w:rFonts w:ascii="Calibri" w:hAnsi="Calibri" w:eastAsia="Microsoft YaHei"/>
          <w:color w:val="202124"/>
          <w:sz w:val="22"/>
        </w:rPr>
        <w:t>以下资料用于确认硬件、工具链和官方示例能力。厂商性能数据仅作设计参考，项目验收应以自有板卡实测为准。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0"/>
        </w:rPr>
        <w:t>[1] D-Robotics RDK LeRobot Tools：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https://github.com/D-Robotics/rdk_LeRobot_tools</w:t>
        </w:r>
      </w:hyperlink>
    </w:p>
    <w:p>
      <w:pPr>
        <w:spacing w:after="100"/>
      </w:pPr>
      <w:r>
        <w:rPr>
          <w:rFonts w:ascii="Calibri" w:hAnsi="Calibri" w:eastAsia="Microsoft YaHei"/>
          <w:b/>
          <w:color w:val="0B2545"/>
          <w:sz w:val="20"/>
        </w:rPr>
        <w:t>[2] LeRobot: ACT Policy 全流程文档：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https://forum.d-robotics.cc/t/topic/28858</w:t>
        </w:r>
      </w:hyperlink>
    </w:p>
    <w:p>
      <w:pPr>
        <w:spacing w:after="100"/>
      </w:pPr>
      <w:r>
        <w:rPr>
          <w:rFonts w:ascii="Calibri" w:hAnsi="Calibri" w:eastAsia="Microsoft YaHei"/>
          <w:b/>
          <w:color w:val="0B2545"/>
          <w:sz w:val="20"/>
        </w:rPr>
        <w:t>[3] D-Robotics RDK Model Zoo S：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https://github.com/D-Robotics/rdk_model_zoo_s</w:t>
        </w:r>
      </w:hyperlink>
    </w:p>
    <w:p>
      <w:pPr>
        <w:spacing w:after="100"/>
      </w:pPr>
      <w:r>
        <w:rPr>
          <w:rFonts w:ascii="Calibri" w:hAnsi="Calibri" w:eastAsia="Microsoft YaHei"/>
          <w:b/>
          <w:color w:val="0B2545"/>
          <w:sz w:val="20"/>
        </w:rPr>
        <w:t>[4] RDK S100 系列硬件说明：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https://developer.d-robotics.cc/rdk_doc/rdk_s/Quick_start/hardware_introduction/rdk_s100/</w:t>
        </w:r>
      </w:hyperlink>
    </w:p>
    <w:p>
      <w:pPr>
        <w:spacing w:after="100"/>
      </w:pPr>
      <w:r>
        <w:rPr>
          <w:rFonts w:ascii="Calibri" w:hAnsi="Calibri" w:eastAsia="Microsoft YaHei"/>
          <w:b/>
          <w:color w:val="0B2545"/>
          <w:sz w:val="20"/>
        </w:rPr>
        <w:t>[5] RDK S100 LLM 工具链：</w:t>
      </w:r>
      <w:hyperlink r:id="rId16">
        <w:r>
          <w:rPr>
            <w:rFonts w:ascii="Calibri" w:hAnsi="Calibri" w:eastAsia="Microsoft YaHei"/>
            <w:color w:val="2E74B5"/>
            <w:u w:val="single"/>
          </w:rPr>
          <w:t>https://developer.d-robotics.cc/rdk_s_doc/Advanced_development/toolchain_development/LLM_Toolchain/s100_LLM_Toolchain</w:t>
        </w:r>
      </w:hyperlink>
    </w:p>
    <w:p>
      <w:pPr>
        <w:spacing w:after="100"/>
      </w:pPr>
      <w:r>
        <w:rPr>
          <w:rFonts w:ascii="Calibri" w:hAnsi="Calibri" w:eastAsia="Microsoft YaHei"/>
          <w:b/>
          <w:color w:val="0B2545"/>
          <w:sz w:val="20"/>
        </w:rPr>
        <w:t>[6] 瑞芯微 RKNN3 SDK V1.0.0：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https://www.rock-chips.com/a/cn/news/rockchip/2026/0309/2163.html</w:t>
        </w:r>
      </w:hyperlink>
    </w:p>
    <w:p>
      <w:pPr>
        <w:spacing w:after="100"/>
      </w:pPr>
      <w:r>
        <w:rPr>
          <w:rFonts w:ascii="Calibri" w:hAnsi="Calibri" w:eastAsia="Microsoft YaHei"/>
          <w:b/>
          <w:color w:val="0B2545"/>
          <w:sz w:val="20"/>
        </w:rPr>
        <w:t>[7] Hugging Face LeRobot SO-101：</w:t>
      </w:r>
      <w:hyperlink r:id="rId18">
        <w:r>
          <w:rPr>
            <w:rFonts w:ascii="Calibri" w:hAnsi="Calibri" w:eastAsia="Microsoft YaHei"/>
            <w:color w:val="2E74B5"/>
            <w:u w:val="single"/>
          </w:rPr>
          <w:t>https://huggingface.co/docs/lerobot/en/so101</w:t>
        </w:r>
      </w:hyperlink>
    </w:p>
    <w:p>
      <w:pPr>
        <w:spacing w:after="100"/>
      </w:pPr>
      <w:r>
        <w:rPr>
          <w:rFonts w:ascii="Calibri" w:hAnsi="Calibri" w:eastAsia="Microsoft YaHei"/>
          <w:b/>
          <w:color w:val="0B2545"/>
          <w:sz w:val="20"/>
        </w:rPr>
        <w:t>[8] Hugging Face SmolVLA：</w:t>
      </w:r>
      <w:hyperlink r:id="rId19">
        <w:r>
          <w:rPr>
            <w:rFonts w:ascii="Calibri" w:hAnsi="Calibri" w:eastAsia="Microsoft YaHei"/>
            <w:color w:val="2E74B5"/>
            <w:u w:val="single"/>
          </w:rPr>
          <w:t>https://huggingface.co/docs/lerobot/smolvla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7"/>
      </w:rPr>
      <w:t>RK3588+RK1828端侧多模态任务规划器 | 项目书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120"/>
    </w:pPr>
    <w:rPr>
      <w:rFonts w:ascii="Calibri" w:hAnsi="Calibri" w:eastAsia="Microsoft YaHei"/>
      <w:b/>
      <w:bCs/>
      <w:color w:val="667085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D-Robotics/rdk_LeRobot_tools" TargetMode="External"/><Relationship Id="rId13" Type="http://schemas.openxmlformats.org/officeDocument/2006/relationships/hyperlink" Target="https://forum.d-robotics.cc/t/topic/28858" TargetMode="External"/><Relationship Id="rId14" Type="http://schemas.openxmlformats.org/officeDocument/2006/relationships/hyperlink" Target="https://github.com/D-Robotics/rdk_model_zoo_s" TargetMode="External"/><Relationship Id="rId15" Type="http://schemas.openxmlformats.org/officeDocument/2006/relationships/hyperlink" Target="https://developer.d-robotics.cc/rdk_doc/rdk_s/Quick_start/hardware_introduction/rdk_s100/" TargetMode="External"/><Relationship Id="rId16" Type="http://schemas.openxmlformats.org/officeDocument/2006/relationships/hyperlink" Target="https://developer.d-robotics.cc/rdk_s_doc/Advanced_development/toolchain_development/LLM_Toolchain/s100_LLM_Toolchain" TargetMode="External"/><Relationship Id="rId17" Type="http://schemas.openxmlformats.org/officeDocument/2006/relationships/hyperlink" Target="https://www.rock-chips.com/a/cn/news/rockchip/2026/0309/2163.html" TargetMode="External"/><Relationship Id="rId18" Type="http://schemas.openxmlformats.org/officeDocument/2006/relationships/hyperlink" Target="https://huggingface.co/docs/lerobot/en/so101" TargetMode="External"/><Relationship Id="rId19" Type="http://schemas.openxmlformats.org/officeDocument/2006/relationships/hyperlink" Target="https://huggingface.co/docs/lerobot/smolv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RK3588+RK1828端侧多模态任务规划器项目书</dc:title>
  <dc:subject>机器人端侧AI与具身智能项目规划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