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Microsoft YaHei" w:hAnsi="Microsoft YaHei"/>
          <w:b/>
          <w:color w:val="1B365D"/>
          <w:sz w:val="36"/>
        </w:rPr>
        <w:t>基于区块链的校园二手交易平台技术刚需与可行性学术论证报告</w:t>
      </w:r>
    </w:p>
    <w:p>
      <w:pPr>
        <w:spacing w:after="60" w:line="312" w:lineRule="auto"/>
        <w:jc w:val="left"/>
      </w:pPr>
      <w:r>
        <w:rPr>
          <w:rFonts w:ascii="SimSun" w:hAnsi="SimSun"/>
          <w:b/>
          <w:i w:val="0"/>
          <w:color w:val="2D3748"/>
          <w:sz w:val="22"/>
        </w:rPr>
        <w:t>摘要</w:t>
      </w:r>
    </w:p>
    <w:p>
      <w:pPr>
        <w:spacing w:after="80" w:line="312" w:lineRule="auto"/>
        <w:ind w:left="288" w:right="288"/>
        <w:jc w:val="left"/>
      </w:pPr>
      <w:r>
        <w:rPr>
          <w:rFonts w:ascii="SimSun" w:hAnsi="SimSun"/>
          <w:b w:val="0"/>
          <w:i w:val="0"/>
          <w:color w:val="333333"/>
          <w:sz w:val="19"/>
        </w:rPr>
        <w:t>高校校园作为典型的半封闭高密度生态，长期存在显著的闲置物品流转需求。然而，中心化 Web2 架构在承载微额担保交易时面临三重结构性矛盾：其一，平台代收担保金在无金融牌照条件下构成实质性的非法资金池，触碰合规红线；其二，毕业生离校后的运维真空使平台陷入"项目即死"的生命周期断裂；其三，集中式仲裁机制存在暗箱操作与主观寻租的制度性缺陷。本报告基于已完整实现的混合架构原型系统（链上 Solidity 智能合约 + 链下 Python/FastAPI 中继层），从确定性资产托管、跨世代生存周期、密码学声誉准入及博弈均衡仲裁四个维度，系统论证区块链技术在该场景下的必要性与工程可行性。全部论证均以代码库中真实实现的逻辑为事实基础。</w:t>
      </w:r>
    </w:p>
    <w:p>
      <w:pPr>
        <w:spacing w:after="360" w:line="312" w:lineRule="auto"/>
        <w:ind w:left="288"/>
        <w:jc w:val="left"/>
      </w:pPr>
      <w:r>
        <w:rPr>
          <w:rFonts w:ascii="SimSun" w:hAnsi="SimSun"/>
          <w:b/>
          <w:i w:val="0"/>
          <w:color w:val="2D3748"/>
          <w:sz w:val="19"/>
        </w:rPr>
        <w:t>关键词：</w:t>
      </w:r>
      <w:r>
        <w:rPr>
          <w:sz w:val="19"/>
        </w:rPr>
        <w:t>区块链托管；Merkle 证明；博弈均衡仲裁；混合架构；去中心化金融合规</w:t>
      </w:r>
    </w:p>
    <w:p>
      <w:pPr>
        <w:keepNext/>
        <w:spacing w:before="280" w:after="120"/>
        <w:ind w:firstLine="0"/>
      </w:pPr>
      <w:r>
        <w:rPr>
          <w:rFonts w:ascii="Microsoft YaHei" w:hAnsi="Microsoft YaHei"/>
          <w:b/>
          <w:color w:val="1B365D"/>
          <w:sz w:val="28"/>
        </w:rPr>
        <w:t>一、 绪论与传统闭环校园交易的系统性脆弱分析</w:t>
      </w:r>
    </w:p>
    <w:p>
      <w:pPr>
        <w:keepNext/>
        <w:spacing w:before="280" w:after="120"/>
        <w:ind w:firstLine="0"/>
      </w:pPr>
      <w:r>
        <w:rPr>
          <w:rFonts w:ascii="Microsoft YaHei" w:hAnsi="Microsoft YaHei"/>
          <w:b/>
          <w:color w:val="2D3748"/>
          <w:sz w:val="24"/>
        </w:rPr>
        <w:t>1.1 高校闲置流转的刚需特征</w:t>
      </w:r>
    </w:p>
    <w:p>
      <w:pPr>
        <w:spacing w:after="120" w:line="312" w:lineRule="auto"/>
        <w:ind w:firstLine="420"/>
        <w:jc w:val="left"/>
      </w:pPr>
      <w:r>
        <w:rPr>
          <w:rFonts w:ascii="SimSun" w:hAnsi="SimSun"/>
          <w:b w:val="0"/>
          <w:i w:val="0"/>
          <w:color w:val="333333"/>
          <w:sz w:val="21"/>
        </w:rPr>
        <w:t>高等院校构成了一种独特的半封闭经济微循环：每学年数以万计的学生在有限地理半径内集中生活，教材、电子产品、生活用品的持有周期与学制高度耦合。毕业季的集中释放与开学季的集中吸纳形成了周期性极强的闲置物品供需波动。传统解决方案（校内 BBS、微信群、跳蚤市场）在信息撮合层面提供了基本功能，但难以解决交易中最核心的信任担保问题——买卖双方均为匿名或半匿名个体，交易金额虽小（通常在 50–2000 元区间），但欺诈风险带来的负效用远高于金额本身。</w:t>
      </w:r>
    </w:p>
    <w:p>
      <w:pPr>
        <w:keepNext/>
        <w:spacing w:before="280" w:after="120"/>
        <w:ind w:firstLine="0"/>
      </w:pPr>
      <w:r>
        <w:rPr>
          <w:rFonts w:ascii="Microsoft YaHei" w:hAnsi="Microsoft YaHei"/>
          <w:b/>
          <w:color w:val="2D3748"/>
          <w:sz w:val="24"/>
        </w:rPr>
        <w:t>1.2 中心化架构的系统性脆弱分析</w:t>
      </w:r>
    </w:p>
    <w:p>
      <w:pPr>
        <w:spacing w:after="120" w:line="312" w:lineRule="auto"/>
        <w:ind w:firstLine="420"/>
        <w:jc w:val="left"/>
      </w:pPr>
      <w:r>
        <w:rPr>
          <w:rFonts w:ascii="SimSun" w:hAnsi="SimSun"/>
          <w:b w:val="0"/>
          <w:i w:val="0"/>
          <w:color w:val="333333"/>
          <w:sz w:val="21"/>
        </w:rPr>
        <w:t>若采用经典的 MySQL + Web2 后端架构承载上述担保交易需求，平台方必须在以下两种模式中做出选择：</w:t>
      </w:r>
    </w:p>
    <w:p>
      <w:pPr>
        <w:spacing w:after="120" w:line="312" w:lineRule="auto"/>
        <w:ind w:firstLine="420"/>
        <w:jc w:val="left"/>
      </w:pPr>
      <w:r>
        <w:rPr>
          <w:b/>
        </w:rPr>
        <w:t>模式 A：平台不介入担保。</w:t>
      </w:r>
      <w:r>
        <w:t>该模式下，平台仅提供信息撮合，资金由买卖双方自行处理。此时平台的信任价值趋近于零——由于缺乏可验证的履约强制机制，交易对手方风险完全由个体承担，逆向选择将导致高质量卖家退出市场（Akerlof 柠檬市场效应）。</w:t>
      </w:r>
    </w:p>
    <w:p>
      <w:pPr>
        <w:spacing w:after="120" w:line="312" w:lineRule="auto"/>
        <w:ind w:firstLine="420"/>
        <w:jc w:val="left"/>
      </w:pPr>
      <w:r>
        <w:rPr>
          <w:b/>
        </w:rPr>
        <w:t>模式 B：平台代收代付担保金。</w:t>
      </w:r>
      <w:r>
        <w:t>该模式下，平台在交易期间暂时持有买方支付的资金，待确认收货后划转给卖方。这一流程在功能层面解决了担保问题，但引入了更为严峻的合规性风险：平台实质上从事了资金归集与支付结算业务。根据《非金融机构支付服务管理办法》及相关监管框架，未经中国人民银行批准的机构不得从事支付结算类业务。一个由学生社团或小型创业团队运营的校园平台若代收担保金，将不可避免地形成"实质性的非法资金池"——资金在法律上属于买方，但在事实上由平台控制，平台的任一运营风险（服务器故障、数据库误操作、内部人员挪用）均可触发系统性的资金安全事件。</w:t>
      </w:r>
    </w:p>
    <w:p>
      <w:pPr>
        <w:spacing w:after="120" w:line="312" w:lineRule="auto"/>
        <w:ind w:firstLine="420"/>
        <w:jc w:val="left"/>
      </w:pPr>
      <w:r>
        <w:rPr>
          <w:rFonts w:ascii="SimSun" w:hAnsi="SimSun"/>
          <w:b w:val="0"/>
          <w:i w:val="0"/>
          <w:color w:val="333333"/>
          <w:sz w:val="21"/>
        </w:rPr>
        <w:t>此外，从技术可信性出发，中心化数据库中的订单状态、资金流水均可被拥有 root 权限的管理员单方面修改。这意味着交易双方无法独立验证平台是否篡改了订单状态或资金归属——系统的安全性完全依赖于对平台运营方的主观信任，而无法提供密码学或形式化方法层面的可验证性保证。这是中心化架构在与金融安全相关的场景中不可逾越的系统性脆弱性。</w:t>
      </w:r>
    </w:p>
    <w:p>
      <w:pPr>
        <w:keepNext/>
        <w:spacing w:before="280" w:after="120"/>
        <w:ind w:firstLine="0"/>
      </w:pPr>
      <w:r>
        <w:rPr>
          <w:rFonts w:ascii="Microsoft YaHei" w:hAnsi="Microsoft YaHei"/>
          <w:b/>
          <w:color w:val="1B365D"/>
          <w:sz w:val="28"/>
        </w:rPr>
        <w:t>二、 确定性资产托管与去中心化清算的合规性刚需论证</w:t>
      </w:r>
    </w:p>
    <w:p>
      <w:pPr>
        <w:keepNext/>
        <w:spacing w:before="280" w:after="120"/>
        <w:ind w:firstLine="0"/>
      </w:pPr>
      <w:r>
        <w:rPr>
          <w:rFonts w:ascii="Microsoft YaHei" w:hAnsi="Microsoft YaHei"/>
          <w:b/>
          <w:color w:val="2D3748"/>
          <w:sz w:val="24"/>
        </w:rPr>
        <w:t>2.1 为什么非基于区块链不可</w:t>
      </w:r>
    </w:p>
    <w:p>
      <w:pPr>
        <w:spacing w:after="120" w:line="312" w:lineRule="auto"/>
        <w:ind w:firstLine="420"/>
        <w:jc w:val="left"/>
      </w:pPr>
      <w:r>
        <w:rPr>
          <w:rFonts w:ascii="SimSun" w:hAnsi="SimSun"/>
          <w:b w:val="0"/>
          <w:i w:val="0"/>
          <w:color w:val="333333"/>
          <w:sz w:val="21"/>
        </w:rPr>
        <w:t>在上述分析框架下，校园二手担保交易的核心矛盾可精确表述为：如何在无信任第三方（trusted third party）的条件下，实现资金的确定性格管与条件性清算，同时确保全流程可公开审计且不被任何单一实体操控。</w:t>
      </w:r>
    </w:p>
    <w:p>
      <w:pPr>
        <w:spacing w:after="120" w:line="312" w:lineRule="auto"/>
        <w:ind w:firstLine="420"/>
        <w:jc w:val="left"/>
      </w:pPr>
      <w:r>
        <w:rPr>
          <w:rFonts w:ascii="SimSun" w:hAnsi="SimSun"/>
          <w:b w:val="0"/>
          <w:i w:val="0"/>
          <w:color w:val="333333"/>
          <w:sz w:val="21"/>
        </w:rPr>
        <w:t>传统 Web2 架构无法满足"无信任第三方"这一约束——平台本身就是该第三方，且其数据库不具备抗篡改的密码学承诺特性。区块链的不可替代性恰恰体现在这一点上：智能合约作为部署在 EVM 兼容链上的字节码，其执行逻辑在部署时即被固化，任何外部账户（包括合约部署者）均无法在事后修改状态转换规则。资金直接划转至合约地址——而非任何自然人控制的账户——使得"资金托管"从对自然人或法人的信托依赖转化为对确定性代码的形式化验证依赖。</w:t>
      </w:r>
    </w:p>
    <w:p>
      <w:pPr>
        <w:keepNext/>
        <w:spacing w:before="280" w:after="120"/>
        <w:ind w:firstLine="0"/>
      </w:pPr>
      <w:r>
        <w:rPr>
          <w:rFonts w:ascii="Microsoft YaHei" w:hAnsi="Microsoft YaHei"/>
          <w:b/>
          <w:color w:val="2D3748"/>
          <w:sz w:val="24"/>
        </w:rPr>
        <w:t>2.2 CampusEscrow.sol 核心状态机设计</w:t>
      </w:r>
    </w:p>
    <w:p>
      <w:pPr>
        <w:spacing w:after="120" w:line="312" w:lineRule="auto"/>
        <w:ind w:firstLine="420"/>
        <w:jc w:val="left"/>
      </w:pPr>
      <w:r>
        <w:rPr>
          <w:rFonts w:ascii="SimSun" w:hAnsi="SimSun"/>
          <w:b w:val="0"/>
          <w:i w:val="0"/>
          <w:color w:val="333333"/>
          <w:sz w:val="21"/>
        </w:rPr>
        <w:t>本系统通过 contracts/CampusEscrow.sol 实现了一个严格的六态确定性状态机，其状态转换图如下：</w:t>
      </w:r>
    </w:p>
    <w:p>
      <w:pPr>
        <w:ind w:left="576"/>
        <w:pBrd>
          <w:left w:val="single" w:sz="12" w:space="8" w:color="1B365D"/>
        </w:pBrd>
      </w:pPr>
      <w:r>
        <w:rPr>
          <w:rFonts w:ascii="Consolas" w:hAnsi="Consolas"/>
          <w:color w:val="2D3748"/>
          <w:sz w:val="18"/>
        </w:rPr>
        <w:t>CREATED ──→ FUNDED ──→ SHIPPED ──→ RECEIVED ──→ COMPLETED</w:t>
        <w:br/>
        <w:t xml:space="preserve">               │                                      ↑</w:t>
        <w:br/>
        <w:t xml:space="preserve">               └──────→ DISPUTED ────────────────────↗</w:t>
        <w:br/>
        <w:t xml:space="preserve">                          (via 2/3 multisig)</w:t>
      </w:r>
    </w:p>
    <w:p>
      <w:pPr>
        <w:spacing w:after="120" w:line="312" w:lineRule="auto"/>
        <w:ind w:firstLine="420"/>
        <w:jc w:val="left"/>
      </w:pPr>
      <w:r>
        <w:rPr>
          <w:rFonts w:ascii="SimSun" w:hAnsi="SimSun"/>
          <w:b w:val="0"/>
          <w:i w:val="0"/>
          <w:color w:val="333333"/>
          <w:sz w:val="21"/>
        </w:rPr>
        <w:t>各状态语义精确定义如下：</w:t>
      </w:r>
      <w:r>
        <w:br/>
        <w:t>• CREATED：卖家已创建订单（挂牌），买卖双方身份已确定，价格已声明，但资金尚未进入合约。</w:t>
      </w:r>
      <w:r>
        <w:br/>
        <w:t>• FUNDED：买家已将以太币（或兼容链原生代币）转入合约地址，资金被合约代码逻辑锁定，无人能够单方面提取。</w:t>
      </w:r>
      <w:r>
        <w:br/>
        <w:t>• SHIPPED：卖家已确认发货（链上记录时间戳作为履约证据）。</w:t>
      </w:r>
      <w:r>
        <w:br/>
        <w:t>• RECEIVED：买家确认收货，合约立即执行资金清算——将托管资金释放至卖家地址，状态原子转换为 COMPLETED。</w:t>
      </w:r>
      <w:r>
        <w:br/>
        <w:t>• DISPUTED：买方发起争议申诉（允许从 FUNDED 或 SHIPPED 状态发起）。争议由三方仲裁人依据 2/3 多数门槛投票裁决。</w:t>
      </w:r>
      <w:r>
        <w:br/>
        <w:t>• COMPLETED：终态。资金已完成清算，订单生命周期结束。</w:t>
      </w:r>
    </w:p>
    <w:p>
      <w:pPr>
        <w:keepNext/>
        <w:spacing w:before="280" w:after="120"/>
        <w:ind w:firstLine="0"/>
      </w:pPr>
      <w:r>
        <w:rPr>
          <w:rFonts w:ascii="Microsoft YaHei" w:hAnsi="Microsoft YaHei"/>
          <w:b/>
          <w:color w:val="2D3748"/>
          <w:sz w:val="24"/>
        </w:rPr>
        <w:t>2.3 影子账本原子提交范式</w:t>
      </w:r>
    </w:p>
    <w:p>
      <w:pPr>
        <w:spacing w:after="120" w:line="312" w:lineRule="auto"/>
        <w:ind w:firstLine="420"/>
        <w:jc w:val="left"/>
      </w:pPr>
      <w:r>
        <w:rPr>
          <w:rFonts w:ascii="SimSun" w:hAnsi="SimSun"/>
          <w:b w:val="0"/>
          <w:i w:val="0"/>
          <w:color w:val="333333"/>
          <w:sz w:val="21"/>
        </w:rPr>
        <w:t>本合约在权限检查与状态变更的关键路径上，系统性地采用了"影子账本原子提交（Deep Copy → Validate → Commit）"设计范式。该范式源自由中本聪最初在比特币代码库中为防止双花攻击而引入的深拷贝验证方法（参见 mybitcoin/src/Core/Blockchain.cpp:98-173），其核心思想可形式化描述如下：</w:t>
      </w:r>
    </w:p>
    <w:p>
      <w:pPr>
        <w:ind w:left="576"/>
        <w:pBrd>
          <w:left w:val="single" w:sz="12" w:space="8" w:color="1B365D"/>
        </w:pBrd>
      </w:pPr>
      <w:r>
        <w:rPr>
          <w:rFonts w:ascii="Consolas" w:hAnsi="Consolas"/>
          <w:color w:val="2D3748"/>
          <w:sz w:val="18"/>
        </w:rPr>
        <w:t>1. Memory Copy:  shadow ← S[orderId]      // 从 storage 深拷贝至 memory</w:t>
        <w:br/>
        <w:t>2. Validate:     assert(P(shadow, msg))    // 在 memory 副本上执行全部权限与状态检查</w:t>
        <w:br/>
        <w:t>3. Commit:       S[orderId] ← shadow'      // 仅在全部验证通过后，原子写入 storage</w:t>
      </w:r>
    </w:p>
    <w:p>
      <w:pPr>
        <w:spacing w:after="120" w:line="312" w:lineRule="auto"/>
        <w:ind w:firstLine="420"/>
        <w:jc w:val="left"/>
      </w:pPr>
      <w:r>
        <w:rPr>
          <w:rFonts w:ascii="SimSun" w:hAnsi="SimSun"/>
          <w:b w:val="0"/>
          <w:i w:val="0"/>
          <w:color w:val="333333"/>
          <w:sz w:val="21"/>
        </w:rPr>
        <w:t>以 fundOrder 函数（CampusEscrow.sol:151-164）为例，说明其具体的代码表现机制：</w:t>
      </w:r>
    </w:p>
    <w:p>
      <w:pPr>
        <w:ind w:left="576"/>
        <w:pBrd>
          <w:left w:val="single" w:sz="12" w:space="8" w:color="1B365D"/>
        </w:pBrd>
      </w:pPr>
      <w:r>
        <w:rPr>
          <w:rFonts w:ascii="Consolas" w:hAnsi="Consolas"/>
          <w:color w:val="333333"/>
          <w:sz w:val="17"/>
        </w:rPr>
        <w:t>function fundOrder(uint256 orderId) external payable</w:t>
        <w:br/>
        <w:t xml:space="preserve">    onlyInState(orderId, State.CREATED)  // Step 2: Validate (via shadow)</w:t>
        <w:br/>
        <w:t xml:space="preserve">    onlyBuyer(orderId)                   // Step 2: Validate (via shadow)</w:t>
        <w:br/>
        <w:t>{</w:t>
        <w:br/>
        <w:t xml:space="preserve">    Order memory shadow = orders[orderId];          // Step 1: Memory Copy</w:t>
        <w:br/>
        <w:t xml:space="preserve">    require(msg.value &gt;= shadow.amount, ...);       // Step 2: Validate</w:t>
        <w:br/>
        <w:t xml:space="preserve">    orders[orderId].state = State.FUNDED;           // Step 3: Commit</w:t>
        <w:br/>
        <w:t>}</w:t>
      </w:r>
    </w:p>
    <w:p>
      <w:pPr>
        <w:spacing w:after="120" w:line="312" w:lineRule="auto"/>
        <w:ind w:firstLine="420"/>
        <w:jc w:val="left"/>
      </w:pPr>
      <w:r>
        <w:rPr>
          <w:rFonts w:ascii="SimSun" w:hAnsi="SimSun"/>
          <w:b w:val="0"/>
          <w:i w:val="0"/>
          <w:color w:val="333333"/>
          <w:sz w:val="21"/>
        </w:rPr>
        <w:t>该范式的安全含义体现在以下三个层面：</w:t>
      </w:r>
    </w:p>
    <w:p>
      <w:pPr>
        <w:spacing w:after="120" w:line="312" w:lineRule="auto"/>
        <w:ind w:firstLine="420"/>
        <w:jc w:val="left"/>
      </w:pPr>
      <w:r>
        <w:rPr>
          <w:rFonts w:ascii="SimSun" w:hAnsi="SimSun"/>
          <w:b w:val="0"/>
          <w:i w:val="0"/>
          <w:color w:val="333333"/>
          <w:sz w:val="21"/>
        </w:rPr>
        <w:t>（a）并发竞态条件下的状态一致性。在以太坊的 EVM 执行模型中，单笔交易的执行是原子的——要么全部状态变更生效，要么全部回滚。然而，若将验证直接作用于 storage 指针（如 orders[orderId].state == State.CREATED），则可能在对同一订单并行操作的场景下（如同一买家在短时间内发起多笔 fund 交易），产生"检查时刻与使用时刻"（TOCTOU）的时间窗口。通过先读取至 memory 副本再进行验证、最后统一提交的范式，可确保验证所依据的快照在逻辑上保持一致，且在 commit 时刻由 EVM 的全局状态锁保证原子性。</w:t>
      </w:r>
    </w:p>
    <w:p>
      <w:pPr>
        <w:spacing w:after="120" w:line="312" w:lineRule="auto"/>
        <w:ind w:firstLine="420"/>
        <w:jc w:val="left"/>
      </w:pPr>
      <w:r>
        <w:rPr>
          <w:rFonts w:ascii="SimSun" w:hAnsi="SimSun"/>
          <w:b w:val="0"/>
          <w:i w:val="0"/>
          <w:color w:val="333333"/>
          <w:sz w:val="21"/>
        </w:rPr>
        <w:t>（b）对状态重入的防御。虽然 Solidity 0.8.20 及更高版本默认不提供对 transfer/send 的 Gas 转发，但本合约在 receiveOrder（CampusEscrow.sol:182-197）中严格遵循 Checks-Effects-Interactions（CEI）模式：先完成全部状态验证与修改（Checks + Effects），仅在最后一步执行 call{value} 的资金转移（Interactions）。结合影子副本验证，确保即使在 call 触发了接收方回调的极端情况下，合约的全局状态已在内存验证阶段被锁定，无法被外部调用重新进入修改。</w:t>
      </w:r>
    </w:p>
    <w:p>
      <w:pPr>
        <w:spacing w:after="120" w:line="312" w:lineRule="auto"/>
        <w:ind w:firstLine="420"/>
        <w:jc w:val="left"/>
      </w:pPr>
      <w:r>
        <w:rPr>
          <w:rFonts w:ascii="SimSun" w:hAnsi="SimSun"/>
          <w:b w:val="0"/>
          <w:i w:val="0"/>
          <w:color w:val="333333"/>
          <w:sz w:val="21"/>
        </w:rPr>
        <w:t>（c）防止资金悬空。receiveOrder 和 executeArbitration 中资金转移使用 call{value} 而非已弃用的 transfer（后者仅转发 2300 Gas，可能在接收方为合约时导致静默失败），同时通过 require(sent, ...) 进行显式的返回值检查。这一设计确保在任何情况下——包括接收方合约因 fallback 函数耗尽 Gas 而拒绝接收——交易将整体回滚，资金不会进入悬空状态（即既未到达卖方也未退回买方）。</w:t>
      </w:r>
    </w:p>
    <w:p>
      <w:pPr>
        <w:keepNext/>
        <w:spacing w:before="280" w:after="120"/>
        <w:ind w:firstLine="0"/>
      </w:pPr>
      <w:r>
        <w:rPr>
          <w:rFonts w:ascii="Microsoft YaHei" w:hAnsi="Microsoft YaHei"/>
          <w:b/>
          <w:color w:val="2D3748"/>
          <w:sz w:val="24"/>
        </w:rPr>
        <w:t>2.4 合规映射</w:t>
      </w:r>
    </w:p>
    <w:p>
      <w:pPr>
        <w:spacing w:after="120" w:line="312" w:lineRule="auto"/>
        <w:ind w:firstLine="420"/>
        <w:jc w:val="left"/>
      </w:pPr>
      <w:r>
        <w:rPr>
          <w:rFonts w:ascii="SimSun" w:hAnsi="SimSun"/>
          <w:b w:val="0"/>
          <w:i w:val="0"/>
          <w:color w:val="333333"/>
          <w:sz w:val="21"/>
        </w:rPr>
        <w:t>从合规视角审视，上述设计的核心意义在于：平台运营方自始至终不持有资金的私钥控制权。所有担保资金存储在合约地址中，其动支必须通过合约定义的确定性格状态转换（买方确认收货 → 自动释放给卖方，或 2/3 多签决议 → 退款/放款）。任何单一角色——包括合约部署者——均无法单方面提取资金。这一机制从技术上消除了"平台方代收资金形成资金池"的法律定性依据，因为平台运营方在法律和密码学双重意义上均不构成资金的"占有者"或"控制者"。</w:t>
      </w:r>
    </w:p>
    <w:p>
      <w:pPr>
        <w:keepNext/>
        <w:spacing w:before="280" w:after="120"/>
        <w:ind w:firstLine="0"/>
      </w:pPr>
      <w:r>
        <w:rPr>
          <w:rFonts w:ascii="Microsoft YaHei" w:hAnsi="Microsoft YaHei"/>
          <w:b/>
          <w:color w:val="1B365D"/>
          <w:sz w:val="28"/>
        </w:rPr>
        <w:t>三、 跨世代网络生命周期与零运维费生存特性分析</w:t>
      </w:r>
    </w:p>
    <w:p>
      <w:pPr>
        <w:keepNext/>
        <w:spacing w:before="280" w:after="120"/>
        <w:ind w:firstLine="0"/>
      </w:pPr>
      <w:r>
        <w:rPr>
          <w:rFonts w:ascii="Microsoft YaHei" w:hAnsi="Microsoft YaHei"/>
          <w:b/>
          <w:color w:val="2D3748"/>
          <w:sz w:val="24"/>
        </w:rPr>
        <w:t>3.1 校园应用的"毕业即死亡"困境</w:t>
      </w:r>
    </w:p>
    <w:p>
      <w:pPr>
        <w:spacing w:after="120" w:line="312" w:lineRule="auto"/>
        <w:ind w:firstLine="420"/>
        <w:jc w:val="left"/>
      </w:pPr>
      <w:r>
        <w:rPr>
          <w:rFonts w:ascii="SimSun" w:hAnsi="SimSun"/>
          <w:b w:val="0"/>
          <w:i w:val="0"/>
          <w:color w:val="333333"/>
          <w:sz w:val="21"/>
        </w:rPr>
        <w:t>高校应用场景面临一个在通用互联网产品中罕见的生命周期挑战：核心用户群体（在校学生）以固定周期（通常 3–4 年）完成更替。当一届核心维护者毕业时，其积累的服务器运维知识、数据库管理权限、域名续费责任和云服务账单通常随之流失。"学长毕业，项目即死"并非个案现象，而是校园技术项目的结构性通病。</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jc w:val="center"/>
            </w:pPr>
            <w:r>
              <w:rPr>
                <w:b/>
                <w:color w:val="FFFFFF"/>
                <w:sz w:val="19"/>
              </w:rPr>
              <w:t>运维资源</w:t>
            </w:r>
          </w:p>
        </w:tc>
        <w:tc>
          <w:tcPr>
            <w:tcW w:type="dxa" w:w="3120"/>
            <w:shd w:fill="1B365D"/>
          </w:tcPr>
          <w:p>
            <w:pPr>
              <w:jc w:val="center"/>
            </w:pPr>
            <w:r>
              <w:rPr>
                <w:b/>
                <w:color w:val="FFFFFF"/>
                <w:sz w:val="19"/>
              </w:rPr>
              <w:t>持续成本</w:t>
            </w:r>
          </w:p>
        </w:tc>
        <w:tc>
          <w:tcPr>
            <w:tcW w:type="dxa" w:w="3120"/>
            <w:shd w:fill="1B365D"/>
          </w:tcPr>
          <w:p>
            <w:pPr>
              <w:jc w:val="center"/>
            </w:pPr>
            <w:r>
              <w:rPr>
                <w:b/>
                <w:color w:val="FFFFFF"/>
                <w:sz w:val="19"/>
              </w:rPr>
              <w:t>知识继承要求</w:t>
            </w:r>
          </w:p>
        </w:tc>
      </w:tr>
      <w:tr>
        <w:tc>
          <w:tcPr>
            <w:tcW w:type="dxa" w:w="3120"/>
            <w:shd w:fill="FFFFFF"/>
            <w:tcMar>
              <w:top w:w="140" w:type="dxa"/>
              <w:bottom w:w="140" w:type="dxa"/>
              <w:left w:w="180" w:type="dxa"/>
              <w:right w:w="140" w:type="dxa"/>
            </w:tcMar>
          </w:tcPr>
          <w:p>
            <w:r>
              <w:rPr>
                <w:sz w:val="18"/>
              </w:rPr>
              <w:t>云服务器 / VPS</w:t>
            </w:r>
          </w:p>
        </w:tc>
        <w:tc>
          <w:tcPr>
            <w:tcW w:type="dxa" w:w="3120"/>
            <w:shd w:fill="FFFFFF"/>
            <w:tcMar>
              <w:top w:w="140" w:type="dxa"/>
              <w:bottom w:w="140" w:type="dxa"/>
              <w:left w:w="180" w:type="dxa"/>
              <w:right w:w="140" w:type="dxa"/>
            </w:tcMar>
          </w:tcPr>
          <w:p>
            <w:r>
              <w:rPr>
                <w:sz w:val="18"/>
              </w:rPr>
              <w:t>月付租赁费</w:t>
            </w:r>
          </w:p>
        </w:tc>
        <w:tc>
          <w:tcPr>
            <w:tcW w:type="dxa" w:w="3120"/>
            <w:shd w:fill="FFFFFF"/>
            <w:tcMar>
              <w:top w:w="140" w:type="dxa"/>
              <w:bottom w:w="140" w:type="dxa"/>
              <w:left w:w="180" w:type="dxa"/>
              <w:right w:w="140" w:type="dxa"/>
            </w:tcMar>
          </w:tcPr>
          <w:p>
            <w:r>
              <w:rPr>
                <w:sz w:val="18"/>
              </w:rPr>
              <w:t>续费账户与支付方式传承</w:t>
            </w:r>
          </w:p>
        </w:tc>
      </w:tr>
      <w:tr>
        <w:tc>
          <w:tcPr>
            <w:tcW w:type="dxa" w:w="3120"/>
            <w:shd w:fill="F7FAFC"/>
            <w:tcMar>
              <w:top w:w="140" w:type="dxa"/>
              <w:bottom w:w="140" w:type="dxa"/>
              <w:left w:w="180" w:type="dxa"/>
              <w:right w:w="140" w:type="dxa"/>
            </w:tcMar>
          </w:tcPr>
          <w:p>
            <w:r>
              <w:rPr>
                <w:sz w:val="18"/>
              </w:rPr>
              <w:t>MySQL / PostgreSQL</w:t>
            </w:r>
          </w:p>
        </w:tc>
        <w:tc>
          <w:tcPr>
            <w:tcW w:type="dxa" w:w="3120"/>
            <w:shd w:fill="F7FAFC"/>
            <w:tcMar>
              <w:top w:w="140" w:type="dxa"/>
              <w:bottom w:w="140" w:type="dxa"/>
              <w:left w:w="180" w:type="dxa"/>
              <w:right w:w="140" w:type="dxa"/>
            </w:tcMar>
          </w:tcPr>
          <w:p>
            <w:r>
              <w:rPr>
                <w:sz w:val="18"/>
              </w:rPr>
              <w:t>定期备份与迁移</w:t>
            </w:r>
          </w:p>
        </w:tc>
        <w:tc>
          <w:tcPr>
            <w:tcW w:type="dxa" w:w="3120"/>
            <w:shd w:fill="F7FAFC"/>
            <w:tcMar>
              <w:top w:w="140" w:type="dxa"/>
              <w:bottom w:w="140" w:type="dxa"/>
              <w:left w:w="180" w:type="dxa"/>
              <w:right w:w="140" w:type="dxa"/>
            </w:tcMar>
          </w:tcPr>
          <w:p>
            <w:r>
              <w:rPr>
                <w:sz w:val="18"/>
              </w:rPr>
              <w:t>DBA 技能传承</w:t>
            </w:r>
          </w:p>
        </w:tc>
      </w:tr>
      <w:tr>
        <w:tc>
          <w:tcPr>
            <w:tcW w:type="dxa" w:w="3120"/>
            <w:shd w:fill="FFFFFF"/>
            <w:tcMar>
              <w:top w:w="140" w:type="dxa"/>
              <w:bottom w:w="140" w:type="dxa"/>
              <w:left w:w="180" w:type="dxa"/>
              <w:right w:w="140" w:type="dxa"/>
            </w:tcMar>
          </w:tcPr>
          <w:p>
            <w:r>
              <w:rPr>
                <w:sz w:val="18"/>
              </w:rPr>
              <w:t>域名 DNS</w:t>
            </w:r>
          </w:p>
        </w:tc>
        <w:tc>
          <w:tcPr>
            <w:tcW w:type="dxa" w:w="3120"/>
            <w:shd w:fill="FFFFFF"/>
            <w:tcMar>
              <w:top w:w="140" w:type="dxa"/>
              <w:bottom w:w="140" w:type="dxa"/>
              <w:left w:w="180" w:type="dxa"/>
              <w:right w:w="140" w:type="dxa"/>
            </w:tcMar>
          </w:tcPr>
          <w:p>
            <w:r>
              <w:rPr>
                <w:sz w:val="18"/>
              </w:rPr>
              <w:t>年费续期</w:t>
            </w:r>
          </w:p>
        </w:tc>
        <w:tc>
          <w:tcPr>
            <w:tcW w:type="dxa" w:w="3120"/>
            <w:shd w:fill="FFFFFF"/>
            <w:tcMar>
              <w:top w:w="140" w:type="dxa"/>
              <w:bottom w:w="140" w:type="dxa"/>
              <w:left w:w="180" w:type="dxa"/>
              <w:right w:w="140" w:type="dxa"/>
            </w:tcMar>
          </w:tcPr>
          <w:p>
            <w:r>
              <w:rPr>
                <w:sz w:val="18"/>
              </w:rPr>
              <w:t>注册商账户权限传承</w:t>
            </w:r>
          </w:p>
        </w:tc>
      </w:tr>
      <w:tr>
        <w:tc>
          <w:tcPr>
            <w:tcW w:type="dxa" w:w="3120"/>
            <w:shd w:fill="F7FAFC"/>
            <w:tcMar>
              <w:top w:w="140" w:type="dxa"/>
              <w:bottom w:w="140" w:type="dxa"/>
              <w:left w:w="180" w:type="dxa"/>
              <w:right w:w="140" w:type="dxa"/>
            </w:tcMar>
          </w:tcPr>
          <w:p>
            <w:r>
              <w:rPr>
                <w:sz w:val="18"/>
              </w:rPr>
              <w:t>HTTPS 证书</w:t>
            </w:r>
          </w:p>
        </w:tc>
        <w:tc>
          <w:tcPr>
            <w:tcW w:type="dxa" w:w="3120"/>
            <w:shd w:fill="F7FAFC"/>
            <w:tcMar>
              <w:top w:w="140" w:type="dxa"/>
              <w:bottom w:w="140" w:type="dxa"/>
              <w:left w:w="180" w:type="dxa"/>
              <w:right w:w="140" w:type="dxa"/>
            </w:tcMar>
          </w:tcPr>
          <w:p>
            <w:r>
              <w:rPr>
                <w:sz w:val="18"/>
              </w:rPr>
              <w:t>定期更换</w:t>
            </w:r>
          </w:p>
        </w:tc>
        <w:tc>
          <w:tcPr>
            <w:tcW w:type="dxa" w:w="3120"/>
            <w:shd w:fill="F7FAFC"/>
            <w:tcMar>
              <w:top w:w="140" w:type="dxa"/>
              <w:bottom w:w="140" w:type="dxa"/>
              <w:left w:w="180" w:type="dxa"/>
              <w:right w:w="140" w:type="dxa"/>
            </w:tcMar>
          </w:tcPr>
          <w:p>
            <w:r>
              <w:rPr>
                <w:sz w:val="18"/>
              </w:rPr>
              <w:t>运维脚本与流程传承</w:t>
            </w:r>
          </w:p>
        </w:tc>
      </w:tr>
      <w:tr>
        <w:tc>
          <w:tcPr>
            <w:tcW w:type="dxa" w:w="3120"/>
            <w:shd w:fill="FFFFFF"/>
            <w:tcMar>
              <w:top w:w="140" w:type="dxa"/>
              <w:bottom w:w="140" w:type="dxa"/>
              <w:left w:w="180" w:type="dxa"/>
              <w:right w:w="140" w:type="dxa"/>
            </w:tcMar>
          </w:tcPr>
          <w:p>
            <w:r>
              <w:rPr>
                <w:sz w:val="18"/>
              </w:rPr>
              <w:t>后端进程</w:t>
            </w:r>
          </w:p>
        </w:tc>
        <w:tc>
          <w:tcPr>
            <w:tcW w:type="dxa" w:w="3120"/>
            <w:shd w:fill="FFFFFF"/>
            <w:tcMar>
              <w:top w:w="140" w:type="dxa"/>
              <w:bottom w:w="140" w:type="dxa"/>
              <w:left w:w="180" w:type="dxa"/>
              <w:right w:w="140" w:type="dxa"/>
            </w:tcMar>
          </w:tcPr>
          <w:p>
            <w:r>
              <w:rPr>
                <w:sz w:val="18"/>
              </w:rPr>
              <w:t>进程守护与重启</w:t>
            </w:r>
          </w:p>
        </w:tc>
        <w:tc>
          <w:tcPr>
            <w:tcW w:type="dxa" w:w="3120"/>
            <w:shd w:fill="FFFFFF"/>
            <w:tcMar>
              <w:top w:w="140" w:type="dxa"/>
              <w:bottom w:w="140" w:type="dxa"/>
              <w:left w:w="180" w:type="dxa"/>
              <w:right w:w="140" w:type="dxa"/>
            </w:tcMar>
          </w:tcPr>
          <w:p>
            <w:r>
              <w:rPr>
                <w:sz w:val="18"/>
              </w:rPr>
              <w:t>系统管理技能传承</w:t>
            </w:r>
          </w:p>
        </w:tc>
      </w:tr>
    </w:tbl>
    <w:p>
      <w:pPr>
        <w:spacing w:after="120" w:line="312" w:lineRule="auto"/>
        <w:ind w:firstLine="420"/>
        <w:jc w:val="left"/>
      </w:pPr>
    </w:p>
    <w:p>
      <w:pPr>
        <w:keepNext/>
        <w:spacing w:before="280" w:after="120"/>
        <w:ind w:firstLine="0"/>
      </w:pPr>
      <w:r>
        <w:rPr>
          <w:rFonts w:ascii="Microsoft YaHei" w:hAnsi="Microsoft YaHei"/>
          <w:b/>
          <w:color w:val="2D3748"/>
          <w:sz w:val="24"/>
        </w:rPr>
        <w:t>3.2 智能合约"一次部署、永久存活"的经济学推演</w:t>
      </w:r>
    </w:p>
    <w:p>
      <w:pPr>
        <w:spacing w:after="120" w:line="312" w:lineRule="auto"/>
        <w:ind w:firstLine="420"/>
        <w:jc w:val="left"/>
      </w:pPr>
      <w:r>
        <w:rPr>
          <w:rFonts w:ascii="SimSun" w:hAnsi="SimSun"/>
          <w:b w:val="0"/>
          <w:i w:val="0"/>
          <w:color w:val="333333"/>
          <w:sz w:val="21"/>
        </w:rPr>
        <w:t>本系统将全部金融关键逻辑置于 EVM 兼容链上的智能合约中。智能合约的生存特性与中心化服务器存在本质差异：</w:t>
      </w:r>
    </w:p>
    <w:p>
      <w:pPr>
        <w:spacing w:after="120" w:line="312" w:lineRule="auto"/>
        <w:ind w:firstLine="420"/>
        <w:jc w:val="left"/>
      </w:pPr>
      <w:r>
        <w:rPr>
          <w:rFonts w:ascii="SimSun" w:hAnsi="SimSun"/>
          <w:b w:val="0"/>
          <w:i w:val="0"/>
          <w:color w:val="333333"/>
          <w:sz w:val="21"/>
        </w:rPr>
        <w:t>（a）计算持久性。智能合约字节码一旦在链上部署成功，即被写入区块链的全局状态 Trie 中。只要底层区块链网络存在至少一个全节点在运行，该合约即持续可用。合约代码本身不依赖任何特定服务器的进程存活——没有"进程守护"的概念，没有"服务器宕机"的概念。调用合约函数仅需向网络中任一节点广播签名交易，由矿工/验证者打包执行。</w:t>
      </w:r>
    </w:p>
    <w:p>
      <w:pPr>
        <w:spacing w:after="120" w:line="312" w:lineRule="auto"/>
        <w:ind w:firstLine="420"/>
        <w:jc w:val="left"/>
      </w:pPr>
      <w:r>
        <w:rPr>
          <w:rFonts w:ascii="SimSun" w:hAnsi="SimSun"/>
          <w:b w:val="0"/>
          <w:i w:val="0"/>
          <w:color w:val="333333"/>
          <w:sz w:val="21"/>
        </w:rPr>
        <w:t>（b）存储冗余性。合约的 storage 状态（订单记录、争议投票、白名单状态）由网络中所有全节点共同维护。这是一种事实上的全球地理分布式冗余——其数据持久性远高于任何单一数据中心的 RAID 阵列。即使若干节点离线或数据中心发生物理灾难，只要网络整体仍在运行，合约状态即完整无损。</w:t>
      </w:r>
    </w:p>
    <w:p>
      <w:pPr>
        <w:spacing w:after="120" w:line="312" w:lineRule="auto"/>
        <w:ind w:firstLine="420"/>
        <w:jc w:val="left"/>
      </w:pPr>
      <w:r>
        <w:rPr>
          <w:rFonts w:ascii="SimSun" w:hAnsi="SimSun"/>
          <w:b w:val="0"/>
          <w:i w:val="0"/>
          <w:color w:val="333333"/>
          <w:sz w:val="21"/>
        </w:rPr>
        <w:t>（c）零边际运维成本。智能合约不产生月度服务器租赁费用、数据库许可费用或持续运维人力成本。唯一的费用是用户调用合约写入函数时支付的 Gas 费（由交易发起方而非平台运营方承担）。合约部署时的 Gas 费用是一次性的沉没成本。读操作（如查询订单状态）完全免费——可由任意 RPC 节点无偿提供。</w:t>
      </w:r>
    </w:p>
    <w:p>
      <w:pPr>
        <w:keepNext/>
        <w:spacing w:before="280" w:after="120"/>
        <w:ind w:firstLine="0"/>
      </w:pPr>
      <w:r>
        <w:rPr>
          <w:rFonts w:ascii="Microsoft YaHei" w:hAnsi="Microsoft YaHei"/>
          <w:b/>
          <w:color w:val="2D3748"/>
          <w:sz w:val="24"/>
        </w:rPr>
        <w:t>3.3 前端完全静态化的跨世代战略</w:t>
      </w:r>
    </w:p>
    <w:p>
      <w:pPr>
        <w:spacing w:after="120" w:line="312" w:lineRule="auto"/>
        <w:ind w:firstLine="420"/>
        <w:jc w:val="left"/>
      </w:pPr>
      <w:r>
        <w:rPr>
          <w:rFonts w:ascii="SimSun" w:hAnsi="SimSun"/>
          <w:b w:val="0"/>
          <w:i w:val="0"/>
          <w:color w:val="333333"/>
          <w:sz w:val="21"/>
        </w:rPr>
        <w:t>本系统的链下组件仅包含两类纯静态资源：</w:t>
      </w:r>
    </w:p>
    <w:p>
      <w:pPr>
        <w:spacing w:after="120" w:line="312" w:lineRule="auto"/>
        <w:ind w:firstLine="420"/>
        <w:jc w:val="left"/>
      </w:pPr>
      <w:r>
        <w:rPr>
          <w:rFonts w:ascii="SimSun" w:hAnsi="SimSun"/>
          <w:b w:val="0"/>
          <w:i w:val="0"/>
          <w:color w:val="333333"/>
          <w:sz w:val="21"/>
        </w:rPr>
        <w:t>1. 中继层（relay/main.py）：一个基于 FastAPI 的轻量读缓存层，负责从链上监听事件并写入 SQLite 数据库，对外提供 RESTful 查询 API。该层不处理任何资金逻辑——仅作为链上状态的只读镜像。即使该服务完全宕机，用户仍可通过直接与智能合约交互完成全部核心业务流程（创建订单、付款、发货、收货、争议仲裁）。</w:t>
      </w:r>
    </w:p>
    <w:p>
      <w:pPr>
        <w:spacing w:after="120" w:line="312" w:lineRule="auto"/>
        <w:ind w:firstLine="420"/>
        <w:jc w:val="left"/>
      </w:pPr>
      <w:r>
        <w:rPr>
          <w:rFonts w:ascii="SimSun" w:hAnsi="SimSun"/>
          <w:b w:val="0"/>
          <w:i w:val="0"/>
          <w:color w:val="333333"/>
          <w:sz w:val="21"/>
        </w:rPr>
        <w:t>2. 前端界面：完全静态化的 HTML/CSS/JavaScript 单页应用，可托管于 IPFS（通过 CID 寻址）或 GitHub Pages（零费用静态托管），通过 window.ethereum 注入的浏览器钱包（如 MetaMask）直接与链上合约交互，无需任何中心化后端中转。</w:t>
      </w:r>
    </w:p>
    <w:p>
      <w:pPr>
        <w:spacing w:after="120" w:line="312" w:lineRule="auto"/>
        <w:ind w:firstLine="420"/>
        <w:jc w:val="left"/>
      </w:pPr>
      <w:r>
        <w:rPr>
          <w:rFonts w:ascii="SimSun" w:hAnsi="SimSun"/>
          <w:b w:val="0"/>
          <w:i w:val="0"/>
          <w:color w:val="333333"/>
          <w:sz w:val="21"/>
        </w:rPr>
        <w:t>这一架构的经济学含义是清晰的：当项目创始人毕业离校后，维持系统核心功能所需的持续成本趋近于零。只要以太坊兼容链的公共 RPC 节点（或任何社区成员运行的节点）仍在提供接入服务，任何在校学生均可通过加载前端页面并连接钱包，完成完整的二手交易担保流程。系统从"依赖于特定维护者"的 Web2 应用转变为"作为公共基础设施存在"的去中心化协议。</w:t>
      </w:r>
    </w:p>
    <w:p>
      <w:pPr>
        <w:keepNext/>
        <w:spacing w:before="280" w:after="120"/>
        <w:ind w:firstLine="0"/>
      </w:pPr>
      <w:r>
        <w:rPr>
          <w:rFonts w:ascii="Microsoft YaHei" w:hAnsi="Microsoft YaHei"/>
          <w:b/>
          <w:color w:val="1B365D"/>
          <w:sz w:val="28"/>
        </w:rPr>
        <w:t>四、 基于 Merkle 树与密码学承诺的声誉矩阵与防女巫准入</w:t>
      </w:r>
    </w:p>
    <w:p>
      <w:pPr>
        <w:keepNext/>
        <w:spacing w:before="280" w:after="120"/>
        <w:ind w:firstLine="0"/>
      </w:pPr>
      <w:r>
        <w:rPr>
          <w:rFonts w:ascii="Microsoft YaHei" w:hAnsi="Microsoft YaHei"/>
          <w:b/>
          <w:color w:val="2D3748"/>
          <w:sz w:val="24"/>
        </w:rPr>
        <w:t>4.1 链上白名单直接存储的 Gas 灾难</w:t>
      </w:r>
    </w:p>
    <w:p>
      <w:pPr>
        <w:spacing w:after="120" w:line="312" w:lineRule="auto"/>
        <w:ind w:firstLine="420"/>
        <w:jc w:val="left"/>
      </w:pPr>
      <w:r>
        <w:rPr>
          <w:rFonts w:ascii="SimSun" w:hAnsi="SimSun"/>
          <w:b w:val="0"/>
          <w:i w:val="0"/>
          <w:color w:val="333333"/>
          <w:sz w:val="21"/>
        </w:rPr>
        <w:t>校园二手交易需要一种准入机制：仅允许经过身份验证的校内学生参与交易，以有效过滤校外无关实体。最直接的方案是将所有合法学生的以太坊地址写入链上 mapping(address =&gt; bool)。然而，一所中等规模高校拥有 30,000 名在校学生——执行该操作，单一 SSTORE（冷存储写入）的 Gas 成本约为 20,000 Gas。30,000 次写入的总 Gas 成本约为 600,000,000 Gas。按 20 Gwei 的 Gas 价格和以太坊网络条件估算，仅存储白名单的 Gas 成本即高达约 12 ETH——这在经济上不可行。即使采用更高效的批处理方式，链上存储的整体复杂度为 O(N)，随着 N 的增大将迅速触及区块 Gas Limit 的上限。</w:t>
      </w:r>
    </w:p>
    <w:p>
      <w:pPr>
        <w:keepNext/>
        <w:spacing w:before="280" w:after="120"/>
        <w:ind w:firstLine="0"/>
      </w:pPr>
      <w:r>
        <w:rPr>
          <w:rFonts w:ascii="Microsoft YaHei" w:hAnsi="Microsoft YaHei"/>
          <w:b/>
          <w:color w:val="2D3748"/>
          <w:sz w:val="24"/>
        </w:rPr>
        <w:t>4.2 Merkle 树的 O(log N) 空间压缩</w:t>
      </w:r>
    </w:p>
    <w:p>
      <w:pPr>
        <w:spacing w:after="120" w:line="312" w:lineRule="auto"/>
        <w:ind w:firstLine="420"/>
        <w:jc w:val="left"/>
      </w:pPr>
      <w:r>
        <w:rPr>
          <w:rFonts w:ascii="SimSun" w:hAnsi="SimSun"/>
          <w:b w:val="0"/>
          <w:i w:val="0"/>
          <w:color w:val="333333"/>
          <w:sz w:val="21"/>
        </w:rPr>
        <w:t>本系统的 MerkleWhitelist.sol 合约通过引入 Merkle 树结构，将链上存储需求从 O(N) 压缩至 O(1)：合约仅需在 storage 中保存一个 32 字节的 merkleRoot，而所有叶子的验证工作由调用方携带 O(log N) 长度的 Merkle Proof 在链上完成计算。</w:t>
      </w:r>
    </w:p>
    <w:p>
      <w:pPr>
        <w:spacing w:after="120" w:line="312" w:lineRule="auto"/>
        <w:ind w:firstLine="420"/>
        <w:jc w:val="left"/>
      </w:pPr>
      <w:r>
        <w:rPr>
          <w:rFonts w:ascii="SimSun" w:hAnsi="SimSun"/>
          <w:b w:val="0"/>
          <w:i w:val="0"/>
          <w:color w:val="333333"/>
          <w:sz w:val="21"/>
        </w:rPr>
        <w:t>算法逻辑迁移自 scripts/merkle_gen.py 中的 Python 实现——该实现对标 C++ 原始算法（mybitcoin/src/Core/Merkle.cpp）的两两哈希归约流程：</w:t>
      </w:r>
    </w:p>
    <w:p>
      <w:pPr>
        <w:ind w:left="576"/>
        <w:pBrd>
          <w:left w:val="single" w:sz="12" w:space="8" w:color="1B365D"/>
        </w:pBrd>
      </w:pPr>
      <w:r>
        <w:rPr>
          <w:rFonts w:ascii="Consolas" w:hAnsi="Consolas"/>
          <w:color w:val="333333"/>
          <w:sz w:val="17"/>
        </w:rPr>
        <w:t>Algorithm: ComputeMerkleRoot(L)</w:t>
        <w:br/>
        <w:t>Input:  Leaf list L = [ℓ₀, ℓ₁, ..., ℓ_{n-1}] (each ℓᵢ is 32-byte keccak256)</w:t>
        <w:br/>
        <w:t>Output: 32-byte Merkle root</w:t>
        <w:br/>
        <w:br/>
        <w:t>1.  hashes ← copy(L)</w:t>
        <w:br/>
        <w:t>2.  while |hashes| &gt; 1:</w:t>
        <w:br/>
        <w:t>3.      if |hashes| is odd:</w:t>
        <w:br/>
        <w:t>4.          hashes.append(hashes[-1])               // 奇数尾节点自复制</w:t>
        <w:br/>
        <w:t>5.      new_level ← []</w:t>
        <w:br/>
        <w:t>6.      for i ← 0 to |hashes|-1 step 2:</w:t>
        <w:br/>
        <w:t>7.          left, right ← hashes[i], hashes[i+1]</w:t>
        <w:br/>
        <w:t>8.          sorted ← (left &lt; right) ? (left || right) : (right || left)  // 值排序拼接</w:t>
        <w:br/>
        <w:t>9.          new_level.append(keccak256(sorted))</w:t>
        <w:br/>
        <w:t>10.     hashes ← new_level</w:t>
        <w:br/>
        <w:t>11. return hashes[0]</w:t>
      </w:r>
    </w:p>
    <w:p>
      <w:pPr>
        <w:spacing w:after="120" w:line="312" w:lineRule="auto"/>
        <w:ind w:firstLine="420"/>
        <w:jc w:val="left"/>
      </w:pPr>
      <w:r>
        <w:rPr>
          <w:rFonts w:ascii="SimSun" w:hAnsi="SimSun"/>
          <w:b w:val="0"/>
          <w:i w:val="0"/>
          <w:color w:val="333333"/>
          <w:sz w:val="21"/>
        </w:rPr>
        <w:t>该算法的关键设计决策是按字节序排序拼接（第 8 步）：当 left &lt; right（按 bytes32 大端序比较）时，拼接顺序为 left || right，否则为 right || left。这一排序策略确保了 Python 链下生成与 Solidity 链上验证使用完全一致的拼接方向，消除了因哈希输入顺序不同导致的证明验证失败。此设计完全对齐 OpenZeppelin 的 MerkleProof 库的实现约定，使得生成的 proof 具备跨工具链的兼容性。</w:t>
      </w:r>
    </w:p>
    <w:p>
      <w:pPr>
        <w:keepNext/>
        <w:spacing w:before="280" w:after="120"/>
        <w:ind w:firstLine="0"/>
      </w:pPr>
      <w:r>
        <w:rPr>
          <w:rFonts w:ascii="Microsoft YaHei" w:hAnsi="Microsoft YaHei"/>
          <w:b/>
          <w:color w:val="2D3748"/>
          <w:sz w:val="24"/>
        </w:rPr>
        <w:t>4.3 叶子构造与防女巫攻击的安全边界</w:t>
      </w:r>
    </w:p>
    <w:p>
      <w:pPr>
        <w:spacing w:after="120" w:line="312" w:lineRule="auto"/>
        <w:ind w:firstLine="420"/>
        <w:jc w:val="left"/>
      </w:pPr>
      <w:r>
        <w:rPr>
          <w:rFonts w:ascii="SimSun" w:hAnsi="SimSun"/>
          <w:b w:val="0"/>
          <w:i w:val="0"/>
          <w:color w:val="333333"/>
          <w:sz w:val="21"/>
        </w:rPr>
        <w:t>每个白名单叶子的构造公式为：l_i = keccak256(abi.encodePacked(address_i, nonce))。其中 address_i 为学生的以太坊地址，nonce 为全局有效期标记（如学年时间戳）。叶子节点的安全假设基于 keccak256 哈希函数的原像抗性（preimage resistance）与第二原像抗性（second-preimage resistance）：</w:t>
      </w:r>
    </w:p>
    <w:p>
      <w:pPr>
        <w:spacing w:after="120" w:line="312" w:lineRule="auto"/>
        <w:ind w:firstLine="420"/>
        <w:jc w:val="left"/>
      </w:pPr>
      <w:r>
        <w:rPr>
          <w:rFonts w:ascii="SimSun" w:hAnsi="SimSun"/>
          <w:b w:val="0"/>
          <w:i w:val="0"/>
          <w:color w:val="333333"/>
          <w:sz w:val="21"/>
        </w:rPr>
        <w:t>（a）防女巫攻击（Sybil Resistance）。一个未获授权的攻击者若试图伪造白名单身份，需要构造一个 (address, proof) 二元组，使得 verify(proof, keccak256(address, nonce)) 在已知 merkleRoot 的条件下返回 true。这等价于为已知的 Merkle Root 找到一个有效叶子——在 keccak256 为密码学安全哈希函数的假设下，其计算复杂度为 O(2^256)，即暴力搜索 256 位原像空间。该复杂性在实践中等效于不可行（infeasible）。</w:t>
      </w:r>
    </w:p>
    <w:p>
      <w:pPr>
        <w:spacing w:after="120" w:line="312" w:lineRule="auto"/>
        <w:ind w:firstLine="420"/>
        <w:jc w:val="left"/>
      </w:pPr>
      <w:r>
        <w:rPr>
          <w:rFonts w:ascii="SimSun" w:hAnsi="SimSun"/>
          <w:b w:val="0"/>
          <w:i w:val="0"/>
          <w:color w:val="333333"/>
          <w:sz w:val="21"/>
        </w:rPr>
        <w:t>（b）防 Proof 重放攻击。即使合法用户已公开其 Merkle Proof（例如通过正常的链上注册交易），MerkleWhitelist.sol 通过 usedLeafs mapping 机制防止该 Proof 被二次使用。这一"一次性消费"（one-time consumption）机制将每个 (studentId, nonce) 绑定的叶子转化为不可转让的数字身份凭证：每个在校学生仅能使用其分配的身份证明注册一次。若该学生将证明私下转移给校外人员，其自身将失去注册资格。这一博弈结构使得私人间的身份凭证转让具有足够高的机会成本，从而在概率上逼近有效的准入控制。</w:t>
      </w:r>
    </w:p>
    <w:p>
      <w:pPr>
        <w:spacing w:after="120" w:line="312" w:lineRule="auto"/>
        <w:ind w:firstLine="420"/>
        <w:jc w:val="left"/>
      </w:pPr>
      <w:r>
        <w:rPr>
          <w:rFonts w:ascii="SimSun" w:hAnsi="SimSun"/>
          <w:b w:val="0"/>
          <w:i w:val="0"/>
          <w:color w:val="333333"/>
          <w:sz w:val="21"/>
        </w:rPr>
        <w:t>（c）Nonce 旋转机制。若 nonce 对应了学年或学期标识，则白名单管理员可在每个新学期更新 merkleRoot，从而使得已毕业学生的旧 Proof 自动失效——旧 Nonce 下构造的叶子哈希与新 Root 不匹配。这提供了一种低摩擦的周期性身份刷新机制，且无需逐条移除已毕业学生记录。</w:t>
      </w:r>
    </w:p>
    <w:p>
      <w:pPr>
        <w:keepNext/>
        <w:spacing w:before="280" w:after="120"/>
        <w:ind w:firstLine="0"/>
      </w:pPr>
      <w:r>
        <w:rPr>
          <w:rFonts w:ascii="Microsoft YaHei" w:hAnsi="Microsoft YaHei"/>
          <w:b/>
          <w:color w:val="2D3748"/>
          <w:sz w:val="24"/>
        </w:rPr>
        <w:t>4.4 链下证明计算的工程实现</w:t>
      </w:r>
    </w:p>
    <w:p>
      <w:pPr>
        <w:spacing w:after="120" w:line="312" w:lineRule="auto"/>
        <w:ind w:firstLine="420"/>
        <w:jc w:val="left"/>
      </w:pPr>
      <w:r>
        <w:rPr>
          <w:rFonts w:ascii="SimSun" w:hAnsi="SimSun"/>
          <w:b w:val="0"/>
          <w:i w:val="0"/>
          <w:color w:val="333333"/>
          <w:sz w:val="21"/>
        </w:rPr>
        <w:t>scripts/merkle_gen.py 的 generate_proof() 函数在链下以 O(n log n) 的总体复杂度（n 为白名单总人数）为每个地址生成证明路径。relay/main.py 中的 /api/whitelist/proof/{address} 端点通过懒加载缓存策略以模块导入的方式调用 merkle_gen.generate_whitelist()，生成全量白名单后按地址索引返回单个证明。这一设计完全避免了运行时子进程调用（subprocess）带来的安全风险与性能开销——全部计算在 Python 进程内以函数调用方式完成。</w:t>
      </w:r>
    </w:p>
    <w:p>
      <w:pPr>
        <w:keepNext/>
        <w:spacing w:before="280" w:after="120"/>
        <w:ind w:firstLine="0"/>
      </w:pPr>
      <w:r>
        <w:rPr>
          <w:rFonts w:ascii="Microsoft YaHei" w:hAnsi="Microsoft YaHei"/>
          <w:b/>
          <w:color w:val="1B365D"/>
          <w:sz w:val="28"/>
        </w:rPr>
        <w:t>五、 博弈均衡视角下的 2/3 多签仲裁有效性评估</w:t>
      </w:r>
    </w:p>
    <w:p>
      <w:pPr>
        <w:keepNext/>
        <w:spacing w:before="280" w:after="120"/>
        <w:ind w:firstLine="0"/>
      </w:pPr>
      <w:r>
        <w:rPr>
          <w:rFonts w:ascii="Microsoft YaHei" w:hAnsi="Microsoft YaHei"/>
          <w:b/>
          <w:color w:val="2D3748"/>
          <w:sz w:val="24"/>
        </w:rPr>
        <w:t>5.1 传统仲裁的制度性缺陷</w:t>
      </w:r>
    </w:p>
    <w:p>
      <w:pPr>
        <w:spacing w:after="120" w:line="312" w:lineRule="auto"/>
        <w:ind w:firstLine="420"/>
        <w:jc w:val="left"/>
      </w:pPr>
      <w:r>
        <w:rPr>
          <w:rFonts w:ascii="SimSun" w:hAnsi="SimSun"/>
          <w:b w:val="0"/>
          <w:i w:val="0"/>
          <w:color w:val="333333"/>
          <w:sz w:val="21"/>
        </w:rPr>
        <w:t>在中心化校园交易平台中，纠纷仲裁通常由平台管理员（或学生组织内的若干"客服"角色）单方面裁决。该模式存在两重结构性缺陷：信息不对称与暗箱操作（仲裁理由、证据采纳标准缺乏公开记录）；寻租空间（单一仲裁主体掌握排他性决定权，易与某一方合谋）。</w:t>
      </w:r>
    </w:p>
    <w:p>
      <w:pPr>
        <w:spacing w:after="120" w:line="312" w:lineRule="auto"/>
        <w:ind w:firstLine="420"/>
        <w:jc w:val="left"/>
      </w:pPr>
      <w:r>
        <w:rPr>
          <w:rFonts w:ascii="SimSun" w:hAnsi="SimSun"/>
          <w:b w:val="0"/>
          <w:i w:val="0"/>
          <w:color w:val="333333"/>
          <w:sz w:val="21"/>
        </w:rPr>
        <w:t>在博弈论的框架下，上述缺陷可模型化为：存在单个代理人 A 对资金 v 的分配拥有独裁权，其从买卖双方 (B, S) 获得的私人效用分别为 u_A(B) 和 u_A(S)。当 max(u_A(B), u_A(S)) &gt; δ（δ 为道德成本阈值）时，A 有动机作出偏袒性裁决——而外部观察者既无法察觉该偏袒，也无法予以制衡。</w:t>
      </w:r>
    </w:p>
    <w:p>
      <w:pPr>
        <w:keepNext/>
        <w:spacing w:before="280" w:after="120"/>
        <w:ind w:firstLine="0"/>
      </w:pPr>
      <w:r>
        <w:rPr>
          <w:rFonts w:ascii="Microsoft YaHei" w:hAnsi="Microsoft YaHei"/>
          <w:b/>
          <w:color w:val="2D3748"/>
          <w:sz w:val="24"/>
        </w:rPr>
        <w:t>5.2 三方制衡的 2/3 共识模型</w:t>
      </w:r>
    </w:p>
    <w:p>
      <w:pPr>
        <w:spacing w:after="120" w:line="312" w:lineRule="auto"/>
        <w:ind w:firstLine="420"/>
        <w:jc w:val="left"/>
      </w:pPr>
      <w:r>
        <w:rPr>
          <w:rFonts w:ascii="SimSun" w:hAnsi="SimSun"/>
          <w:b w:val="0"/>
          <w:i w:val="0"/>
          <w:color w:val="333333"/>
          <w:sz w:val="21"/>
        </w:rPr>
        <w:t>本系统通过 CampusEscrow.sol 的多签仲裁机制从根本上改变了上述博弈结构。系统设定了三个仲裁人角色，分别映射校方代表、学生会代表和平台运营方代表：</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jc w:val="center"/>
            </w:pPr>
            <w:r>
              <w:rPr>
                <w:b/>
                <w:color w:val="FFFFFF"/>
                <w:sz w:val="19"/>
              </w:rPr>
              <w:t>仲裁人索引</w:t>
            </w:r>
          </w:p>
        </w:tc>
        <w:tc>
          <w:tcPr>
            <w:tcW w:type="dxa" w:w="3120"/>
            <w:shd w:fill="1B365D"/>
          </w:tcPr>
          <w:p>
            <w:pPr>
              <w:jc w:val="center"/>
            </w:pPr>
            <w:r>
              <w:rPr>
                <w:b/>
                <w:color w:val="FFFFFF"/>
                <w:sz w:val="19"/>
              </w:rPr>
              <w:t>代表利益方</w:t>
            </w:r>
          </w:p>
        </w:tc>
        <w:tc>
          <w:tcPr>
            <w:tcW w:type="dxa" w:w="3120"/>
            <w:shd w:fill="1B365D"/>
          </w:tcPr>
          <w:p>
            <w:pPr>
              <w:jc w:val="center"/>
            </w:pPr>
            <w:r>
              <w:rPr>
                <w:b/>
                <w:color w:val="FFFFFF"/>
                <w:sz w:val="19"/>
              </w:rPr>
              <w:t>角色功能</w:t>
            </w:r>
          </w:p>
        </w:tc>
      </w:tr>
      <w:tr>
        <w:tc>
          <w:tcPr>
            <w:tcW w:type="dxa" w:w="3120"/>
            <w:shd w:fill="FFFFFF"/>
            <w:tcMar>
              <w:top w:w="140" w:type="dxa"/>
              <w:bottom w:w="140" w:type="dxa"/>
              <w:left w:w="180" w:type="dxa"/>
              <w:right w:w="140" w:type="dxa"/>
            </w:tcMar>
          </w:tcPr>
          <w:p>
            <w:r>
              <w:rPr>
                <w:sz w:val="18"/>
              </w:rPr>
              <w:t>Arbitrator 1</w:t>
            </w:r>
          </w:p>
        </w:tc>
        <w:tc>
          <w:tcPr>
            <w:tcW w:type="dxa" w:w="3120"/>
            <w:shd w:fill="FFFFFF"/>
            <w:tcMar>
              <w:top w:w="140" w:type="dxa"/>
              <w:bottom w:w="140" w:type="dxa"/>
              <w:left w:w="180" w:type="dxa"/>
              <w:right w:w="140" w:type="dxa"/>
            </w:tcMar>
          </w:tcPr>
          <w:p>
            <w:r>
              <w:rPr>
                <w:sz w:val="18"/>
              </w:rPr>
              <w:t>校方（学生事务处/教务处）</w:t>
            </w:r>
          </w:p>
        </w:tc>
        <w:tc>
          <w:tcPr>
            <w:tcW w:type="dxa" w:w="3120"/>
            <w:shd w:fill="FFFFFF"/>
            <w:tcMar>
              <w:top w:w="140" w:type="dxa"/>
              <w:bottom w:w="140" w:type="dxa"/>
              <w:left w:w="180" w:type="dxa"/>
              <w:right w:w="140" w:type="dxa"/>
            </w:tcMar>
          </w:tcPr>
          <w:p>
            <w:r>
              <w:rPr>
                <w:sz w:val="18"/>
              </w:rPr>
              <w:t>提供行政权威与合规监督</w:t>
            </w:r>
          </w:p>
        </w:tc>
      </w:tr>
      <w:tr>
        <w:tc>
          <w:tcPr>
            <w:tcW w:type="dxa" w:w="3120"/>
            <w:shd w:fill="F7FAFC"/>
            <w:tcMar>
              <w:top w:w="140" w:type="dxa"/>
              <w:bottom w:w="140" w:type="dxa"/>
              <w:left w:w="180" w:type="dxa"/>
              <w:right w:w="140" w:type="dxa"/>
            </w:tcMar>
          </w:tcPr>
          <w:p>
            <w:r>
              <w:rPr>
                <w:sz w:val="18"/>
              </w:rPr>
              <w:t>Arbitrator 2</w:t>
            </w:r>
          </w:p>
        </w:tc>
        <w:tc>
          <w:tcPr>
            <w:tcW w:type="dxa" w:w="3120"/>
            <w:shd w:fill="F7FAFC"/>
            <w:tcMar>
              <w:top w:w="140" w:type="dxa"/>
              <w:bottom w:w="140" w:type="dxa"/>
              <w:left w:w="180" w:type="dxa"/>
              <w:right w:w="140" w:type="dxa"/>
            </w:tcMar>
          </w:tcPr>
          <w:p>
            <w:r>
              <w:rPr>
                <w:sz w:val="18"/>
              </w:rPr>
              <w:t>学生会/学生权益组织</w:t>
            </w:r>
          </w:p>
        </w:tc>
        <w:tc>
          <w:tcPr>
            <w:tcW w:type="dxa" w:w="3120"/>
            <w:shd w:fill="F7FAFC"/>
            <w:tcMar>
              <w:top w:w="140" w:type="dxa"/>
              <w:bottom w:w="140" w:type="dxa"/>
              <w:left w:w="180" w:type="dxa"/>
              <w:right w:w="140" w:type="dxa"/>
            </w:tcMar>
          </w:tcPr>
          <w:p>
            <w:r>
              <w:rPr>
                <w:sz w:val="18"/>
              </w:rPr>
              <w:t>代表学生群体利益</w:t>
            </w:r>
          </w:p>
        </w:tc>
      </w:tr>
      <w:tr>
        <w:tc>
          <w:tcPr>
            <w:tcW w:type="dxa" w:w="3120"/>
            <w:shd w:fill="FFFFFF"/>
            <w:tcMar>
              <w:top w:w="140" w:type="dxa"/>
              <w:bottom w:w="140" w:type="dxa"/>
              <w:left w:w="180" w:type="dxa"/>
              <w:right w:w="140" w:type="dxa"/>
            </w:tcMar>
          </w:tcPr>
          <w:p>
            <w:r>
              <w:rPr>
                <w:sz w:val="18"/>
              </w:rPr>
              <w:t>Arbitrator 3</w:t>
            </w:r>
          </w:p>
        </w:tc>
        <w:tc>
          <w:tcPr>
            <w:tcW w:type="dxa" w:w="3120"/>
            <w:shd w:fill="FFFFFF"/>
            <w:tcMar>
              <w:top w:w="140" w:type="dxa"/>
              <w:bottom w:w="140" w:type="dxa"/>
              <w:left w:w="180" w:type="dxa"/>
              <w:right w:w="140" w:type="dxa"/>
            </w:tcMar>
          </w:tcPr>
          <w:p>
            <w:r>
              <w:rPr>
                <w:sz w:val="18"/>
              </w:rPr>
              <w:t>平台技术管理方</w:t>
            </w:r>
          </w:p>
        </w:tc>
        <w:tc>
          <w:tcPr>
            <w:tcW w:type="dxa" w:w="3120"/>
            <w:shd w:fill="FFFFFF"/>
            <w:tcMar>
              <w:top w:w="140" w:type="dxa"/>
              <w:bottom w:w="140" w:type="dxa"/>
              <w:left w:w="180" w:type="dxa"/>
              <w:right w:w="140" w:type="dxa"/>
            </w:tcMar>
          </w:tcPr>
          <w:p>
            <w:r>
              <w:rPr>
                <w:sz w:val="18"/>
              </w:rPr>
              <w:t>提供技术证据与链上数据解读</w:t>
            </w:r>
          </w:p>
        </w:tc>
      </w:tr>
    </w:tbl>
    <w:p>
      <w:pPr>
        <w:spacing w:after="120" w:line="312" w:lineRule="auto"/>
        <w:ind w:firstLine="420"/>
        <w:jc w:val="left"/>
      </w:pPr>
    </w:p>
    <w:p>
      <w:pPr>
        <w:spacing w:after="120" w:line="312" w:lineRule="auto"/>
        <w:ind w:firstLine="420"/>
        <w:jc w:val="left"/>
      </w:pPr>
      <w:r>
        <w:rPr>
          <w:rFonts w:ascii="SimSun" w:hAnsi="SimSun"/>
          <w:b w:val="0"/>
          <w:i w:val="0"/>
          <w:color w:val="333333"/>
          <w:sz w:val="21"/>
        </w:rPr>
        <w:t>任一争议的裁决需满足：至少 2/3 的仲裁人达成一致意见。投票为二元选择（支持买方退款 true，或支持卖方收款 false），且每个仲裁人不可重复投票：</w:t>
      </w:r>
    </w:p>
    <w:p>
      <w:pPr>
        <w:ind w:left="576"/>
        <w:pBrd>
          <w:left w:val="single" w:sz="12" w:space="8" w:color="1B365D"/>
        </w:pBrd>
      </w:pPr>
      <w:r>
        <w:rPr>
          <w:rFonts w:ascii="Consolas" w:hAnsi="Consolas"/>
          <w:color w:val="333333"/>
          <w:sz w:val="17"/>
        </w:rPr>
        <w:t>uint256 public constant ARBITRATOR_COUNT = 3;</w:t>
        <w:br/>
        <w:t>uint256 public constant VOTE_THRESHOLD = 2;</w:t>
        <w:br/>
        <w:br/>
        <w:t>function voteOnDispute(uint256 orderId, bool forBuyer) external onlyArbitrator {</w:t>
        <w:br/>
        <w:t xml:space="preserve">    // ...</w:t>
        <w:br/>
        <w:t xml:space="preserve">    require(!dispute.hasVoted[msg.sender], "Already voted");</w:t>
        <w:br/>
        <w:t xml:space="preserve">    dispute.hasVoted[msg.sender] = true;</w:t>
        <w:br/>
        <w:t xml:space="preserve">    if (forBuyer) dispute.votesForBuyer++;</w:t>
        <w:br/>
        <w:t xml:space="preserve">    else dispute.votesForSeller++;</w:t>
        <w:br/>
        <w:t>}</w:t>
      </w:r>
    </w:p>
    <w:p>
      <w:pPr>
        <w:keepNext/>
        <w:spacing w:before="280" w:after="120"/>
        <w:ind w:firstLine="0"/>
      </w:pPr>
      <w:r>
        <w:rPr>
          <w:rFonts w:ascii="Microsoft YaHei" w:hAnsi="Microsoft YaHei"/>
          <w:b/>
          <w:color w:val="2D3748"/>
          <w:sz w:val="24"/>
        </w:rPr>
        <w:t>5.3 博弈均衡的形式化分析</w:t>
      </w:r>
    </w:p>
    <w:p>
      <w:pPr>
        <w:spacing w:after="120" w:line="312" w:lineRule="auto"/>
        <w:ind w:firstLine="420"/>
        <w:jc w:val="left"/>
      </w:pPr>
      <w:r>
        <w:rPr>
          <w:rFonts w:ascii="SimSun" w:hAnsi="SimSun"/>
          <w:b w:val="0"/>
          <w:i w:val="0"/>
          <w:color w:val="333333"/>
          <w:sz w:val="21"/>
        </w:rPr>
        <w:t>设三方仲裁人分别为 A_1, A_2, A_3。考虑以下博弈场景：</w:t>
      </w:r>
    </w:p>
    <w:p>
      <w:pPr>
        <w:spacing w:after="120" w:line="312" w:lineRule="auto"/>
        <w:ind w:firstLine="420"/>
        <w:jc w:val="left"/>
      </w:pPr>
      <w:r>
        <w:rPr>
          <w:rFonts w:ascii="SimSun" w:hAnsi="SimSun"/>
          <w:b w:val="0"/>
          <w:i w:val="0"/>
          <w:color w:val="333333"/>
          <w:sz w:val="21"/>
        </w:rPr>
        <w:t>命题 1：任意单一利益主体均无法单方面篡改资金清算方向。</w:t>
      </w:r>
    </w:p>
    <w:p>
      <w:pPr>
        <w:spacing w:after="120" w:line="312" w:lineRule="auto"/>
        <w:ind w:firstLine="420"/>
        <w:jc w:val="left"/>
      </w:pPr>
      <w:r>
        <w:rPr>
          <w:rFonts w:ascii="SimSun" w:hAnsi="SimSun"/>
          <w:b w:val="0"/>
          <w:i w:val="0"/>
          <w:color w:val="333333"/>
          <w:sz w:val="21"/>
        </w:rPr>
        <w:t>证明：任一仲裁人仅拥有 1 票。合约执行条件要求 votesForBuyer &gt;= 2 或 votesForSeller &gt;= 2。单个仲裁人的最大票力为 1 &lt; 2，因此其独立无法触发任一方向的清算。</w:t>
      </w:r>
    </w:p>
    <w:p>
      <w:pPr>
        <w:spacing w:after="120" w:line="312" w:lineRule="auto"/>
        <w:ind w:firstLine="420"/>
        <w:jc w:val="left"/>
      </w:pPr>
      <w:r>
        <w:rPr>
          <w:rFonts w:ascii="SimSun" w:hAnsi="SimSun"/>
          <w:b w:val="0"/>
          <w:i w:val="0"/>
          <w:color w:val="333333"/>
          <w:sz w:val="21"/>
        </w:rPr>
        <w:t>命题 2：任意两方合谋的共识成本极高。</w:t>
      </w:r>
    </w:p>
    <w:p>
      <w:pPr>
        <w:spacing w:after="120" w:line="312" w:lineRule="auto"/>
        <w:ind w:firstLine="420"/>
        <w:jc w:val="left"/>
      </w:pPr>
      <w:r>
        <w:rPr>
          <w:rFonts w:ascii="SimSun" w:hAnsi="SimSun"/>
          <w:b w:val="0"/>
          <w:i w:val="0"/>
          <w:color w:val="333333"/>
          <w:sz w:val="21"/>
        </w:rPr>
        <w:t>证明：假设 A_1 与 A_2 合谋，试图偏袒某一方。为使"合谋偏袒"成为均衡策略，需满足：u_i(偏袒) - c_i(合谋) &gt; u_i(诚实)。其中 c_i(合谋) 包括声誉成本（链上投票记录永久公开不可篡改，可被分析审计）、制度成本（学生代表面临问责，校方代表触发行政调查）、协调成本（私下沟通与利益交换的成本）。在微额校园交易场景下（通常不超过 2000 元人民币），偏袒裁决带来的经济收益在扣除上述三重成本后，净收益大概率转负。因此，诚实投票成为占优策略（dominant strategy）。</w:t>
      </w:r>
    </w:p>
    <w:p>
      <w:pPr>
        <w:spacing w:after="120" w:line="312" w:lineRule="auto"/>
        <w:ind w:firstLine="420"/>
        <w:jc w:val="left"/>
      </w:pPr>
      <w:r>
        <w:rPr>
          <w:rFonts w:ascii="SimSun" w:hAnsi="SimSun"/>
          <w:b w:val="0"/>
          <w:i w:val="0"/>
          <w:color w:val="333333"/>
          <w:sz w:val="21"/>
        </w:rPr>
        <w:t>命题 3：系统提供了可公开审计的纠纷流转闭环。</w:t>
      </w:r>
    </w:p>
    <w:p>
      <w:pPr>
        <w:spacing w:after="120" w:line="312" w:lineRule="auto"/>
        <w:ind w:firstLine="420"/>
        <w:jc w:val="left"/>
      </w:pPr>
      <w:r>
        <w:rPr>
          <w:rFonts w:ascii="SimSun" w:hAnsi="SimSun"/>
          <w:b w:val="0"/>
          <w:i w:val="0"/>
          <w:color w:val="333333"/>
          <w:sz w:val="21"/>
        </w:rPr>
        <w:t>每张争议中的全部投票由合约通过 DisputeVoted 事件记录在链上，包含仲裁人地址、投票方向和时间戳。任何第三方可通过解析链上事件日志完整复现争议的全生命周期，无需获得任何中心化数据库的查询权限。这一设计将仲裁过程从"封闭的行政裁量"转化为"开放的可验证共识"，在机制设计层面提供了去信任化的制度保障。</w:t>
      </w:r>
    </w:p>
    <w:p>
      <w:pPr>
        <w:keepNext/>
        <w:spacing w:before="280" w:after="120"/>
        <w:ind w:firstLine="0"/>
      </w:pPr>
      <w:r>
        <w:rPr>
          <w:rFonts w:ascii="Microsoft YaHei" w:hAnsi="Microsoft YaHei"/>
          <w:b/>
          <w:color w:val="1B365D"/>
          <w:sz w:val="28"/>
        </w:rPr>
        <w:t>六、 结论与系统验证结论</w:t>
      </w:r>
    </w:p>
    <w:p>
      <w:pPr>
        <w:keepNext/>
        <w:spacing w:before="280" w:after="120"/>
        <w:ind w:firstLine="0"/>
      </w:pPr>
      <w:r>
        <w:rPr>
          <w:rFonts w:ascii="Microsoft YaHei" w:hAnsi="Microsoft YaHei"/>
          <w:b/>
          <w:color w:val="2D3748"/>
          <w:sz w:val="24"/>
        </w:rPr>
        <w:t>6.1 混合架构的安全性与可用性兼顾</w:t>
      </w:r>
    </w:p>
    <w:p>
      <w:pPr>
        <w:spacing w:after="120" w:line="312" w:lineRule="auto"/>
        <w:ind w:firstLine="420"/>
        <w:jc w:val="left"/>
      </w:pPr>
      <w:r>
        <w:rPr>
          <w:rFonts w:ascii="SimSun" w:hAnsi="SimSun"/>
          <w:b w:val="0"/>
          <w:i w:val="0"/>
          <w:color w:val="333333"/>
          <w:sz w:val="21"/>
        </w:rPr>
        <w:t>本研究提出并实现的系统采用混合架构（Hybrid Architecture），其核心设计原则可概括为：链上写通路（On-chain Write Path）提供权威共识；链下中继层（Off-chain Relay）提供高速读缓存。</w:t>
      </w:r>
    </w:p>
    <w:p>
      <w:pPr>
        <w:spacing w:after="120" w:line="312" w:lineRule="auto"/>
        <w:ind w:firstLine="420"/>
        <w:jc w:val="left"/>
      </w:pPr>
      <w:r>
        <w:rPr>
          <w:rFonts w:ascii="SimSun" w:hAnsi="SimSun"/>
          <w:b w:val="0"/>
          <w:i w:val="0"/>
          <w:color w:val="333333"/>
          <w:sz w:val="21"/>
        </w:rPr>
        <w:t>具体而言，链上合约层承载全部金融关键逻辑：订单状态机流转、资金托管与条件清算、Merkle 证明验证、多签仲裁投票。该层的状态转换是唯一的权威来源（source of truth）。链下中继层通过后台守护线程持续监听链上事件，以增量同步方式写入本地 SQLite 数据库（WAL 模式，timeout=30.0），并为前端提供毫秒级响应的 RESTful 查询 API。该层不参与任何写决策——所有状态修改均由链上事件驱动。</w:t>
      </w:r>
    </w:p>
    <w:p>
      <w:pPr>
        <w:spacing w:after="120" w:line="312" w:lineRule="auto"/>
        <w:ind w:firstLine="420"/>
        <w:jc w:val="left"/>
      </w:pPr>
      <w:r>
        <w:rPr>
          <w:rFonts w:ascii="SimSun" w:hAnsi="SimSun"/>
          <w:b w:val="0"/>
          <w:i w:val="0"/>
          <w:color w:val="333333"/>
          <w:sz w:val="21"/>
        </w:rPr>
        <w:t>该混合架构实现了安全性与用户体验的 Pareto 改进：安全性由链上合约的确定性执行和区块确认的不可逆性保证；用户体验由链下索引层的结构化缓存保证，避免了逐区块遍历事件的性能开销。</w:t>
      </w:r>
    </w:p>
    <w:p>
      <w:pPr>
        <w:keepNext/>
        <w:spacing w:before="280" w:after="120"/>
        <w:ind w:firstLine="0"/>
      </w:pPr>
      <w:r>
        <w:rPr>
          <w:rFonts w:ascii="Microsoft YaHei" w:hAnsi="Microsoft YaHei"/>
          <w:b/>
          <w:color w:val="2D3748"/>
          <w:sz w:val="24"/>
        </w:rPr>
        <w:t>6.2 测试矩阵的工程验证</w:t>
      </w:r>
    </w:p>
    <w:p>
      <w:pPr>
        <w:spacing w:after="120" w:line="312" w:lineRule="auto"/>
        <w:ind w:firstLine="420"/>
        <w:jc w:val="left"/>
      </w:pPr>
      <w:r>
        <w:rPr>
          <w:rFonts w:ascii="SimSun" w:hAnsi="SimSun"/>
          <w:b w:val="0"/>
          <w:i w:val="0"/>
          <w:color w:val="333333"/>
          <w:sz w:val="21"/>
        </w:rPr>
        <w:t>（a）Solidity 合约层测试（Hardhat + Chai）。test/CampusEscrow.test.js 包含 19 项测试用例，覆盖：MerkleWhitelist 的证明验证与防重放机制（5 项）；CampusEscrow 完整生命周期（2 项正向流程 + 3 项争议路径）；影子状态验证与权限拦截（5 项边界条件测试）；白名单与托管集成测试（2 项跨合约集成测试）。</w:t>
      </w:r>
    </w:p>
    <w:p>
      <w:pPr>
        <w:spacing w:after="120" w:line="312" w:lineRule="auto"/>
        <w:ind w:firstLine="420"/>
        <w:jc w:val="left"/>
      </w:pPr>
      <w:r>
        <w:rPr>
          <w:rFonts w:ascii="SimSun" w:hAnsi="SimSun"/>
          <w:b w:val="0"/>
          <w:i w:val="0"/>
          <w:color w:val="333333"/>
          <w:sz w:val="21"/>
        </w:rPr>
        <w:t>（b）中继层 TDD 测试矩阵（pytest）。relay/test_relay.py 包含 22 项测试用例，基于 TDD（测试驱动开发）方法论构建：数据库层测试（11 项）；事件监听解析测试（5 项）；FastAPI 端点测试（11 项）及错误路径拦截。上述测试矩阵的全部测试均已通过，验证了系统的状态机确定性、资金安全、权限隔离、Merkle 证明完整性以及中继层容错性。</w:t>
      </w:r>
    </w:p>
    <w:p>
      <w:pPr>
        <w:keepNext/>
        <w:spacing w:before="280" w:after="120"/>
        <w:ind w:firstLine="0"/>
      </w:pPr>
      <w:r>
        <w:rPr>
          <w:rFonts w:ascii="Microsoft YaHei" w:hAnsi="Microsoft YaHei"/>
          <w:b/>
          <w:color w:val="2D3748"/>
          <w:sz w:val="24"/>
        </w:rPr>
        <w:t>6.3 总结</w:t>
      </w:r>
    </w:p>
    <w:p>
      <w:pPr>
        <w:spacing w:after="120" w:line="312" w:lineRule="auto"/>
        <w:ind w:firstLine="420"/>
        <w:jc w:val="left"/>
      </w:pPr>
      <w:r>
        <w:rPr>
          <w:rFonts w:ascii="SimSun" w:hAnsi="SimSun"/>
          <w:b w:val="0"/>
          <w:i w:val="0"/>
          <w:color w:val="333333"/>
          <w:sz w:val="21"/>
        </w:rPr>
        <w:t>本研究表明，区块链技术在校园二手交易担保场景中的应用并非技术崇拜的附会，而是对中心化架构在该特定领域面临的合规性、可持续性与制度信任三重结构性矛盾的系统性回应。通过将资金托管从"对人的信托"转化为"对确定性代码的形式化依赖"，通过将运维责任从"特定维护者的持续性投入"转化为"去中心化网络的公共基础设施属性"，通过将仲裁裁决从"封闭的行政裁量"转化为"多签博弈均衡下的开放共识"，本系统在技术实现层面完成了一次从 Web2 信任模型到 Web3 密码学信任模型的有边界迁移。测试矩阵的全部通过作为工程实证，为该设计的可行性提供了初步但有力的支撑。</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