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Expleo Content Strategy Plan</w:t>
      </w:r>
    </w:p>
    <w:p>
      <w:pPr>
        <w:pStyle w:val="Heading1"/>
      </w:pPr>
      <w:r>
        <w:t>Case Studies</w:t>
      </w:r>
    </w:p>
    <w:p>
      <w:r>
        <w:t>Key Insights:</w:t>
        <w:br/>
        <w:t>Case studies remain highly effective for B2B audiences in 2024, showcasing real-world impact and ROI.;</w:t>
        <w:br/>
        <w:t>Competitors like Capgemini and Accenture leverage detailed case studies to highlight digital transformation successes.;</w:t>
        <w:br/>
        <w:t>Emerging trends show increased emphasis on sustainability, AI-driven solutions, and industry 4.0 implementations.;</w:t>
        <w:br/>
        <w:t>Clients want to see measurable outcomes, innovative use of technology, and client testimonials.;</w:t>
        <w:br/>
        <w:t>Personalization and storytelling in case studies drive deeper engagement and credibility.;</w:t>
        <w:br/>
        <w:t>Publication of interactive or multimedia case studies is gaining popularity for enhanced engagement.;</w:t>
        <w:br/>
        <w:t>SEO-optimized case studies boost organic search rankings and attract high-intent traffic.;</w:t>
        <w:br/>
        <w:t>Case studies can be repurposed into multiple formats—slide decks, social snippets, and email content.;</w:t>
      </w:r>
    </w:p>
    <w:p>
      <w:r>
        <w:t>Objective:</w:t>
        <w:br/>
        <w:t>Reaching and engaging target clients</w:t>
      </w:r>
    </w:p>
    <w:p>
      <w:r>
        <w:t>Target Audience:</w:t>
        <w:br/>
        <w:t>Decision-makers and stakeholders in targeted industries (e.g.;</w:t>
        <w:br/>
        <w:t>automotive;</w:t>
        <w:br/>
        <w:t>banking;</w:t>
        <w:br/>
        <w:t>aerospace;</w:t>
        <w:br/>
        <w:t>and healthcare) seeking digital transformation partners.;</w:t>
      </w:r>
    </w:p>
    <w:p>
      <w:r>
        <w:t>Recommended Distribution Strategy:</w:t>
        <w:br/>
        <w:t>Feature prominently on the Expleo website;</w:t>
        <w:br/>
        <w:t>share via LinkedIn and industry newsletters;</w:t>
        <w:br/>
        <w:t>present in webinars;</w:t>
        <w:br/>
        <w:t>and leverage sales teams to use case studies in client pitches.;</w:t>
      </w:r>
    </w:p>
    <w:p>
      <w:r>
        <w:t>Priority Level (1=highest):</w:t>
        <w:br/>
        <w:t>1</w:t>
      </w:r>
    </w:p>
    <w:p>
      <w:r>
        <w:t>Explanation:</w:t>
        <w:br/>
        <w:t>Case studies directly support client acquisition by building trust and demonstrating Expleo's capabilities through proven results, making them a top priority in a competitive, credibility-driven market.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