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Override PartName="/word/media/rId30.png" ContentType="image/pn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Athey and Imbens (2016) proposed an</w:t>
      </w:r>
      <w:r>
        <w:t xml:space="preserve"> </w:t>
      </w:r>
      <w:r>
        <w:t xml:space="preserve">“</w:t>
      </w:r>
      <w:r>
        <w:t xml:space="preserve">honest</w:t>
      </w:r>
      <w:r>
        <w:t xml:space="preserve">”</w:t>
      </w:r>
      <w:r>
        <w:t xml:space="preserve"> </w:t>
      </w:r>
      <w:r>
        <w:t xml:space="preserve">approach to estimate causal effects using classification and regression trees (CART) that separate samples used for constructing the partition and estimating effects within leaves of the partition. Their study shows that honest estimation can remove the bias and improve in the coverage of confidence intervals. The intuition behind the honest criterion is to avoid using same data or information twice for different tasks, more specifically, to select a model structure and to make estimation given a mode structure (Athey and Imbens 2016). Sample splitting follows the honesty criterion and is indeed one of the key issues when adapting machine learning methods to causal inference problems. However,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and the auxiliary sample to estimate. Next, we swap the role of main sample and auxiliary sample to re-estimate.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br/>
      </w:r>
      <w:r>
        <w:t xml:space="preserve">- For</w:t>
      </w:r>
      <w:r>
        <w:t xml:space="preserve"> </w:t>
      </w:r>
      <m:oMath>
        <m:r>
          <m:t>k</m:t>
        </m:r>
        <m:r>
          <m:rPr>
            <m:sty m:val="p"/>
          </m:rPr>
          <m:t>=</m:t>
        </m:r>
        <m:r>
          <m:t>1</m:t>
        </m:r>
      </m:oMath>
      <w:r>
        <w:t xml:space="preserve">, using machine learning methods to estimate</w:t>
      </w:r>
      <w:r>
        <w:t xml:space="preserve"> </w:t>
      </w:r>
      <m:oMath>
        <m:acc>
          <m:accPr>
            <m:chr m:val="̂"/>
          </m:accPr>
          <m:e>
            <m:sSub>
              <m:e>
                <m:r>
                  <m:t>g</m:t>
                </m:r>
              </m:e>
              <m:sub>
                <m:r>
                  <m:t>0</m:t>
                </m:r>
              </m:sub>
            </m:sSub>
          </m:e>
        </m:acc>
      </m:oMath>
      <w:r>
        <w:t xml:space="preserve"> </w:t>
      </w:r>
      <w:r>
        <w:t xml:space="preserve">and</w:t>
      </w:r>
      <w:r>
        <w:t xml:space="preserve"> </w:t>
      </w:r>
      <m:oMath>
        <m:acc>
          <m:accPr>
            <m:chr m:val="̂"/>
          </m:accPr>
          <m:e>
            <m:sSub>
              <m:e>
                <m:r>
                  <m:t>m</m:t>
                </m:r>
              </m:e>
              <m:sub>
                <m:r>
                  <m:t>0</m:t>
                </m:r>
              </m:sub>
            </m:sSub>
          </m:e>
        </m:acc>
      </m:oMath>
      <w:r>
        <w:t xml:space="preserve"> </w:t>
      </w:r>
      <w:r>
        <w:t xml:space="preserve">using samples</w:t>
      </w:r>
      <w:r>
        <w:t xml:space="preserve"> </w:t>
      </w:r>
      <m:oMath>
        <m:sSubSup>
          <m:e>
            <m:r>
              <m:t>I</m:t>
            </m:r>
          </m:e>
          <m:sub>
            <m:r>
              <m:t>k</m:t>
            </m:r>
            <m:r>
              <m:rPr>
                <m:sty m:val="p"/>
              </m:rPr>
              <m:t>=</m:t>
            </m:r>
            <m:r>
              <m:t>1</m:t>
            </m:r>
          </m:sub>
          <m:sup>
            <m:r>
              <m:t>c</m:t>
            </m:r>
          </m:sup>
        </m:sSubSup>
        <m:r>
          <m:rPr>
            <m:sty m:val="p"/>
          </m:rPr>
          <m:t>.</m:t>
        </m:r>
      </m:oMath>
      <w:r>
        <w:br/>
      </w:r>
      <w:r>
        <w:t xml:space="preserve">- Predict</w:t>
      </w:r>
      <w:r>
        <w:t xml:space="preserve"> </w:t>
      </w:r>
      <m:oMath>
        <m:r>
          <m:t>Y</m:t>
        </m:r>
      </m:oMath>
      <w:r>
        <w:t xml:space="preserve"> </w:t>
      </w:r>
      <w:r>
        <w:t xml:space="preserve">and</w:t>
      </w:r>
      <w:r>
        <w:t xml:space="preserve"> </w:t>
      </w:r>
      <m:oMath>
        <m:r>
          <m:t>D</m:t>
        </m:r>
      </m:oMath>
      <w:r>
        <w:t xml:space="preserve"> </w:t>
      </w:r>
      <w:r>
        <w:t xml:space="preserve">using</w:t>
      </w:r>
      <w:r>
        <w:t xml:space="preserve"> </w:t>
      </w:r>
      <m:oMath>
        <m:r>
          <m:t>X</m:t>
        </m:r>
      </m:oMath>
      <w:r>
        <w:t xml:space="preserve"> </w:t>
      </w:r>
      <w:r>
        <w:t xml:space="preserve">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 on</w:t>
      </w:r>
      <w:r>
        <w:t xml:space="preserve"> </w:t>
      </w:r>
      <m:oMath>
        <m:sSub>
          <m:e>
            <m:r>
              <m:t>I</m:t>
            </m:r>
          </m:e>
          <m:sub>
            <m:r>
              <m:t>k</m:t>
            </m:r>
            <m:r>
              <m:rPr>
                <m:sty m:val="p"/>
              </m:rPr>
              <m:t>=</m:t>
            </m:r>
            <m:r>
              <m:t>1</m:t>
            </m:r>
          </m:sub>
        </m:sSub>
      </m:oMath>
      <w:r>
        <w:t xml:space="preserve">.</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r>
                  <m:rPr>
                    <m:sty m:val="p"/>
                  </m:rPr>
                  <m:t>,</m:t>
                </m:r>
                <m:r>
                  <m:t>k</m:t>
                </m:r>
                <m:r>
                  <m:rPr>
                    <m:sty m:val="p"/>
                  </m:rPr>
                  <m:t>=</m:t>
                </m:r>
                <m:r>
                  <m:t>1</m:t>
                </m:r>
              </m:sub>
            </m:sSub>
          </m:e>
        </m:acc>
      </m:oMath>
      <w:r>
        <w:t xml:space="preserve"> </w:t>
      </w:r>
      <w:r>
        <w:t xml:space="preserve">using samples</w:t>
      </w:r>
      <w:r>
        <w:t xml:space="preserve"> </w:t>
      </w:r>
      <m:oMath>
        <m:sSub>
          <m:e>
            <m:r>
              <m:t>I</m:t>
            </m:r>
          </m:e>
          <m:sub>
            <m:r>
              <m:t>k</m:t>
            </m:r>
            <m:r>
              <m:rPr>
                <m:sty m:val="p"/>
              </m:rPr>
              <m:t>=</m:t>
            </m:r>
            <m:r>
              <m:t>1</m:t>
            </m:r>
          </m:sub>
        </m:sSub>
        <m:r>
          <m:rPr>
            <m:sty m:val="p"/>
          </m:rPr>
          <m:t>.</m:t>
        </m:r>
      </m:oMath>
      <w:r>
        <w:br/>
      </w:r>
      <w:r>
        <w:t xml:space="preserve">- Repeat, obtain the</w:t>
      </w:r>
      <w:r>
        <w:t xml:space="preserve"> </w:t>
      </w:r>
      <m:oMath>
        <m:r>
          <m:t>K</m:t>
        </m:r>
      </m:oMath>
      <w:r>
        <w:t xml:space="preserve"> </w:t>
      </w:r>
      <w:r>
        <w:t xml:space="preserve">estimators for</w:t>
      </w:r>
      <w:r>
        <w:t xml:space="preserve"> </w:t>
      </w:r>
      <m:oMath>
        <m:r>
          <m:t>k</m:t>
        </m:r>
        <m:r>
          <m:rPr>
            <m:sty m:val="p"/>
          </m:rPr>
          <m:t>=</m:t>
        </m:r>
        <m:r>
          <m:t>1</m:t>
        </m:r>
        <m:r>
          <m:rPr>
            <m:sty m:val="p"/>
          </m:rPr>
          <m:t>,</m:t>
        </m:r>
        <m:r>
          <m:rPr>
            <m:sty m:val="p"/>
          </m:rPr>
          <m:t>⋯</m:t>
        </m:r>
        <m:r>
          <m:rPr>
            <m:sty m:val="p"/>
          </m:rPr>
          <m:t>,</m:t>
        </m:r>
        <m:r>
          <m:t>K</m:t>
        </m:r>
        <m:r>
          <m:rPr>
            <m:sty m:val="p"/>
          </m:rPr>
          <m:t>,</m:t>
        </m:r>
      </m:oMath>
      <w:r>
        <w:t xml:space="preserve"> </w:t>
      </w:r>
      <w:r>
        <w:t xml:space="preserve">average them, and get</w:t>
      </w:r>
      <w:r>
        <w:t xml:space="preserve"> </w:t>
      </w:r>
      <m:oMath>
        <m:acc>
          <m:accPr>
            <m:chr m:val="̂"/>
          </m:accPr>
          <m:e>
            <m:sSub>
              <m:e>
                <m:r>
                  <m:t>θ</m:t>
                </m:r>
              </m:e>
              <m:sub>
                <m:r>
                  <m:t>0</m:t>
                </m:r>
              </m:sub>
            </m:sSub>
          </m:e>
        </m:acc>
        <m:r>
          <m:rPr>
            <m:sty m:val="p"/>
          </m:rPr>
          <m:t>=</m:t>
        </m:r>
        <m:f>
          <m:fPr>
            <m:type m:val="bar"/>
          </m:fPr>
          <m:num>
            <m:r>
              <m:t>1</m:t>
            </m:r>
          </m:num>
          <m:den>
            <m:r>
              <m:t>K</m:t>
            </m:r>
          </m:den>
        </m:f>
        <m:nary>
          <m:naryPr>
            <m:chr m:val="∑"/>
            <m:limLoc m:val="undOvr"/>
            <m:subHide m:val="0"/>
            <m:supHide m:val="0"/>
          </m:naryPr>
          <m:sub>
            <m:r>
              <m:t>k</m:t>
            </m:r>
            <m:r>
              <m:rPr>
                <m:sty m:val="p"/>
              </m:rPr>
              <m:t>=</m:t>
            </m:r>
            <m:r>
              <m:t>1</m:t>
            </m:r>
          </m:sub>
          <m:sup>
            <m:r>
              <m:t>K</m:t>
            </m:r>
          </m:sup>
          <m:e>
            <m:acc>
              <m:accPr>
                <m:chr m:val="̂"/>
              </m:accPr>
              <m:e>
                <m:sSub>
                  <m:e>
                    <m:r>
                      <m:t>θ</m:t>
                    </m:r>
                  </m:e>
                  <m:sub>
                    <m:r>
                      <m:t>0</m:t>
                    </m:r>
                    <m:r>
                      <m:rPr>
                        <m:sty m:val="p"/>
                      </m:rPr>
                      <m:t>,</m:t>
                    </m:r>
                    <m:r>
                      <m:t>k</m:t>
                    </m:r>
                  </m:sub>
                </m:sSub>
              </m:e>
            </m:acc>
          </m:e>
        </m:nary>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will be a consistent and asymptotic normal estimator. In other words, the distribution of</w:t>
      </w:r>
      <w:r>
        <w:t xml:space="preserve"> </w:t>
      </w:r>
      <m:oMath>
        <m:acc>
          <m:accPr>
            <m:chr m:val="̂"/>
          </m:accPr>
          <m:e>
            <m:sSub>
              <m:e>
                <m:r>
                  <m:t>θ</m:t>
                </m:r>
              </m:e>
              <m:sub>
                <m:r>
                  <m:t>0</m:t>
                </m:r>
              </m:sub>
            </m:sSub>
          </m:e>
        </m:acc>
        <m:r>
          <m:rPr>
            <m:sty m:val="p"/>
          </m:rPr>
          <m:t>−</m:t>
        </m:r>
        <m:sSub>
          <m:e>
            <m:r>
              <m:t>θ</m:t>
            </m:r>
          </m:e>
          <m:sub>
            <m:r>
              <m:t>0</m:t>
            </m:r>
          </m:sub>
        </m:sSub>
      </m:oMath>
      <w:r>
        <w:t xml:space="preserve"> </w:t>
      </w:r>
      <w:r>
        <w:t xml:space="preserve">will follow a normal distribution and center around zero.</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The purpose of the figures is to compare full sample with sample splitting and cross fitting procedures.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setup"/>
    <w:p>
      <w:pPr>
        <w:pStyle w:val="Heading2"/>
      </w:pPr>
      <w:r>
        <w:t xml:space="preserve">5. Simulation Study Setup</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Standard deviation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31" w:name="simulation-results"/>
    <w:p>
      <w:pPr>
        <w:pStyle w:val="Heading2"/>
      </w:pPr>
      <w:r>
        <w:t xml:space="preserve">6. Simulation Results</w:t>
      </w:r>
    </w:p>
    <w:p>
      <w:pPr>
        <w:pStyle w:val="FirstParagraph"/>
      </w:pPr>
      <w:r>
        <w:t xml:space="preserve">We first made a plot of 128 mean differences in two studentized estimators from using the full sample and using the sample splitting correspond to 128 different scenarios.</w:t>
      </w:r>
    </w:p>
    <w:p>
      <w:pPr>
        <w:pStyle w:val="CaptionedFigure"/>
      </w:pPr>
      <w:r>
        <w:drawing>
          <wp:inline>
            <wp:extent cx="2381250" cy="2381250"/>
            <wp:effectExtent b="0" l="0" r="0" t="0"/>
            <wp:docPr descr="Plot" title="" id="1" name="Picture"/>
            <a:graphic>
              <a:graphicData uri="http://schemas.openxmlformats.org/drawingml/2006/picture">
                <pic:pic>
                  <pic:nvPicPr>
                    <pic:cNvPr descr="report_image/hist_diffs.png" id="0" name="Picture"/>
                    <pic:cNvPicPr>
                      <a:picLocks noChangeArrowheads="1" noChangeAspect="1"/>
                    </pic:cNvPicPr>
                  </pic:nvPicPr>
                  <pic:blipFill>
                    <a:blip r:embed="rId26"/>
                    <a:stretch>
                      <a:fillRect/>
                    </a:stretch>
                  </pic:blipFill>
                  <pic:spPr bwMode="auto">
                    <a:xfrm>
                      <a:off x="0" y="0"/>
                      <a:ext cx="2381250" cy="2381250"/>
                    </a:xfrm>
                    <a:prstGeom prst="rect">
                      <a:avLst/>
                    </a:prstGeom>
                    <a:noFill/>
                    <a:ln w="9525">
                      <a:noFill/>
                      <a:headEnd/>
                      <a:tailEnd/>
                    </a:ln>
                  </pic:spPr>
                </pic:pic>
              </a:graphicData>
            </a:graphic>
          </wp:inline>
        </w:drawing>
      </w:r>
    </w:p>
    <w:p>
      <w:pPr>
        <w:pStyle w:val="ImageCaption"/>
      </w:pPr>
      <w:r>
        <w:t xml:space="preserve">Plot</w:t>
      </w:r>
    </w:p>
    <w:p>
      <w:pPr>
        <w:pStyle w:val="BodyText"/>
      </w:pPr>
      <w:r>
        <w:t xml:space="preserve">We may observe that most of the differences are around zero, suggesting that the difference between using sample splitting or not is small under most scenarios. However, we can still notice that under some scenarios the difference is huge, especially those on the left tail, suggesting that sample splitting may sometimes lead to larger bias. The conclusion is surprising, and we decided to look into the scenarios on the tail regions. It is notable that all four scenarios that lead to large differences correspond to data with high dimensions and models fitted with LASSO. For scenarios where all parameters for data generating process are identical but with model fitted with XGBoost, we do not observe such extreme differences. Hence, we believe those large differences could be caused by lack of converge of LASSO when dimension increases.</w:t>
      </w:r>
    </w:p>
    <w:p>
      <w:pPr>
        <w:pStyle w:val="BodyText"/>
      </w:pPr>
      <w:r>
        <w:drawing>
          <wp:inline>
            <wp:extent cx="2381250" cy="1680882"/>
            <wp:effectExtent b="0" l="0" r="0" t="0"/>
            <wp:docPr descr="Scenario1" title="" id="1" name="Picture"/>
            <a:graphic>
              <a:graphicData uri="http://schemas.openxmlformats.org/drawingml/2006/picture">
                <pic:pic>
                  <pic:nvPicPr>
                    <pic:cNvPr descr="report_image/1.png" id="0" name="Picture"/>
                    <pic:cNvPicPr>
                      <a:picLocks noChangeArrowheads="1" noChangeAspect="1"/>
                    </pic:cNvPicPr>
                  </pic:nvPicPr>
                  <pic:blipFill>
                    <a:blip r:embed="rId27"/>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drawing>
          <wp:inline>
            <wp:extent cx="2381250" cy="1680882"/>
            <wp:effectExtent b="0" l="0" r="0" t="0"/>
            <wp:docPr descr="Scenario2" title="" id="1" name="Picture"/>
            <a:graphic>
              <a:graphicData uri="http://schemas.openxmlformats.org/drawingml/2006/picture">
                <pic:pic>
                  <pic:nvPicPr>
                    <pic:cNvPr descr="report_image/2.png" id="0" name="Picture"/>
                    <pic:cNvPicPr>
                      <a:picLocks noChangeArrowheads="1" noChangeAspect="1"/>
                    </pic:cNvPicPr>
                  </pic:nvPicPr>
                  <pic:blipFill>
                    <a:blip r:embed="rId28"/>
                    <a:stretch>
                      <a:fillRect/>
                    </a:stretch>
                  </pic:blipFill>
                  <pic:spPr bwMode="auto">
                    <a:xfrm>
                      <a:off x="0" y="0"/>
                      <a:ext cx="2381250" cy="1680882"/>
                    </a:xfrm>
                    <a:prstGeom prst="rect">
                      <a:avLst/>
                    </a:prstGeom>
                    <a:noFill/>
                    <a:ln w="9525">
                      <a:noFill/>
                      <a:headEnd/>
                      <a:tailEnd/>
                    </a:ln>
                  </pic:spPr>
                </pic:pic>
              </a:graphicData>
            </a:graphic>
          </wp:inline>
        </w:drawing>
      </w:r>
    </w:p>
    <w:p>
      <w:pPr>
        <w:pStyle w:val="BodyText"/>
      </w:pPr>
      <w:r>
        <w:t xml:space="preserve">The above two plots are scenario 1 and 2, where the machine learning method is XGBoost, number of covariates is 5, sample size is 50, coefficients for covariates follow normal distribution, and the outcome model is generated from linear functions. The left plot is 2-fold sample splitting and the right plot is 5-fold. Under these two scenarios, we can see that using the full sample may cause large bias, and sample splitting can reduce the bias. We have calculated the difference between averaged bias of full sample and sample splitting across all 128 scenarios. In fact, under 66 out 128 scenarios, sample splitting method obtains lower average bias than full sample approach. This does not support that sample splitting approach is superior to full sample as it only out-perform full sample in around half of the scenarios. However, we think it is more meaningful to focus on extreme cases when full sample results bias significantly larger than that from sample splitting.</w:t>
      </w:r>
    </w:p>
    <w:p>
      <w:pPr>
        <w:pStyle w:val="BodyText"/>
      </w:pPr>
      <w:r>
        <w:drawing>
          <wp:inline>
            <wp:extent cx="2381250" cy="1680882"/>
            <wp:effectExtent b="0" l="0" r="0" t="0"/>
            <wp:docPr descr="Scenario87" title="" id="1" name="Picture"/>
            <a:graphic>
              <a:graphicData uri="http://schemas.openxmlformats.org/drawingml/2006/picture">
                <pic:pic>
                  <pic:nvPicPr>
                    <pic:cNvPr descr="report_image/87.png" id="0" name="Picture"/>
                    <pic:cNvPicPr>
                      <a:picLocks noChangeArrowheads="1" noChangeAspect="1"/>
                    </pic:cNvPicPr>
                  </pic:nvPicPr>
                  <pic:blipFill>
                    <a:blip r:embed="rId29"/>
                    <a:stretch>
                      <a:fillRect/>
                    </a:stretch>
                  </pic:blipFill>
                  <pic:spPr bwMode="auto">
                    <a:xfrm>
                      <a:off x="0" y="0"/>
                      <a:ext cx="2381250" cy="1680882"/>
                    </a:xfrm>
                    <a:prstGeom prst="rect">
                      <a:avLst/>
                    </a:prstGeom>
                    <a:noFill/>
                    <a:ln w="9525">
                      <a:noFill/>
                      <a:headEnd/>
                      <a:tailEnd/>
                    </a:ln>
                  </pic:spPr>
                </pic:pic>
              </a:graphicData>
            </a:graphic>
          </wp:inline>
        </w:drawing>
      </w:r>
      <w:r>
        <w:drawing>
          <wp:inline>
            <wp:extent cx="2381250" cy="1680882"/>
            <wp:effectExtent b="0" l="0" r="0" t="0"/>
            <wp:docPr descr="Scenario71" title="" id="1" name="Picture"/>
            <a:graphic>
              <a:graphicData uri="http://schemas.openxmlformats.org/drawingml/2006/picture">
                <pic:pic>
                  <pic:nvPicPr>
                    <pic:cNvPr descr="report_image/71.png" id="0" name="Picture"/>
                    <pic:cNvPicPr>
                      <a:picLocks noChangeArrowheads="1" noChangeAspect="1"/>
                    </pic:cNvPicPr>
                  </pic:nvPicPr>
                  <pic:blipFill>
                    <a:blip r:embed="rId30"/>
                    <a:stretch>
                      <a:fillRect/>
                    </a:stretch>
                  </pic:blipFill>
                  <pic:spPr bwMode="auto">
                    <a:xfrm>
                      <a:off x="0" y="0"/>
                      <a:ext cx="2381250" cy="1680882"/>
                    </a:xfrm>
                    <a:prstGeom prst="rect">
                      <a:avLst/>
                    </a:prstGeom>
                    <a:noFill/>
                    <a:ln w="9525">
                      <a:noFill/>
                      <a:headEnd/>
                      <a:tailEnd/>
                    </a:ln>
                  </pic:spPr>
                </pic:pic>
              </a:graphicData>
            </a:graphic>
          </wp:inline>
        </w:drawing>
      </w:r>
    </w:p>
    <w:p>
      <w:pPr>
        <w:pStyle w:val="BodyText"/>
      </w:pPr>
      <w:r>
        <w:t xml:space="preserve">This plots correspond to a scenario where the machine learning method is LASSO, number of covariates is 100, sample size is 1000, the outcome model is generated from linear function, and the sample splitting strategy is 2-fold. The only difference is that the plot at left corresponds to data generated with coefficients for covariates following uniform distribution, and the right plot corresponds to data generated with coefficients for covariates following normal distribution. We can observe that under circumstances when both sample size and number of covariates are large, sample splitting can effectively reduce bias that would have been created if full sample are used instead.</w:t>
      </w:r>
    </w:p>
    <w:p>
      <w:pPr>
        <w:pStyle w:val="BodyText"/>
      </w:pPr>
      <w:r>
        <w:t xml:space="preserve">In addition to plots, we have calculated some summary statistics including bias and variances for full sample, 2-fold sample splitting and 5-fold sample splitting.</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32"/>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-0.111(0.486)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0.018(0.07)</w:t>
            </w:r>
          </w:p>
        </w:tc>
      </w:tr>
    </w:tbl>
    <w:p>
      <w:pPr>
        <w:pStyle w:val="BodyText"/>
      </w:pPr>
      <w:r>
        <w:t xml:space="preserve">For the Table 1, the number of covariates is 5, the sample size is 50, the variance for the error term is 0.01, coefficients for covariates follow normal distribution, and the outcome model is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81"/>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-0.49(3.762)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0.982(11.506)</w:t>
            </w:r>
          </w:p>
        </w:tc>
      </w:tr>
    </w:tbl>
    <w:p>
      <w:pPr>
        <w:pStyle w:val="BodyText"/>
      </w:pPr>
      <w:r>
        <w:t xml:space="preserve">For the Table 2, the number of covariates is 100, the sample size is 50, the variance for the error term is 0.01, coefficients for covariates follow normal distribution, and the outcome model is generated from linear functions. This is the case where the number of covariates is relatively higher than the sample size.</w:t>
      </w:r>
    </w:p>
    <w:p>
      <w:pPr>
        <w:pStyle w:val="BodyText"/>
      </w:pPr>
      <w:r>
        <w:t xml:space="preserve">From the two tables above, we can see that under both scenario, 2-fold sample splitting is better than full sample, but 5-fold sample splitting does not necessarily reduce bias from full sample.</w:t>
      </w:r>
    </w:p>
    <w:p>
      <w:pPr>
        <w:pStyle w:val="BodyText"/>
      </w:pPr>
      <w:r>
        <w:t xml:space="preserve">For the Table 3 and 4, we compared the effect of sample splitting under different combinations of sample size the number of covariates. We fix the variance for the error term be 0.01, coefficients for covariates follow normal distribution, and the outcome model be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737"/>
        <w:gridCol w:w="1716"/>
        <w:gridCol w:w="1981"/>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981"/>
        <w:gridCol w:w="1716"/>
        <w:gridCol w:w="2225"/>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-0.068(0.077)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-0.023(0.082)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-0.029(0.61)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-0.025(0.609)</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-0.002(0.006)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0.003(0.008)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-0.095(0.014)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0.013(0.027)</w:t>
            </w:r>
          </w:p>
        </w:tc>
      </w:tr>
    </w:tbl>
    <w:bookmarkEnd w:id="31"/>
    <w:bookmarkStart w:id="32" w:name="real-datasets"/>
    <w:p>
      <w:pPr>
        <w:pStyle w:val="Heading2"/>
      </w:pPr>
      <w:r>
        <w:t xml:space="preserve">7.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32"/>
    <w:bookmarkStart w:id="33" w:name="conclusions"/>
    <w:p>
      <w:pPr>
        <w:pStyle w:val="Heading2"/>
      </w:pPr>
      <w:r>
        <w:t xml:space="preserve">8. Conclusions</w:t>
      </w:r>
    </w:p>
    <w:bookmarkEnd w:id="33"/>
    <w:bookmarkStart w:id="39" w:name="references"/>
    <w:p>
      <w:pPr>
        <w:pStyle w:val="Heading2"/>
      </w:pPr>
      <w:r>
        <w:t xml:space="preserve">References</w:t>
      </w:r>
    </w:p>
    <w:p>
      <w:pPr>
        <w:numPr>
          <w:ilvl w:val="0"/>
          <w:numId w:val="1001"/>
        </w:numPr>
        <w:pStyle w:val="Compact"/>
      </w:pPr>
      <w:r>
        <w:t xml:space="preserve">Athey, Susan, and Guido Imbens.</w:t>
      </w:r>
      <w:r>
        <w:t xml:space="preserve"> </w:t>
      </w:r>
      <w:r>
        <w:t xml:space="preserve">“</w:t>
      </w:r>
      <w:r>
        <w:t xml:space="preserve">Recursive Partitioning for Heterogeneous Causal Effects.</w:t>
      </w:r>
      <w:r>
        <w:t xml:space="preserve">”</w:t>
      </w:r>
      <w:r>
        <w:t xml:space="preserve"> </w:t>
      </w:r>
      <w:r>
        <w:t xml:space="preserve">Proceedings of the National Academy of Sciences, vol. 113, no. 27, 2016, pp. 7353–7360.,</w:t>
      </w:r>
      <w:r>
        <w:t xml:space="preserve"> </w:t>
      </w:r>
      <w:hyperlink r:id="rId34">
        <w:r>
          <w:rPr>
            <w:rStyle w:val="Hyperlink"/>
          </w:rPr>
          <w:t xml:space="preserve">https://doi.org/10.1073/pnas.1510489113</w:t>
        </w:r>
      </w:hyperlink>
      <w:r>
        <w:t xml:space="preserve">.</w:t>
      </w:r>
    </w:p>
    <w:p>
      <w:pPr>
        <w:numPr>
          <w:ilvl w:val="0"/>
          <w:numId w:val="1001"/>
        </w:numPr>
        <w:pStyle w:val="Compact"/>
      </w:pPr>
      <w:r>
        <w:t xml:space="preserve">Chernozhukov, Victor, et al. </w:t>
      </w:r>
      <w:r>
        <w:t xml:space="preserve">“</w:t>
      </w:r>
      <w:r>
        <w:t xml:space="preserve">Double/Debiased Machine Learning for Treatment and Structural Parameters.</w:t>
      </w:r>
      <w:r>
        <w:t xml:space="preserve">”</w:t>
      </w:r>
      <w:r>
        <w:t xml:space="preserve"> </w:t>
      </w:r>
      <w:r>
        <w:t xml:space="preserve">The Econometrics Journal, vol. 21, no. 1, 2018,</w:t>
      </w:r>
      <w:r>
        <w:t xml:space="preserve"> </w:t>
      </w:r>
      <w:hyperlink r:id="rId35">
        <w:r>
          <w:rPr>
            <w:rStyle w:val="Hyperlink"/>
          </w:rPr>
          <w:t xml:space="preserve">https://doi.org/10.1111/ectj.12097</w:t>
        </w:r>
      </w:hyperlink>
      <w:r>
        <w:t xml:space="preserve">.</w:t>
      </w:r>
    </w:p>
    <w:p>
      <w:pPr>
        <w:numPr>
          <w:ilvl w:val="0"/>
          <w:numId w:val="1001"/>
        </w:numPr>
        <w:pStyle w:val="Compact"/>
      </w:pPr>
      <w:r>
        <w:t xml:space="preserve">Wager, Stefan, and Susan Athey.</w:t>
      </w:r>
      <w:r>
        <w:t xml:space="preserve"> </w:t>
      </w:r>
      <w:r>
        <w:t xml:space="preserve">“</w:t>
      </w:r>
      <w:r>
        <w:t xml:space="preserve">Estimation and Inference of Heterogeneous Treatment Effects Using Random Forests.</w:t>
      </w:r>
      <w:r>
        <w:t xml:space="preserve">”</w:t>
      </w:r>
      <w:r>
        <w:t xml:space="preserve"> </w:t>
      </w:r>
      <w:r>
        <w:t xml:space="preserve">Journal of the American Statistical Association, vol. 113, no. 523, 2018, pp. 1228–1242.,</w:t>
      </w:r>
      <w:r>
        <w:t xml:space="preserve"> </w:t>
      </w:r>
      <w:hyperlink r:id="rId36">
        <w:r>
          <w:rPr>
            <w:rStyle w:val="Hyperlink"/>
          </w:rPr>
          <w:t xml:space="preserve">https://doi.org/10.1080/01621459.2017.1319839</w:t>
        </w:r>
      </w:hyperlink>
      <w:r>
        <w:t xml:space="preserve">.</w:t>
      </w:r>
    </w:p>
    <w:p>
      <w:pPr>
        <w:numPr>
          <w:ilvl w:val="0"/>
          <w:numId w:val="1001"/>
        </w:numPr>
        <w:pStyle w:val="Compact"/>
      </w:pPr>
      <w:r>
        <w:t xml:space="preserve">Seo, Michael, et al. </w:t>
      </w:r>
      <w:r>
        <w:t xml:space="preserve">“</w:t>
      </w:r>
      <w:r>
        <w:t xml:space="preserve">Comparing Methods for Estimating Patient‐Specific Treatment Effects in Individual Patient Data Meta‐Analysis.</w:t>
      </w:r>
      <w:r>
        <w:t xml:space="preserve">”</w:t>
      </w:r>
      <w:r>
        <w:t xml:space="preserve"> </w:t>
      </w:r>
      <w:r>
        <w:t xml:space="preserve">Statistics in Medicine, vol. 40, no. 6, 2020, pp. 1553–1573.,</w:t>
      </w:r>
      <w:r>
        <w:t xml:space="preserve"> </w:t>
      </w:r>
      <w:hyperlink r:id="rId37">
        <w:r>
          <w:rPr>
            <w:rStyle w:val="Hyperlink"/>
          </w:rPr>
          <w:t xml:space="preserve">https://doi.org/10.1002/sim.8859</w:t>
        </w:r>
      </w:hyperlink>
      <w:r>
        <w:t xml:space="preserve">.</w:t>
      </w:r>
    </w:p>
    <w:p>
      <w:pPr>
        <w:numPr>
          <w:ilvl w:val="0"/>
          <w:numId w:val="1001"/>
        </w:numPr>
        <w:pStyle w:val="Compact"/>
      </w:pPr>
      <w:r>
        <w:t xml:space="preserve">Codes for figures in Section 4:</w:t>
      </w:r>
      <w:r>
        <w:t xml:space="preserve"> </w:t>
      </w:r>
      <w:hyperlink r:id="rId38">
        <w:r>
          <w:rPr>
            <w:rStyle w:val="Hyperlink"/>
          </w:rPr>
          <w:t xml:space="preserve">https://github.com/VC2015/DMLonGitHub/blob/master/Figure2.m</w:t>
        </w:r>
      </w:hyperlink>
    </w:p>
    <w:p>
      <w:pPr>
        <w:numPr>
          <w:ilvl w:val="0"/>
          <w:numId w:val="1001"/>
        </w:numPr>
        <w:pStyle w:val="Compact"/>
      </w:pPr>
      <w:r>
        <w:t xml:space="preserve">Lecture Notes provided by Professor Fan Li (Assessed via Sakai)</w:t>
      </w:r>
    </w:p>
    <w:p>
      <w:pPr>
        <w:numPr>
          <w:ilvl w:val="0"/>
          <w:numId w:val="1001"/>
        </w:numPr>
        <w:pStyle w:val="Compact"/>
      </w:pPr>
      <w:r>
        <w:t xml:space="preserve">Chernozhukov, Victor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p>
    <w:p>
      <w:pPr>
        <w:numPr>
          <w:ilvl w:val="0"/>
          <w:numId w:val="1001"/>
        </w:numPr>
        <w:pStyle w:val="Compact"/>
      </w:pPr>
      <w:r>
        <w:t xml:space="preserve">Datasets provided by Professor Fan Li (Assessed via Sakai)</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2022-04-25T00:46:34Z</dcterms:created>
  <dcterms:modified xsi:type="dcterms:W3CDTF">2022-04-25T00:46:34Z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