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Sample splitting is one of the key issues when adapting machine learning methods to causal inference problems. However, there are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the auxiliary sample to estimate. Next, we swap the role of main sample and auxiliary sample to 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t xml:space="preserve"> </w:t>
      </w:r>
      <w:r>
        <w:t xml:space="preserve">- Using machine learning methods to predict</w:t>
      </w:r>
      <w:r>
        <w:t xml:space="preserve"> </w:t>
      </w:r>
      <m:oMath>
        <m:r>
          <m:t>Y</m:t>
        </m:r>
      </m:oMath>
      <w:r>
        <w:t xml:space="preserve"> </w:t>
      </w:r>
      <w:r>
        <w:t xml:space="preserve">and</w:t>
      </w:r>
      <w:r>
        <w:t xml:space="preserve"> </w:t>
      </w:r>
      <m:oMath>
        <m:r>
          <m:t>D</m:t>
        </m:r>
      </m:oMath>
      <w:r>
        <w:t xml:space="preserve"> </w:t>
      </w:r>
      <w:r>
        <w:t xml:space="preserve">using X 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sub>
            </m:sSub>
          </m:e>
        </m:acc>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is a con</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From the plots, we may observe that using the full sample and without sample splitting (left) may induce large bias; however sample splitting with cross fitting (right) can remove the bias very well.</w:t>
      </w:r>
    </w:p>
    <w:bookmarkEnd w:id="24"/>
    <w:bookmarkStart w:id="25" w:name="simulation-study"/>
    <w:p>
      <w:pPr>
        <w:pStyle w:val="Heading2"/>
      </w:pPr>
      <w:r>
        <w:t xml:space="preserve">5. Simulation Study</w:t>
      </w:r>
    </w:p>
    <w:p>
      <w:pPr>
        <w:pStyle w:val="FirstParagraph"/>
      </w:pPr>
      <w:r>
        <w:t xml:space="preserve">We explored 20 different scenarios in the data generation process with following configurations.</w:t>
      </w:r>
      <w:r>
        <w:br/>
      </w:r>
      <w:r>
        <w:t xml:space="preserve">- Number of covariates (5,25,50)</w:t>
      </w:r>
      <w:r>
        <w:t xml:space="preserve"> </w:t>
      </w:r>
      <w:r>
        <w:t xml:space="preserve">- Sample size (100,1000)</w:t>
      </w:r>
      <w:r>
        <w:t xml:space="preserve"> </w:t>
      </w:r>
      <w:r>
        <w:t xml:space="preserve">- True causal effect (0.5, 1)</w:t>
      </w:r>
      <w:r>
        <w:t xml:space="preserve"> </w:t>
      </w:r>
      <w:r>
        <w:t xml:space="preserve">- Number of K-folds (2, 5)</w:t>
      </w:r>
      <w:r>
        <w:t xml:space="preserve"> </w:t>
      </w:r>
      <w:r>
        <w:t xml:space="preserve">- Variance of the error term (</w:t>
      </w:r>
      <m:oMath>
        <m:r>
          <m:t>U</m:t>
        </m:r>
      </m:oMath>
      <w:r>
        <w:t xml:space="preserve"> </w:t>
      </w:r>
      <w:r>
        <w:t xml:space="preserve">and</w:t>
      </w:r>
      <w:r>
        <w:t xml:space="preserve"> </w:t>
      </w:r>
      <m:oMath>
        <m:r>
          <m:t>V</m:t>
        </m:r>
      </m:oMath>
      <w:r>
        <w:t xml:space="preserve">) (0.1,1)</w:t>
      </w:r>
      <w:r>
        <w:t xml:space="preserve"> </w:t>
      </w:r>
      <w:r>
        <w:t xml:space="preserve">- Distribution of coefficients for covariates (Normal distribution and Uniform distribution)</w:t>
      </w:r>
      <w:r>
        <w:br/>
      </w:r>
      <w:r>
        <w:t xml:space="preserve">- Outcome model (linear and non-linear)</w:t>
      </w:r>
      <w:r>
        <w:br/>
      </w:r>
      <w:r>
        <w:t xml:space="preserve">And the machine learning methods we considered include Random Forests, LASSO, XGBoost (Extreme Gradient Boosting), and SVM.</w:t>
      </w:r>
    </w:p>
    <w:bookmarkEnd w:id="25"/>
    <w:bookmarkStart w:id="26" w:name="real-datasets"/>
    <w:p>
      <w:pPr>
        <w:pStyle w:val="Heading2"/>
      </w:pPr>
      <w:r>
        <w:t xml:space="preserve">6.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bookmarkEnd w:id="26"/>
    <w:bookmarkStart w:id="27" w:name="conclusions"/>
    <w:p>
      <w:pPr>
        <w:pStyle w:val="Heading2"/>
      </w:pPr>
      <w:r>
        <w:t xml:space="preserve">7. Conclusions</w:t>
      </w:r>
    </w:p>
    <w:bookmarkEnd w:id="27"/>
    <w:bookmarkStart w:id="30" w:name="references"/>
    <w:p>
      <w:pPr>
        <w:pStyle w:val="Heading2"/>
      </w:pPr>
      <w:r>
        <w:t xml:space="preserve">References</w:t>
      </w:r>
    </w:p>
    <w:p>
      <w:pPr>
        <w:numPr>
          <w:ilvl w:val="0"/>
          <w:numId w:val="1001"/>
        </w:numPr>
        <w:pStyle w:val="Compact"/>
      </w:pPr>
      <w:r>
        <w:t xml:space="preserve">Victor Chernozhukov, Denis Chetverikov, Mert Demirer, Esther Duflo, Christian Hansen, Whitney Newey, James Robins, Double/debiased machine learning for treatment and structural parameters, The Econometrics Journal, Volume 21, Issue 1, 1 February 2018, Pages C1–C68,</w:t>
      </w:r>
      <w:r>
        <w:t xml:space="preserve"> </w:t>
      </w:r>
      <w:hyperlink r:id="rId28">
        <w:r>
          <w:rPr>
            <w:rStyle w:val="Hyperlink"/>
          </w:rPr>
          <w:t xml:space="preserve">https://doi.org/10.1111/ectj.12097</w:t>
        </w:r>
      </w:hyperlink>
      <w:r>
        <w:br/>
      </w:r>
    </w:p>
    <w:p>
      <w:pPr>
        <w:numPr>
          <w:ilvl w:val="0"/>
          <w:numId w:val="1001"/>
        </w:numPr>
        <w:pStyle w:val="Compact"/>
      </w:pPr>
      <w:r>
        <w:t xml:space="preserve">Stefan Wager &amp; Susan Athey (2018) Estimation and Inference of Heterogeneous Treatment Effects using Random Forests, Journal of the American Statistical Association, 113:523, 1228-1242, DOI: 10.1080/01621459.2017.1319839</w:t>
      </w:r>
      <w:r>
        <w:br/>
      </w:r>
    </w:p>
    <w:p>
      <w:pPr>
        <w:numPr>
          <w:ilvl w:val="0"/>
          <w:numId w:val="1001"/>
        </w:numPr>
        <w:pStyle w:val="Compact"/>
      </w:pPr>
      <w:r>
        <w:t xml:space="preserve">Victor Chernozhukov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r>
        <w:br/>
      </w:r>
    </w:p>
    <w:p>
      <w:pPr>
        <w:numPr>
          <w:ilvl w:val="0"/>
          <w:numId w:val="1001"/>
        </w:numPr>
        <w:pStyle w:val="Compact"/>
      </w:pPr>
      <w:r>
        <w:t xml:space="preserve">Codes for figures in Section 4:</w:t>
      </w:r>
      <w:r>
        <w:t xml:space="preserve"> </w:t>
      </w:r>
      <w:hyperlink r:id="rId29">
        <w:r>
          <w:rPr>
            <w:rStyle w:val="Hyperlink"/>
          </w:rPr>
          <w:t xml:space="preserve">https://github.com/VC2015/DMLonGitHub/blob/master/Figure2.m</w:t>
        </w:r>
      </w:hyperlink>
      <w:r>
        <w:br/>
      </w:r>
    </w:p>
    <w:p>
      <w:pPr>
        <w:numPr>
          <w:ilvl w:val="0"/>
          <w:numId w:val="1001"/>
        </w:numPr>
        <w:pStyle w:val="Compact"/>
      </w:pPr>
      <w:r>
        <w:t xml:space="preserve">Lecture Notes provided by Professor Fan Li (Assessed via Sakai)</w:t>
      </w:r>
      <w:r>
        <w:br/>
      </w:r>
    </w:p>
    <w:p>
      <w:pPr>
        <w:numPr>
          <w:ilvl w:val="0"/>
          <w:numId w:val="1001"/>
        </w:numPr>
        <w:pStyle w:val="Compact"/>
      </w:pPr>
      <w:r>
        <w:t xml:space="preserve">Datasets provided by Professor Fan Li (Assessed via Sakai)</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8" Target="https://doi.org/10.1111/ectj.12097" TargetMode="External" /><Relationship Type="http://schemas.openxmlformats.org/officeDocument/2006/relationships/hyperlink" Id="rId29"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11/ectj.12097" TargetMode="External" /><Relationship Type="http://schemas.openxmlformats.org/officeDocument/2006/relationships/hyperlink" Id="rId29"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2022-04-24T07:00:45Z</dcterms:created>
  <dcterms:modified xsi:type="dcterms:W3CDTF">2022-04-24T07:00:45Z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