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pStyle w:val="Title"/>
      </w:pPr>
      <w:r>
        <w:rPr>
          <w:rFonts w:ascii="Arial" w:hAnsi="Arial" w:eastAsia="Microsoft YaHei"/>
          <w:b/>
          <w:color w:val="000000"/>
          <w:sz w:val="52"/>
        </w:rPr>
        <w:t>AgentMesh P37 Agent Harness</w:t>
        <w:br/>
      </w:r>
      <w:r>
        <w:rPr>
          <w:rFonts w:ascii="Arial" w:hAnsi="Arial" w:eastAsia="Microsoft YaHei"/>
          <w:b/>
          <w:color w:val="000000"/>
          <w:sz w:val="52"/>
        </w:rPr>
        <w:t>需求文档</w:t>
      </w:r>
    </w:p>
    <w:p>
      <w:pPr>
        <w:spacing w:after="360"/>
      </w:pPr>
      <w:r>
        <w:rPr>
          <w:rFonts w:ascii="Arial" w:hAnsi="Arial" w:eastAsia="Microsoft YaHei"/>
          <w:b w:val="0"/>
          <w:color w:val="667085"/>
          <w:sz w:val="28"/>
        </w:rPr>
        <w:t>最小可实现版本  开发交接稿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1 文档综述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1.1 文档输出说明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165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67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65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67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文档名称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AgentMesh P37 Agent Harness 需求文档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文档版本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65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编写日期</w:t>
            </w:r>
          </w:p>
        </w:tc>
        <w:tc>
          <w:tcPr>
            <w:tcW w:type="dxa" w:w="36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2026-09-17</w:t>
            </w:r>
          </w:p>
        </w:tc>
        <w:tc>
          <w:tcPr>
            <w:tcW w:type="dxa" w:w="165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文档状态</w:t>
            </w:r>
          </w:p>
        </w:tc>
        <w:tc>
          <w:tcPr>
            <w:tcW w:type="dxa" w:w="36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需求草案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适用范围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P37 Agent Harness 最小可实现版本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目标读者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产品  架构  开发  测试</w:t>
            </w:r>
          </w:p>
        </w:tc>
      </w:tr>
      <w:tr>
        <w:trPr>
          <w:cantSplit/>
        </w:trPr>
        <w:tc>
          <w:tcPr>
            <w:tcW w:type="dxa" w:w="165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交付目标</w:t>
            </w:r>
          </w:p>
        </w:tc>
        <w:tc>
          <w:tcPr>
            <w:tcW w:type="dxa" w:w="36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形成可开发 可联调 可验收的需求基线</w:t>
            </w:r>
          </w:p>
        </w:tc>
        <w:tc>
          <w:tcPr>
            <w:tcW w:type="dxa" w:w="165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实现原则</w:t>
            </w:r>
          </w:p>
        </w:tc>
        <w:tc>
          <w:tcPr>
            <w:tcW w:type="dxa" w:w="36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复用现有能力  确定性规则优先</w:t>
            </w:r>
          </w:p>
        </w:tc>
      </w:tr>
    </w:tbl>
    <w:p>
      <w:pPr>
        <w:spacing w:after="40"/>
      </w:pP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本文档定义 AgentMesh P37 Agent Harness 的最小可实现版本。重点是先完成一个可运行、可诊断、可恢复、可追溯的纵向闭环，再逐步扩展高级策略。文档不包含 Git 仓库地址、原型链接和详细页面视觉稿。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本期推荐路线不新建第二套 Agent 编排和 Tool 调用系统。OpenJiuwen 作为现有 AgentExecutor 的新增实现接入；Harness 以监督层包裹当前执行链；工具校验与恢复复用统一 Tool Registry、审批治理、追踪和持久化能力。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1.2 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44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01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705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修订说明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V1.0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2026-09-17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首次形成 P37 Agent Harness 最小可实现需求与分步验收口径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2 产品概述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2.1 产品背景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AgentMesh 已具备 Agent 路由与执行、Internal HTTP MCP 工具调用、审批治理、重试、Agent 重调度、Trace、DAG、通用评测和运行详情等基础能力。但是这些能力主要解决任务能否被执行，尚未形成一套面向执行质量的监督闭环。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当前缺少的问题包括：工具输出没有统一契约校验，步骤和最终结果可能不完整，重复动作只能依靠最大迭代次数中止，失败原因和恢复动作缺少结构化记录，运行策略无法在排队和续跑后完整复现，前端也无法展示 Harness 的判定和恢复过程。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2.2 产品定位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Agent Harness 是 Agent 执行链外部的监督层。它不替代 Agent、模型、规划器或工具系统，而是在关键节点执行校验、记录证据、诊断失败，并在明确的预算和副作用约束内执行恢复。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2.3 本期产品目标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完成 OpenJiuwen 的真实执行接入，能够运行一个调用本地受管工具的 Agent 任务。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提供 OFF OBSERVE ENFORCE AUTO_REPAIR 四种模式，并保证 OFF 不改变现有执行语义。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对 Agent 输入、工具输入、工具输出、执行步骤、最终结果和重复循环进行确定性校验。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将失败转换为结构化诊断，并在统一恢复预算内执行明确允许的重试、修复、重规划或终止。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生成可持久化的 Harness 事件、摘要和报告，并在运行详情中展示。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通过固定故障样例比较 OFF 与 AUTO_REPAIR 的检测、恢复、逃逸、误拦截和执行开销。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2.4 本期范围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72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547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331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执行器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OpenJiuwen 真实执行与现有执行器统一解析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任务可实际运行并返回标准结果</w:t>
            </w:r>
          </w:p>
        </w:tc>
      </w:tr>
      <w:tr>
        <w:trPr>
          <w:cantSplit/>
        </w:trPr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Harness 核心</w:t>
            </w:r>
          </w:p>
        </w:tc>
        <w:tc>
          <w:tcPr>
            <w:tcW w:type="dxa" w:w="54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模式 状态 事件 校验 诊断 恢复预算 报告</w:t>
            </w:r>
          </w:p>
        </w:tc>
        <w:tc>
          <w:tcPr>
            <w:tcW w:type="dxa" w:w="331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单次运行形成完整闭环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Tool Guard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Internal HTTP MCP 三类本地受管工具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调用经过同一授权和校验链</w:t>
            </w:r>
          </w:p>
        </w:tc>
      </w:tr>
      <w:tr>
        <w:trPr>
          <w:cantSplit/>
        </w:trPr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系统链路</w:t>
            </w:r>
          </w:p>
        </w:tc>
        <w:tc>
          <w:tcPr>
            <w:tcW w:type="dxa" w:w="54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Python Runtime Go API 队列续跑持久化 React</w:t>
            </w:r>
          </w:p>
        </w:tc>
        <w:tc>
          <w:tcPr>
            <w:tcW w:type="dxa" w:w="331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配置和报告端到端可复现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评测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正常样例 故障样例 OFF 与 AUTO_REPAIR 对照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结果可重复并输出指标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2.5 本期不做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不新建独立工作流引擎、工具中心、追踪平台或评测平台。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不通过大模型自由推断来补齐缺失工具参数，也不对无契约结果宣称校验通过。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不自动重试无法证明幂等的写操作，不在未知执行状态下重复调用外部系统。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不保证拦截远程 HTTP 或 A2A Agent 在其服务内部自行发起的工具调用。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不建设通用可视化规则编辑器、拖拽状态机、复杂策略 DSL 和多层审批编排。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不在本期提供完整原型图、Git 仓库清单或模块级开发任务链接。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3 本期功能清单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cantSplit/>
        </w:trPr>
        <w:tc>
          <w:tcPr>
            <w:tcW w:type="dxa" w:w="108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2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00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52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简单实现方式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OpenJiuwen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真实执行器与注册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复用 AgentExecutor 扩展点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P37-02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Harness 核心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四种运行模式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运行请求中显式选择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Harness 核心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运行状态与监督器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统一状态转换和事件输出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P37-04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Validator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前置与工具输入校验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JSON Schema 与显式业务规则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Validator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工具输出 步骤 结果校验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无契约时标记未配置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P37-06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Validator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确定性循环检测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动作指纹加显式进展标记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P37-07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Tool Guard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Internal HTTP MCP 统一防线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复用现有 Tool Registry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P37-08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Diagnosis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结构化失败诊断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规则映射 根因 证据 风险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P37-09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Recovery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恢复策略与统一预算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只执行白名单动作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P37-10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Event Report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事件 摘要 报告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从事件聚合 不另建日志平台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P37-11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Go 链路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请求 响应 队列 续跑持久化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保存策略快照与结果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P37-12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React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运行设置与详情展示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增加一个设置组和一个详情页签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P37-13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评测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故障集 指标 对照实验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固定离线样例 可重复执行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P37-14</w:t>
            </w:r>
          </w:p>
        </w:tc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交付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三类工具 Demo 与部署说明</w:t>
            </w:r>
          </w:p>
        </w:tc>
        <w:tc>
          <w:tcPr>
            <w:tcW w:type="dxa" w:w="10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P0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形成可演示纵向闭环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4 全局说明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4.1 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34"/>
        <w:gridCol w:w="4734"/>
      </w:tblGrid>
      <w:tr>
        <w:trPr>
          <w:tblHeader w:val="true"/>
          <w:cantSplit/>
        </w:trPr>
        <w:tc>
          <w:tcPr>
            <w:tcW w:type="dxa" w:w="244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806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Agent Harness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包裹 Agent 执行链的监督能力，负责校验、诊断、受控恢复和报告。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Validator</w:t>
            </w:r>
          </w:p>
        </w:tc>
        <w:tc>
          <w:tcPr>
            <w:tcW w:type="dxa" w:w="806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针对某个确定节点执行规则校验，并返回通过、失败或未配置。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Tool Guard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工具调用的统一入口，负责治理、输入校验、调用、输出校验和事件记录。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Failure Diagnosis</w:t>
            </w:r>
          </w:p>
        </w:tc>
        <w:tc>
          <w:tcPr>
            <w:tcW w:type="dxa" w:w="806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对失败进行结构化归类，包含根因、证据、是否可重试、副作用风险和建议动作。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Recovery Budget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限制一次运行允许执行的修复次数、单工具重试次数、总步骤数和循环重复次数。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Evidence</w:t>
            </w:r>
          </w:p>
        </w:tc>
        <w:tc>
          <w:tcPr>
            <w:tcW w:type="dxa" w:w="806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支撑校验或诊断结论的脱敏事实，例如字段路径、错误码和动作指纹。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Progress Marker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由执行器或步骤显式提供的进展标识，用于判断重复动作是否仍产生新进展。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4.2 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0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主要操作</w:t>
            </w:r>
          </w:p>
        </w:tc>
        <w:tc>
          <w:tcPr>
            <w:tcW w:type="dxa" w:w="381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权限边界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任务发起人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选择 Harness 模式并提交任务，查看结果和摘要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只能访问所在项目可用的 Agent 和工具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项目管理员</w:t>
            </w:r>
          </w:p>
        </w:tc>
        <w:tc>
          <w:tcPr>
            <w:tcW w:type="dxa" w:w="46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设置项目默认模式和预算，查看运行报告</w:t>
            </w:r>
          </w:p>
        </w:tc>
        <w:tc>
          <w:tcPr>
            <w:tcW w:type="dxa" w:w="381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不能绕过工具审批和项目隔离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平台运维与开发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配置 OpenJiuwen、校验契约、故障样例和运行参数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敏感凭据不写入事件和报告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4.3 Harness 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cantSplit/>
        </w:trPr>
        <w:tc>
          <w:tcPr>
            <w:tcW w:type="dxa" w:w="172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校验</w:t>
            </w:r>
          </w:p>
        </w:tc>
        <w:tc>
          <w:tcPr>
            <w:tcW w:type="dxa" w:w="158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阻断</w:t>
            </w:r>
          </w:p>
        </w:tc>
        <w:tc>
          <w:tcPr>
            <w:tcW w:type="dxa" w:w="194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自动恢复</w:t>
            </w:r>
          </w:p>
        </w:tc>
        <w:tc>
          <w:tcPr>
            <w:tcW w:type="dxa" w:w="31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OFF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不新增 Harness 校验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否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否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保留原执行路径和历史行为</w:t>
            </w:r>
          </w:p>
        </w:tc>
      </w:tr>
      <w:tr>
        <w:trPr>
          <w:cantSplit/>
        </w:trPr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OBSERVE</w:t>
            </w:r>
          </w:p>
        </w:tc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执行并记录</w:t>
            </w:r>
          </w:p>
        </w:tc>
        <w:tc>
          <w:tcPr>
            <w:tcW w:type="dxa" w:w="15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否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否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灰度观察规则命中和误报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ENFORCE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执行并记录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否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在明确违规时终止或返回失败</w:t>
            </w:r>
          </w:p>
        </w:tc>
      </w:tr>
      <w:tr>
        <w:trPr>
          <w:cantSplit/>
        </w:trPr>
        <w:tc>
          <w:tcPr>
            <w:tcW w:type="dxa" w:w="17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AUTO_REPAIR</w:t>
            </w:r>
          </w:p>
        </w:tc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执行并记录</w:t>
            </w:r>
          </w:p>
        </w:tc>
        <w:tc>
          <w:tcPr>
            <w:tcW w:type="dxa" w:w="15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是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预算内执行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故障演示和受控生产试用</w:t>
            </w:r>
          </w:p>
        </w:tc>
      </w:tr>
    </w:tbl>
    <w:p>
      <w:pPr>
        <w:spacing w:after="40"/>
      </w:pP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模式规则：OFF 不得改变既有审批、重试、项目隔离和结果；OBSERVE 不得修改参数或结果；ENFORCE 只阻断已定义的失败；AUTO_REPAIR 只能执行策略表明确允许的动作。非 OFF 任务不得进入绕开完整 Runtime 的交互快路径。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4.4 覆盖边界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Harness 覆盖 AgentMesh Runtime 内可观察的 Agent 执行、步骤、结果，以及通过本地 Tool Registry 发起的工具调用。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OpenJiuwen 暴露给 Agent 的工具必须通过 Guarded Tool Executor 回调执行，不能由适配器直接调用外部工具。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远端 HTTP 或 A2A Agent 在远端服务内部发起的工具调用不属于本地 Guard 覆盖范围，报告中必须明确标记。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已有审批、授权、租户隔离、超时和敏感路径保护继续生效，Harness 不得提供绕过入口。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错误证据默认保存字段路径、错误码和摘要，不保存令牌、凭据、完整提示词或未经脱敏的工具响应。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5 推荐的简单实现方案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5.1 方案原则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复用现有抽象：执行器继续使用统一 AgentExecutor，工具继续使用 Tool Registry。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确定性优先：P0 校验、循环判断和诊断以 Schema、错误码和显式状态为依据。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恢复动作白名单化：没有显式规则时只报告和终止，不猜测参数或业务意图。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单一预算：现有 retry、reschedule 和新增 repair 都计入同一运行预算，避免重复恢复。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事件驱动展示：运行详情和报告从结构化事件聚合，不建设独立观察系统。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5.2 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194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8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推荐方式</w:t>
            </w:r>
          </w:p>
        </w:tc>
        <w:tc>
          <w:tcPr>
            <w:tcW w:type="dxa" w:w="280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本期不采用</w:t>
            </w:r>
          </w:p>
        </w:tc>
        <w:tc>
          <w:tcPr>
            <w:tcW w:type="dxa" w:w="237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OpenJiuwen 接入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新增 AgentExecutor 插件并注册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建立独立运行服务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改动小且保持统一路由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Harness 状态</w:t>
            </w:r>
          </w:p>
        </w:tc>
        <w:tc>
          <w:tcPr>
            <w:tcW w:type="dxa" w:w="33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枚举状态加集中转换函数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引入第二套工作流引擎</w:t>
            </w:r>
          </w:p>
        </w:tc>
        <w:tc>
          <w:tcPr>
            <w:tcW w:type="dxa" w:w="237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状态有限且易于测试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输入输出校验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标准 JSON Schema 加显式业务规则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大模型自由判分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结果稳定且可复现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循环检测</w:t>
            </w:r>
          </w:p>
        </w:tc>
        <w:tc>
          <w:tcPr>
            <w:tcW w:type="dxa" w:w="33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工具名 参数哈希 目标对象 进展标记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向量相似度和语义聚类</w:t>
            </w:r>
          </w:p>
        </w:tc>
        <w:tc>
          <w:tcPr>
            <w:tcW w:type="dxa" w:w="237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判定明确且开销低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失败诊断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错误类型到诊断码的规则表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独立诊断 Agent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避免二次不确定性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自动恢复</w:t>
            </w:r>
          </w:p>
        </w:tc>
        <w:tc>
          <w:tcPr>
            <w:tcW w:type="dxa" w:w="33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策略表加统一预算和副作用门控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开放式自动规划</w:t>
            </w:r>
          </w:p>
        </w:tc>
        <w:tc>
          <w:tcPr>
            <w:tcW w:type="dxa" w:w="237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可控 可解释 可验收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持久化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配置快照和报告写入现有 JSON 元数据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首期新建 Harness 表组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减少数据模型改造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前端</w:t>
            </w:r>
          </w:p>
        </w:tc>
        <w:tc>
          <w:tcPr>
            <w:tcW w:type="dxa" w:w="338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新增设置组和详情 Tab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独立 Harness 控制台</w:t>
            </w:r>
          </w:p>
        </w:tc>
        <w:tc>
          <w:tcPr>
            <w:tcW w:type="dxa" w:w="237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复用现有运行详情结构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评测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固定 JSONL 故障集和离线运行器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在线实验平台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可重复且交付快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5.3 推荐实现结构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1" name="Picture 1" title="图 1  P37 推荐实现结构" descr="图 1  P37 推荐实现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ed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color w:val="667085"/>
          <w:sz w:val="18"/>
        </w:rPr>
        <w:t>图 1  P37 推荐实现结构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5.4 主执行流程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866644"/>
            <wp:docPr id="2" name="Picture 2" title="图 2  AUTO REPAIR 主执行流程" descr="图 2  AUTO REPAIR 主执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color w:val="667085"/>
          <w:sz w:val="18"/>
        </w:rPr>
        <w:t>图 2  AUTO REPAIR 主执行流程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6 数据契约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6.1 HarnessConfig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HarnessConfig 在任务创建时确定并生成不可变快照。排队、重启、续跑和重放均使用同一快照。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223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1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4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31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mode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OFF OBSERVE ENFORCE AUTO_REPAIR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OFF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必填枚举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maxSteps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整数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12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大于 0；达到上限后终止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maxRepairs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整数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仅 AUTO_REPAIR 使用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maxRetriesPerTool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整数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1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必须纳入统一预算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maxReschedules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整数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限制 Agent 替换次数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loopRepeatThreshold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整数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2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相同动作无进展达到阈值即判定循环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resultSchema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可选 JSON Schema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空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为空时只执行配置的业务规则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policyVersion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当前发布版本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写入快照和报告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6.2 ToolDefinition 扩展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工具当前只有输入 Schema。为完成严谨的输出校验，需要在 Python、Go、React 和数据库中贯通以下可选字段。未配置 outputSchema 时，输出校验状态必须是 NOT_CONFIGURED，不能记录为通过。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44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96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10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outputSchema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可选 JSON Schema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定义成功响应必须满足的结构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sideEffectRisk</w:t>
            </w:r>
          </w:p>
        </w:tc>
        <w:tc>
          <w:tcPr>
            <w:tcW w:type="dxa" w:w="396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READ_ONLY IDEMPOTENT_WRITE NON_IDEMPOTENT_WRITE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决定是否允许自动重试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supportsIdempotencyKey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布尔值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写工具是否支持安全重放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fallbackToolId</w:t>
            </w:r>
          </w:p>
        </w:tc>
        <w:tc>
          <w:tcPr>
            <w:tcW w:type="dxa" w:w="396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可选工具标识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仅允许显式配置的替代工具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argumentAliases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可选映射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只允许显式别名，不进行语义猜测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6.3 HarnessRunState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2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410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允许的下一状态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CREATED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任务已接收且配置快照完成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PRECHECK EXECUTING TERMINATED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PRECHECK</w:t>
            </w:r>
          </w:p>
        </w:tc>
        <w:tc>
          <w:tcPr>
            <w:tcW w:type="dxa" w:w="43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执行请求与上下文校验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EXECUTING DIAGNOSING TERMINATED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EXECUTING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Agent 正在执行步骤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TOOL_GUARD STEP_VALIDATING RESULT_VALIDATING DIAGNOSING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TOOL_GUARD</w:t>
            </w:r>
          </w:p>
        </w:tc>
        <w:tc>
          <w:tcPr>
            <w:tcW w:type="dxa" w:w="43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收到工具调用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EXECUTING DIAGNOSING RECOVERING TERMINATED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STEP_VALIDATING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步骤执行完成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EXECUTING DIAGNOSING RECOVERING TERMINATED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RESULT_VALIDATING</w:t>
            </w:r>
          </w:p>
        </w:tc>
        <w:tc>
          <w:tcPr>
            <w:tcW w:type="dxa" w:w="43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Agent 返回候选最终结果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COMPLETED DIAGNOSING RECOVERING TERMINATED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DIAGNOSING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校验或执行失败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RECOVERING TERMINATED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RECOVERING</w:t>
            </w:r>
          </w:p>
        </w:tc>
        <w:tc>
          <w:tcPr>
            <w:tcW w:type="dxa" w:w="43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执行允许的恢复动作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EXECUTING TOOL_GUARD RESULT_VALIDATING TERMINATED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COMPLETED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结果校验通过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TERMINATED</w:t>
            </w:r>
          </w:p>
        </w:tc>
        <w:tc>
          <w:tcPr>
            <w:tcW w:type="dxa" w:w="43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阻断 预算耗尽 风险不允许或不可恢复</w:t>
            </w:r>
          </w:p>
        </w:tc>
        <w:tc>
          <w:tcPr>
            <w:tcW w:type="dxa" w:w="41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6.4 ValidationResult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23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1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11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validator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校验器名称和版本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status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PASS FAIL NOT_CONFIGURED</w:t>
            </w:r>
          </w:p>
        </w:tc>
        <w:tc>
          <w:tcPr>
            <w:tcW w:type="dxa" w:w="511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不能用 PASS 代替未配置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code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稳定的失败码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message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</w:t>
            </w:r>
          </w:p>
        </w:tc>
        <w:tc>
          <w:tcPr>
            <w:tcW w:type="dxa" w:w="511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面向开发和用户的简明说明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fieldPaths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字符串数组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指出失败字段或结果位置</w:t>
            </w:r>
          </w:p>
        </w:tc>
      </w:tr>
      <w:tr>
        <w:trPr>
          <w:cantSplit/>
        </w:trPr>
        <w:tc>
          <w:tcPr>
            <w:tcW w:type="dxa" w:w="22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evidence</w:t>
            </w:r>
          </w:p>
        </w:tc>
        <w:tc>
          <w:tcPr>
            <w:tcW w:type="dxa" w:w="31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对象</w:t>
            </w:r>
          </w:p>
        </w:tc>
        <w:tc>
          <w:tcPr>
            <w:tcW w:type="dxa" w:w="511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只保存脱敏且必要的证据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6.5 FailureDiagnosis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44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09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96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category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枚举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INPUT OUTPUT TOOL STEP RESULT LOOP TIMEOUT AUTHORIZATION UNKNOWN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rootCauseCode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字符串</w:t>
            </w:r>
          </w:p>
        </w:tc>
        <w:tc>
          <w:tcPr>
            <w:tcW w:type="dxa" w:w="49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对应稳定规则或底层错误码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evidence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对象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包含字段路径 动作指纹 错误码等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retryable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布尔值</w:t>
            </w:r>
          </w:p>
        </w:tc>
        <w:tc>
          <w:tcPr>
            <w:tcW w:type="dxa" w:w="49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由规则和副作用风险共同决定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sideEffectRisk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枚举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来自工具定义或执行阶段</w:t>
            </w:r>
          </w:p>
        </w:tc>
      </w:tr>
      <w:tr>
        <w:trPr>
          <w:cantSplit/>
        </w:trPr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confidence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固定值或规则等级</w:t>
            </w:r>
          </w:p>
        </w:tc>
        <w:tc>
          <w:tcPr>
            <w:tcW w:type="dxa" w:w="496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规则命中为 EXACT；无法归类为 UNKNOWN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recommendedAction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枚举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REPAIR_ARGS RETRY FALLBACK REPLAN TERMINATE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6.6 HarnessEvent 与 HarnessReport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所有状态转换、校验、诊断和恢复都写入顺序事件。HarnessSummary 是列表页可展示的紧凑摘要，HarnessReport 是运行详情使用的完整聚合结果。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47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95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HarnessEvent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eventId sequence timestamp state type severity subject validation diagnosis recovery elapsedMs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单次事实记录；sequence 在同一运行内单调递增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HarnessSummary</w:t>
            </w:r>
          </w:p>
        </w:tc>
        <w:tc>
          <w:tcPr>
            <w:tcW w:type="dxa" w:w="54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mode outcome validationFailures repairs retries terminationReason overheadMs</w:t>
            </w:r>
          </w:p>
        </w:tc>
        <w:tc>
          <w:tcPr>
            <w:tcW w:type="dxa" w:w="295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用于任务列表和运行概览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HarnessReport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configSnapshot stateTimeline events diagnoses recoveries finalValidation metrics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用于详情展示、复盘和评测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7 功能需求详细设计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7.1 OpenJiuwen 真实执行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目标：</w:t>
      </w:r>
      <w:r>
        <w:rPr>
          <w:rFonts w:ascii="Arial" w:hAnsi="Arial" w:eastAsia="Microsoft YaHei"/>
          <w:color w:val="111111"/>
          <w:sz w:val="21"/>
        </w:rPr>
        <w:t>OpenJiuwen 以统一 AgentExecutor 插件运行真实任务，并将工具调用交给本地 Tool Guard。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简单实现：</w:t>
      </w:r>
      <w:r>
        <w:rPr>
          <w:rFonts w:ascii="Arial" w:hAnsi="Arial" w:eastAsia="Microsoft YaHei"/>
          <w:color w:val="111111"/>
          <w:sz w:val="21"/>
        </w:rPr>
        <w:t>增加一个 OpenJiuwen 适配器和注册项，不建立独立服务，不复制现有 Agent 路由逻辑。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执行器接收统一 AgentExecutionRequest，包含任务、上下文、模型配置、可用工具和取消信号。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将 AgentMesh 工具定义转换为 OpenJiuwen 可识别的工具描述，但实际执行回调必须调用 Guarded Tool Executor。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把 OpenJiuwen 的步骤、工具请求、结果、取消、超时和异常转换为统一事件和错误码。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执行器返回统一 AgentExecutionResult，不向上层暴露框架私有对象。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当 OpenJiuwen 不可用、初始化失败或协议不支持时明确失败，不自动降级为其他执行器。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验收：</w:t>
      </w:r>
      <w:r>
        <w:rPr>
          <w:rFonts w:ascii="Arial" w:hAnsi="Arial" w:eastAsia="Microsoft YaHei"/>
          <w:color w:val="111111"/>
          <w:sz w:val="21"/>
        </w:rPr>
        <w:t>一个 OpenJiuwen Agent 能调用一项 Internal Tool，并完整返回步骤、工具结果、最终结果和 Trace；切换到 Harness 后同一工具调用经过 Guard。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7.2 Harness 模式与监督器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目标：</w:t>
      </w:r>
      <w:r>
        <w:rPr>
          <w:rFonts w:ascii="Arial" w:hAnsi="Arial" w:eastAsia="Microsoft YaHei"/>
          <w:color w:val="111111"/>
          <w:sz w:val="21"/>
        </w:rPr>
        <w:t>建立一条所有 Harness 能力共享的运行主线。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运行入口读取并冻结 HarnessConfig；缺省 mode 为 OFF。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非 OFF 模式创建 HarnessRunState、事件序列和预算计数器。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所有状态变化必须通过集中转换函数，拒绝未定义的跨状态跳转。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OBSERVE 对失败只记录，不修改调用和结果；ENFORCE 对失败阻断；AUTO_REPAIR 进入诊断和恢复。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非 OFF 任务强制进入完整 Runtime，暂不使用可能绕过监督器的交互快路径。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验收：</w:t>
      </w:r>
      <w:r>
        <w:rPr>
          <w:rFonts w:ascii="Arial" w:hAnsi="Arial" w:eastAsia="Microsoft YaHei"/>
          <w:color w:val="111111"/>
          <w:sz w:val="21"/>
        </w:rPr>
        <w:t>同一正常任务在 OFF 与 OBSERVE 下业务结果一致；OBSERVE 额外生成事件但不触发修复。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7.3 Validator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67"/>
        <w:gridCol w:w="2367"/>
        <w:gridCol w:w="2367"/>
        <w:gridCol w:w="2367"/>
      </w:tblGrid>
      <w:tr>
        <w:trPr>
          <w:tblHeader w:val="true"/>
          <w:cantSplit/>
        </w:trPr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校验器</w:t>
            </w:r>
          </w:p>
        </w:tc>
        <w:tc>
          <w:tcPr>
            <w:tcW w:type="dxa" w:w="194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触发点</w:t>
            </w:r>
          </w:p>
        </w:tc>
        <w:tc>
          <w:tcPr>
            <w:tcW w:type="dxa" w:w="468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P0 规则</w:t>
            </w:r>
          </w:p>
        </w:tc>
        <w:tc>
          <w:tcPr>
            <w:tcW w:type="dxa" w:w="180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失败处理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PreValidator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Agent 执行前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任务非空 上下文完整 模式配置合法 可用执行器存在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阻断或记录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ToolInputValidator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工具执行前</w:t>
            </w:r>
          </w:p>
        </w:tc>
        <w:tc>
          <w:tcPr>
            <w:tcW w:type="dxa" w:w="46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JSON 可解析 required type enum range nested additionalProperties</w:t>
            </w:r>
          </w:p>
        </w:tc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不调用工具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ToolOutputValidator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工具成功返回后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outputSchema 与统一错误结构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不把非法结果喂给 Agent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StepValidator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每个步骤结束</w:t>
            </w:r>
          </w:p>
        </w:tc>
        <w:tc>
          <w:tcPr>
            <w:tcW w:type="dxa" w:w="46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步骤状态合法 工具引用存在 证据引用有效</w:t>
            </w:r>
          </w:p>
        </w:tc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诊断或终止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ResultValidator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最终结果返回后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resultSchema 必填字段 引用有效 禁止空结果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诊断或恢复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LoopValidator</w:t>
            </w:r>
          </w:p>
        </w:tc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动作提交前</w:t>
            </w:r>
          </w:p>
        </w:tc>
        <w:tc>
          <w:tcPr>
            <w:tcW w:type="dxa" w:w="46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相同动作指纹且无新进展达到阈值</w:t>
            </w:r>
          </w:p>
        </w:tc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阻断并诊断为 LOOP</w:t>
            </w:r>
          </w:p>
        </w:tc>
      </w:tr>
    </w:tbl>
    <w:p>
      <w:pPr>
        <w:spacing w:after="40"/>
      </w:pP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校验原则：P0 不使用语义相似度、模型打分或自动补救后处理。若业务完整性无法用 Schema 或显式规则描述，则记录 NOT_CONFIGURED，并将规则配置列为后续工作。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7.4 确定性循环检测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每次动作生成指纹：动作类型、Agent 标识、工具标识、规范化参数哈希和目标对象标识。进展标记由执行步骤显式提供，例如新增产物版本、状态版本、结果游标或任务阶段。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相同动作指纹连续出现且 progressMarker 未变化时，noProgressCount 加一。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当 noProgressCount 达到 loopRepeatThreshold 时，判定 LOOP_DETECTED。默认阈值为 2，即第三次相同无进展动作执行前终止。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参数变化、目标对象变化或 progressMarker 变化都会产生新的指纹或重置计数。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无法提供 progressMarker 的动作只能依据相同指纹判断，报告中标记判断依据受限。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7.5 Guarded Tool Executor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Guarded Tool Executor 作为现有 Tool Registry 的薄包装层，不改变工具发现、授权和 adapter 结构。Internal HTTP MCP 三类本地受管工具执行同一顺序。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检查项目范围、工具启用状态、审批和调用者授权。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执行 ToolInputValidator；失败时生成 ValidationResult 和 Diagnosis，不进入 adapter。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记录调用开始事件，执行已有超时和 adapter 调用。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将底层异常归一为稳定 ToolErrorCode，并标记请求是否已经发送。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执行 ToolOutputValidator；失败时不把非法输出作为成功消息返回 Agent。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更新动作指纹、预算和事件，再把标准结果返回执行器。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覆盖限制：</w:t>
      </w:r>
      <w:r>
        <w:rPr>
          <w:rFonts w:ascii="Arial" w:hAnsi="Arial" w:eastAsia="Microsoft YaHei"/>
          <w:color w:val="111111"/>
          <w:sz w:val="21"/>
        </w:rPr>
        <w:t>远端 Agent 内部工具无法被本地拦截；只有通过 AgentMesh Tool Registry 的调用才计入三类 Tool Guard 验收。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7.6 结构化诊断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诊断采用规则表，不启动独立诊断 Agent。规则输入包括 ValidationResult、ToolErrorCode、请求是否已发送、工具副作用风险、当前预算和最近动作指纹。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38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81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诊断结果</w:t>
            </w:r>
          </w:p>
        </w:tc>
        <w:tc>
          <w:tcPr>
            <w:tcW w:type="dxa" w:w="280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输入缺少 required 且 Schema 有 default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INPUT_MISSING_WITH_DEFAULT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REPAIR_ARGS</w:t>
            </w:r>
          </w:p>
        </w:tc>
      </w:tr>
      <w:tr>
        <w:trPr>
          <w:cantSplit/>
        </w:trPr>
        <w:tc>
          <w:tcPr>
            <w:tcW w:type="dxa" w:w="38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输入缺少 required 且无 default</w:t>
            </w:r>
          </w:p>
        </w:tc>
        <w:tc>
          <w:tcPr>
            <w:tcW w:type="dxa" w:w="381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INPUT_REQUIRED_MISSING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REPLAN 或 TERMINATE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只读工具超时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TOOL_TIMEOUT_READ_ONLY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RETRY</w:t>
            </w:r>
          </w:p>
        </w:tc>
      </w:tr>
      <w:tr>
        <w:trPr>
          <w:cantSplit/>
        </w:trPr>
        <w:tc>
          <w:tcPr>
            <w:tcW w:type="dxa" w:w="38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非幂等写工具请求已发送后超时</w:t>
            </w:r>
          </w:p>
        </w:tc>
        <w:tc>
          <w:tcPr>
            <w:tcW w:type="dxa" w:w="381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TOOL_OUTCOME_UNKNOWN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TERMINATE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工具输出不满足 outputSchema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OUTPUT_SCHEMA_INVALID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RETRY 或 FALLBACK</w:t>
            </w:r>
          </w:p>
        </w:tc>
      </w:tr>
      <w:tr>
        <w:trPr>
          <w:cantSplit/>
        </w:trPr>
        <w:tc>
          <w:tcPr>
            <w:tcW w:type="dxa" w:w="38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结果缺少必填字段</w:t>
            </w:r>
          </w:p>
        </w:tc>
        <w:tc>
          <w:tcPr>
            <w:tcW w:type="dxa" w:w="381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RESULT_INCOMPLETE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REPLAN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动作重复且无进展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LOOP_DETECTED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TERMINATE</w:t>
            </w:r>
          </w:p>
        </w:tc>
      </w:tr>
      <w:tr>
        <w:trPr>
          <w:cantSplit/>
        </w:trPr>
        <w:tc>
          <w:tcPr>
            <w:tcW w:type="dxa" w:w="38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无法匹配规则</w:t>
            </w:r>
          </w:p>
        </w:tc>
        <w:tc>
          <w:tcPr>
            <w:tcW w:type="dxa" w:w="381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UNKNOWN</w:t>
            </w:r>
          </w:p>
        </w:tc>
        <w:tc>
          <w:tcPr>
            <w:tcW w:type="dxa" w:w="280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TERMINATE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7.7 Recovery Policy 与 Budget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AUTO_REPAIR 按诊断结果选择动作。每个动作先检查预算、模式、副作用风险和白名单，再执行；完成后必须重新进入相同校验链。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80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68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允许条件</w:t>
            </w:r>
          </w:p>
        </w:tc>
        <w:tc>
          <w:tcPr>
            <w:tcW w:type="dxa" w:w="403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禁止条件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REPAIR_ARGS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Schema default 或显式 argumentAliases 能唯一确定结果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需要猜测业务值或改变用户意图</w:t>
            </w:r>
          </w:p>
        </w:tc>
      </w:tr>
      <w:tr>
        <w:trPr>
          <w:cantSplit/>
        </w:trPr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RETRY</w:t>
            </w:r>
          </w:p>
        </w:tc>
        <w:tc>
          <w:tcPr>
            <w:tcW w:type="dxa" w:w="46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只读工具；或幂等写且有稳定 idempotencyKey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非幂等写已发送或执行状态未知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FALLBACK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配置了 fallbackToolId 且输入输出契约兼容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临时搜索或自动挑选替代工具</w:t>
            </w:r>
          </w:p>
        </w:tc>
      </w:tr>
      <w:tr>
        <w:trPr>
          <w:cantSplit/>
        </w:trPr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REPLAN</w:t>
            </w:r>
          </w:p>
        </w:tc>
        <w:tc>
          <w:tcPr>
            <w:tcW w:type="dxa" w:w="46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仍有步骤预算且诊断证据可传回原执行器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无限重规划或绕开原治理规则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TERMINATE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预算耗尽 风险不允许 无匹配规则或未知错误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统一计数规则：旧有 Tool retry、Agent reschedule 和新增修复动作都写入同一 HarnessBudget。一个动作只能由一个策略触发，禁止 ToolLoop 先自动重试后 Harness 再重复重试。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7.8 Harness 事件与报告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事件按运行内 sequence 排序，所有状态变更、校验、诊断、恢复和终止都可追踪。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报告以事件为唯一事实来源，不能从自由文本日志反推关键状态。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证据字段经过中央脱敏；异常消息只保留允许的错误码和摘要。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运行成功但出现观察模式失败时，业务 outcome 仍为成功，Harness outcome 标记 OBSERVED_ISSUES。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运行终止时必须给出 terminationReason、最后状态、预算消耗和未完成校验。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7.9 Go API 队列与持久化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运行请求增加 harnessConfig；响应增加 harnessSummary，详情接口可返回 harnessReport。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任务创建时把完整配置快照写入持久任务请求，消费者不得从当前系统默认值重新计算。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普通运行、持久队列、挂起、续跑和历史还原使用相同字段和序列化规则。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P0 复用现有 JSON metadata 保存 Summary 和 Report；不新增 Harness 专用表。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ToolDefinition 的 outputSchema 和副作用字段需要显式数据库迁移并贯通增删改查。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旧任务没有 Harness 字段时按 OFF 读取，保证向后兼容。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验收：</w:t>
      </w:r>
      <w:r>
        <w:rPr>
          <w:rFonts w:ascii="Arial" w:hAnsi="Arial" w:eastAsia="Microsoft YaHei"/>
          <w:color w:val="111111"/>
          <w:sz w:val="21"/>
        </w:rPr>
        <w:t>任务排队后修改系统默认模式，再执行任务，实际模式仍应是创建时的快照；服务重启和续跑后报告连续。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7.10 React 设置与运行详情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运行设置增加 Harness 分组，提供模式选择和高级预算折叠区。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默认只展示 mode；AUTO_REPAIR 时展示 maxRepairs、maxRetriesPerTool、maxSteps 和 loopRepeatThreshold。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运行详情增加 Harness 页签，包含模式、最终状态、校验结果、诊断、恢复动作、预算消耗和状态时间线。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失败项可展开查看脱敏 evidence；工具输入输出默认折叠且遵守已有权限。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历史运行没有 Harness 数据时不显示页签，不伪造空报告。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7.11 评测与演示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P0 使用固定离线故障集。每个样例同时运行 OFF 和 AUTO_REPAIR，并保存输入、配置快照、业务结果、HarnessReport 和耗时。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94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样例</w:t>
            </w:r>
          </w:p>
        </w:tc>
        <w:tc>
          <w:tcPr>
            <w:tcW w:type="dxa" w:w="453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403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正常基线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无故障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OFF 与 AUTO_REPAIR 业务结果一致，不发生修复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输入缺字段</w:t>
            </w:r>
          </w:p>
        </w:tc>
        <w:tc>
          <w:tcPr>
            <w:tcW w:type="dxa" w:w="453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工具 required 字段缺失且有 default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检测并只补 schema default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输入不可修复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required 字段缺失且无 default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不调用工具，明确终止或重规划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输出不完整</w:t>
            </w:r>
          </w:p>
        </w:tc>
        <w:tc>
          <w:tcPr>
            <w:tcW w:type="dxa" w:w="453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工具结果缺少 outputSchema 必填字段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检测失败，不把结果作为成功返回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只读超时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第一次超时 第二次成功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预算内重试一次并记录恢复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写操作状态未知</w:t>
            </w:r>
          </w:p>
        </w:tc>
        <w:tc>
          <w:tcPr>
            <w:tcW w:type="dxa" w:w="453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非幂等写请求已发送后超时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不自动重试，终止并提示人工确认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循环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相同工具和参数无进展重复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第三次执行前终止</w:t>
            </w:r>
          </w:p>
        </w:tc>
      </w:tr>
      <w:tr>
        <w:trPr>
          <w:cantSplit/>
        </w:trPr>
        <w:tc>
          <w:tcPr>
            <w:tcW w:type="dxa" w:w="194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结果不完整</w:t>
            </w:r>
          </w:p>
        </w:tc>
        <w:tc>
          <w:tcPr>
            <w:tcW w:type="dxa" w:w="453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最终结果缺少 resultSchema 必填字段</w:t>
            </w:r>
          </w:p>
        </w:tc>
        <w:tc>
          <w:tcPr>
            <w:tcW w:type="dxa" w:w="403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8"/>
              </w:rPr>
              <w:t>一次重规划，仍失败则终止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8 开发实施步骤</w:t>
      </w: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实施顺序以每一步都能独立验收为原则。后一步依赖前一步的数据契约和事件，不允许先做 UI 再反推运行语义。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8.1 步骤一 固定契约与基线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低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确认四种模式、默认预算、状态枚举、事件类型、诊断码和报告字段。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建立 OFF 基线任务，记录正常结果、现有重试次数、Trace 和耗时。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为非 OFF 模式增加显式 feature switch，并规定其必须走完整 Runtime。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输出契约评审结果和字段兼容规则。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固定契约与基线对应的代码、配置和可验证运行结果。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同一基线任务重复运行结果稳定；旧请求不传 Harness 字段时行为不变。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8.2 步骤二 接入 OpenJiuwen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中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实现 OpenJiuwen AgentExecutor 适配器和启动注册。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完成统一请求、步骤、工具调用、取消、超时、错误和结果映射。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先连接一个 Internal Tool，确认真实执行而不是模拟返回。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确保初始化失败直接返回明确错误，不静默切换其他协议。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接入 OpenJiuwen对应的代码、配置和可验证运行结果。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OpenJiuwen 真实执行一条包含工具调用的任务，完整返回统一结果。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8.3 步骤三 建立 Harness 外壳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中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创建 HarnessRunState、集中状态转换、EventSink 和 Budget。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实现 OFF OBSERVE ENFORCE AUTO_REPAIR 分支，但先不执行自动修复。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将执行器前后和步骤边界接入事件流。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验证 OBSERVE 只记录，不改变业务结果。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建立 Harness 外壳对应的代码、配置和可验证运行结果。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状态时间线完整；非法状态转换被拒绝；OFF 与 OBSERVE 正常结果一致。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8.4 步骤四 完成 Validator 与 Tool Guard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高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扩展 ToolDefinition 的 outputSchema 和副作用字段。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补齐 JSON Schema required type enum range nested additionalProperties 校验。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把 Internal HTTP MCP 的本地调用统一包裹在 Guard 中。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实现 Step Result Loop Validator，并把失败转换为事件。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完成 Validator 与 Tool Guard对应的代码、配置和可验证运行结果。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三类工具各通过一个正常案例和一个输入或输出失败案例；循环在阈值处终止。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8.5 步骤五 完成诊断与受控恢复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高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建立错误码到 FailureDiagnosis 的确定性映射表。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实现参数默认值修复、只读重试、显式 fallback、一次重规划和终止。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统一计算旧 retry、reschedule 和 repair 预算。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为非幂等写操作增加请求发送状态和幂等键门控。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完成诊断与受控恢复对应的代码、配置和可验证运行结果。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所有恢复动作都有诊断依据和预算记录；非幂等未知结果不会自动重试。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8.6 步骤六 生成报告并贯通 Go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中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从事件聚合 HarnessSummary 和 HarnessReport。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在 Runtime 请求响应、Go DTO、任务输入结果中增加字段。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把配置快照写入持久队列，把摘要和报告写入现有 metadata。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验证排队、重启、挂起、续跑和历史读取。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生成报告并贯通 Go对应的代码、配置和可验证运行结果。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不同运行路径返回同一结构；配置快照在重启和续跑后保持不变。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8.7 步骤七 完成前端展示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中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增加 Harness 模式设置和 AUTO_REPAIR 高级预算。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增加 Harness 详情页签、状态时间线、诊断和恢复列表。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复用现有 Trace Tool Reliability 组件风格。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处理旧任务无数据、报告加载失败和权限不足状态。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完成前端展示对应的代码、配置和可验证运行结果。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用户可以提交指定模式任务，并在详情中解释每次阻断或修复。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8.8 步骤八 完成故障集与交付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实现复杂度：</w:t>
      </w:r>
      <w:r>
        <w:rPr>
          <w:rFonts w:ascii="Arial" w:hAnsi="Arial" w:eastAsia="Microsoft YaHei"/>
          <w:color w:val="111111"/>
          <w:sz w:val="21"/>
        </w:rPr>
        <w:t>中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实施内容：</w:t>
      </w:r>
      <w:r>
        <w:rPr>
          <w:rFonts w:ascii="Arial" w:hAnsi="Arial" w:eastAsia="Microsoft YaHei"/>
          <w:color w:val="111111"/>
          <w:sz w:val="21"/>
        </w:rPr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1. </w:t>
      </w:r>
      <w:r>
        <w:rPr>
          <w:rFonts w:ascii="Arial" w:hAnsi="Arial" w:eastAsia="Microsoft YaHei"/>
          <w:color w:val="111111"/>
          <w:sz w:val="21"/>
        </w:rPr>
        <w:t>建立固定 JSONL 正常和故障样例。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2. </w:t>
      </w:r>
      <w:r>
        <w:rPr>
          <w:rFonts w:ascii="Arial" w:hAnsi="Arial" w:eastAsia="Microsoft YaHei"/>
          <w:color w:val="111111"/>
          <w:sz w:val="21"/>
        </w:rPr>
        <w:t>对每个样例运行 OFF 和 AUTO_REPAIR，并生成指标。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3. </w:t>
      </w:r>
      <w:r>
        <w:rPr>
          <w:rFonts w:ascii="Arial" w:hAnsi="Arial" w:eastAsia="Microsoft YaHei"/>
          <w:color w:val="111111"/>
          <w:sz w:val="21"/>
        </w:rPr>
        <w:t>准备 Internal HTTP MCP 三类 Tool Demo。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4. </w:t>
      </w:r>
      <w:r>
        <w:rPr>
          <w:rFonts w:ascii="Arial" w:hAnsi="Arial" w:eastAsia="Microsoft YaHei"/>
          <w:color w:val="111111"/>
          <w:sz w:val="21"/>
        </w:rPr>
        <w:t>补齐配置、部署、运行和问题定位说明。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阶段输出：</w:t>
      </w:r>
      <w:r>
        <w:rPr>
          <w:rFonts w:ascii="Arial" w:hAnsi="Arial" w:eastAsia="Microsoft YaHei"/>
          <w:color w:val="111111"/>
          <w:sz w:val="21"/>
        </w:rPr>
        <w:t>完成故障集与交付对应的代码、配置和可验证运行结果。</w:t>
      </w:r>
    </w:p>
    <w:p>
      <w:pPr>
        <w:spacing w:after="80" w:line="336" w:lineRule="auto"/>
      </w:pPr>
      <w:r>
        <w:rPr>
          <w:rFonts w:ascii="Arial" w:hAnsi="Arial" w:eastAsia="Microsoft YaHei"/>
          <w:b/>
          <w:color w:val="111111"/>
          <w:sz w:val="21"/>
        </w:rPr>
        <w:t>完成标准：</w:t>
      </w:r>
      <w:r>
        <w:rPr>
          <w:rFonts w:ascii="Arial" w:hAnsi="Arial" w:eastAsia="Microsoft YaHei"/>
          <w:color w:val="111111"/>
          <w:sz w:val="21"/>
        </w:rPr>
        <w:t>八类核心案例全部产生可复验结果；三类工具都能演示完整闭环。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9 测试与验收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9.1 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16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2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计算方式</w:t>
            </w:r>
          </w:p>
        </w:tc>
        <w:tc>
          <w:tcPr>
            <w:tcW w:type="dxa" w:w="352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P0 口径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故障检测率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检测出的预置故障数除以注入故障数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固定确定性故障集要求全部检测</w:t>
            </w:r>
          </w:p>
        </w:tc>
      </w:tr>
      <w:tr>
        <w:trPr>
          <w:cantSplit/>
        </w:trPr>
        <w:tc>
          <w:tcPr>
            <w:tcW w:type="dxa" w:w="216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支持场景恢复率</w:t>
            </w:r>
          </w:p>
        </w:tc>
        <w:tc>
          <w:tcPr>
            <w:tcW w:type="dxa" w:w="482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恢复成功数除以允许自动恢复的故障数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白名单恢复案例要求全部成功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故障逃逸率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未阻断且产生非法结果的故障数除以故障数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ENFORCE 与 AUTO_REPAIR 为零</w:t>
            </w:r>
          </w:p>
        </w:tc>
      </w:tr>
      <w:tr>
        <w:trPr>
          <w:cantSplit/>
        </w:trPr>
        <w:tc>
          <w:tcPr>
            <w:tcW w:type="dxa" w:w="216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正常误拦截率</w:t>
            </w:r>
          </w:p>
        </w:tc>
        <w:tc>
          <w:tcPr>
            <w:tcW w:type="dxa" w:w="482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正常案例被阻断数除以正常案例数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固定正常集为零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循环终止率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按阈值终止的循环案例数除以循环案例数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固定循环集全部终止</w:t>
            </w:r>
          </w:p>
        </w:tc>
      </w:tr>
      <w:tr>
        <w:trPr>
          <w:cantSplit/>
        </w:trPr>
        <w:tc>
          <w:tcPr>
            <w:tcW w:type="dxa" w:w="216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执行开销</w:t>
            </w:r>
          </w:p>
        </w:tc>
        <w:tc>
          <w:tcPr>
            <w:tcW w:type="dxa" w:w="482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相对 OFF 增加的耗时与事件量</w:t>
            </w:r>
          </w:p>
        </w:tc>
        <w:tc>
          <w:tcPr>
            <w:tcW w:type="dxa" w:w="352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记录 P50 P95；首期先观测不设硬门槛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9.2 模式验收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cantSplit/>
        </w:trPr>
        <w:tc>
          <w:tcPr>
            <w:tcW w:type="dxa" w:w="208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80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OFF</w:t>
            </w:r>
          </w:p>
        </w:tc>
        <w:tc>
          <w:tcPr>
            <w:tcW w:type="dxa" w:w="2448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OBSERVE</w:t>
            </w:r>
          </w:p>
        </w:tc>
        <w:tc>
          <w:tcPr>
            <w:tcW w:type="dxa" w:w="187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ENFORCE</w:t>
            </w:r>
          </w:p>
        </w:tc>
        <w:tc>
          <w:tcPr>
            <w:tcW w:type="dxa" w:w="2304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AUTO_REPAIR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正常任务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原行为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记录通过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通过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通过且无修复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工具输入非法</w:t>
            </w:r>
          </w:p>
        </w:tc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原行为</w:t>
            </w:r>
          </w:p>
        </w:tc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记录失败但不阻断</w:t>
            </w:r>
          </w:p>
        </w:tc>
        <w:tc>
          <w:tcPr>
            <w:tcW w:type="dxa" w:w="18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阻断</w:t>
            </w:r>
          </w:p>
        </w:tc>
        <w:tc>
          <w:tcPr>
            <w:tcW w:type="dxa" w:w="23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仅有确定修复规则时修复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工具输出非法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原行为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记录失败但不阻断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阻断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按风险执行重试或替代</w:t>
            </w:r>
          </w:p>
        </w:tc>
      </w:tr>
      <w:tr>
        <w:trPr>
          <w:cantSplit/>
        </w:trPr>
        <w:tc>
          <w:tcPr>
            <w:tcW w:type="dxa" w:w="208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无进展循环</w:t>
            </w:r>
          </w:p>
        </w:tc>
        <w:tc>
          <w:tcPr>
            <w:tcW w:type="dxa" w:w="180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原最大迭代</w:t>
            </w:r>
          </w:p>
        </w:tc>
        <w:tc>
          <w:tcPr>
            <w:tcW w:type="dxa" w:w="2448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记录循环</w:t>
            </w:r>
          </w:p>
        </w:tc>
        <w:tc>
          <w:tcPr>
            <w:tcW w:type="dxa" w:w="187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阈值处阻断</w:t>
            </w:r>
          </w:p>
        </w:tc>
        <w:tc>
          <w:tcPr>
            <w:tcW w:type="dxa" w:w="2304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阈值处终止或一次重规划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结果不完整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原行为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记录失败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阻断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7"/>
              </w:rPr>
              <w:t>一次重规划后重新校验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32"/>
        </w:rPr>
        <w:t>9.3 安全与兼容验收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Harness 不能绕过已有授权、审批、项目隔离、工具禁用和敏感路径规则。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事件和报告不得包含明文凭据、Authorization Header、完整密钥或未经处理的敏感响应。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非幂等写工具在请求已发送且结果未知时不得自动重试。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旧请求、旧持久任务和旧历史数据可以按 OFF 正常读取和执行。</w:t>
      </w:r>
    </w:p>
    <w:p>
      <w:pPr>
        <w:ind w:left="369" w:hanging="255"/>
      </w:pPr>
      <w:r>
        <w:rPr>
          <w:rFonts w:ascii="Arial" w:hAnsi="Arial" w:eastAsia="Microsoft YaHei"/>
          <w:b w:val="0"/>
          <w:color w:val="111111"/>
          <w:sz w:val="21"/>
        </w:rPr>
        <w:t xml:space="preserve">• </w:t>
      </w:r>
      <w:r>
        <w:rPr>
          <w:rFonts w:ascii="Arial" w:hAnsi="Arial" w:eastAsia="Microsoft YaHei"/>
          <w:color w:val="111111"/>
          <w:sz w:val="21"/>
        </w:rPr>
        <w:t>队列任务的策略由创建时快照决定，不受执行时默认配置变化影响。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10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108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6552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1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OpenJiuwen 执行能力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执行器 注册 配置 错误映射和真实调用示例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2</w:t>
            </w:r>
          </w:p>
        </w:tc>
        <w:tc>
          <w:tcPr>
            <w:tcW w:type="dxa" w:w="28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Harness Runtime</w:t>
            </w:r>
          </w:p>
        </w:tc>
        <w:tc>
          <w:tcPr>
            <w:tcW w:type="dxa" w:w="655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模式 状态 Validator Tool Guard Diagnosis Recovery Budget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数据链路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Python 与 Go 契约 队列快照 Metadata 持久化 历史还原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4</w:t>
            </w:r>
          </w:p>
        </w:tc>
        <w:tc>
          <w:tcPr>
            <w:tcW w:type="dxa" w:w="28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前端功能</w:t>
            </w:r>
          </w:p>
        </w:tc>
        <w:tc>
          <w:tcPr>
            <w:tcW w:type="dxa" w:w="655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运行设置 Harness 详情 状态时间线和报告展示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评测材料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正常与故障数据集 对照结果 指标摘要</w:t>
            </w:r>
          </w:p>
        </w:tc>
      </w:tr>
      <w:tr>
        <w:trPr>
          <w:cantSplit/>
        </w:trPr>
        <w:tc>
          <w:tcPr>
            <w:tcW w:type="dxa" w:w="10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6</w:t>
            </w:r>
          </w:p>
        </w:tc>
        <w:tc>
          <w:tcPr>
            <w:tcW w:type="dxa" w:w="288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演示材料</w:t>
            </w:r>
          </w:p>
        </w:tc>
        <w:tc>
          <w:tcPr>
            <w:tcW w:type="dxa" w:w="6552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Internal HTTP MCP 三类工具纵向 Demo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7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运维说明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配置 启停 监控 脱敏 边界和常见问题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36"/>
        </w:rPr>
        <w:t>11 风险与待确认事项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56"/>
        <w:gridCol w:w="3156"/>
        <w:gridCol w:w="3156"/>
      </w:tblGrid>
      <w:tr>
        <w:trPr>
          <w:tblHeader w:val="true"/>
          <w:cantSplit/>
        </w:trPr>
        <w:tc>
          <w:tcPr>
            <w:tcW w:type="dxa" w:w="2520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89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当前建议</w:t>
            </w:r>
          </w:p>
        </w:tc>
        <w:tc>
          <w:tcPr>
            <w:tcW w:type="dxa" w:w="3096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需要确认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OpenJiuwen SDK 版本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开发开始时锁定单一版本并写入部署配置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目标版本与运行环境</w:t>
            </w:r>
          </w:p>
        </w:tc>
      </w:tr>
      <w:tr>
        <w:trPr>
          <w:cantSplit/>
        </w:trPr>
        <w:tc>
          <w:tcPr>
            <w:tcW w:type="dxa" w:w="25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默认 Harness 模式</w:t>
            </w:r>
          </w:p>
        </w:tc>
        <w:tc>
          <w:tcPr>
            <w:tcW w:type="dxa" w:w="48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系统默认 OFF，项目可配置默认值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灰度阶段是否默认 OBSERVE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结果 Schema 来源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优先由工具和任务显式配置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哪些核心任务必须配置</w:t>
            </w:r>
          </w:p>
        </w:tc>
      </w:tr>
      <w:tr>
        <w:trPr>
          <w:cantSplit/>
        </w:trPr>
        <w:tc>
          <w:tcPr>
            <w:tcW w:type="dxa" w:w="25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副作用等级</w:t>
            </w:r>
          </w:p>
        </w:tc>
        <w:tc>
          <w:tcPr>
            <w:tcW w:type="dxa" w:w="48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工具注册时必填，旧工具默认 UNKNOWN 并禁止自动写重试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旧工具补录计划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Report 保存期限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跟随任务现有数据保留策略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是否需要单独归档</w:t>
            </w:r>
          </w:p>
        </w:tc>
      </w:tr>
      <w:tr>
        <w:trPr>
          <w:cantSplit/>
        </w:trPr>
        <w:tc>
          <w:tcPr>
            <w:tcW w:type="dxa" w:w="2520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远端 Agent 工具边界</w:t>
            </w:r>
          </w:p>
        </w:tc>
        <w:tc>
          <w:tcPr>
            <w:tcW w:type="dxa" w:w="48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明确标记 UNGUARDED_REMOTE</w:t>
            </w:r>
          </w:p>
        </w:tc>
        <w:tc>
          <w:tcPr>
            <w:tcW w:type="dxa" w:w="3096"/>
            <w:shd w:fill="F1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是否要求远端接入统一 Guard 协议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性能门槛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首期记录 P50 P95 后再定硬门槛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111111"/>
                <w:sz w:val="19"/>
              </w:rPr>
              <w:t>生产目标和压测规模</w:t>
            </w:r>
          </w:p>
        </w:tc>
      </w:tr>
    </w:tbl>
    <w:p>
      <w:pPr>
        <w:spacing w:after="40"/>
      </w:pPr>
    </w:p>
    <w:p>
      <w:pPr>
        <w:spacing w:line="336" w:lineRule="auto" w:after="100"/>
      </w:pPr>
      <w:r>
        <w:rPr>
          <w:rFonts w:ascii="Arial" w:hAnsi="Arial" w:eastAsia="Microsoft YaHei"/>
          <w:color w:val="111111"/>
          <w:sz w:val="21"/>
        </w:rPr>
        <w:t>本需求的第一验收目标是完成一个真实纵向样例：OpenJiuwen 调用受管工具，Harness 发现预置故障，输出结构化诊断，在预算和副作用规则允许时完成恢复，否则明确终止，并生成可持久化、可展示、可复验的报告。</w:t>
      </w:r>
    </w:p>
    <w:sectPr>
      <w:footerReference w:type="default" r:id="rId3"/>
      <w:headerReference w:type="default" r:id="rId17"/>
      <w:pgSz w:orient="portrait" w:h="16838" w:w="11906"/>
      <w:pgMar w:top="1077" w:bottom="1077" w:left="1219" w:right="1219" w:header="454" w:footer="454"/>
    </w:sectPr>
  </w:body>
</w:document>
</file>

<file path=word/comments.xml><?xml version="1.0" encoding="utf-8"?>
<w:comments xmlns:w="http://schemas.openxmlformats.org/wordprocessingml/2006/main">
  <w:comment w:id="1" w:date="2026-09-09T19:59:06.000+08:00" w:author="陈相礼">
    <w:p>
      <w:r>
        <w:t>确认余额不足或积点到期时，是否拒绝新任务、暂停周期任务、停止存储写入，存量数据是否继续收费？任务提交时余额充足、执行时不足，以及多项目并发扣同一账户时如何处理？请明确是否预留额度、是否允许负余额、补款恢复规则。</w:t>
      </w:r>
    </w:p>
  </w:comment>
  <w:comment w:id="2" w:date="2026-09-10T09:15:50.000+08:00" w:author="倪晓晖">
    <w:p>
      <w:r>
        <w:t>1. 余额不足时，拒绝新任务、周期任务，存储数据继续收费，余额为负数；
2. 任务执行前检查一下额度，如果为正执行，为负就拒绝，并返回“账户余额不足，请联系商务”
3. 多项目并发，同2。
4. 不预留额度，超出部分作为客户欠费。
5. 用户充值后，优先抵扣欠款，剩余款项继续正常提供服务。</w:t>
      </w:r>
    </w:p>
  </w:comment>
  <w:comment w:id="3" w:date="2026-09-09T20:02:16.000+08:00" w:author="陈相礼">
    <w:p>
      <w:r>
        <w:t>项目禁用、密钥停用/过期后，已签发 token 多久失效？</w:t>
      </w:r>
    </w:p>
  </w:comment>
  <w:comment w:id="4" w:date="2026-09-10T09:16:31.000+08:00" w:author="倪晓晖">
    <w:p>
      <w:r>
        <w:t>立即失效</w:t>
      </w:r>
    </w:p>
  </w:comment>
  <w:comment w:id="5" w:date="2026-09-09T19:49:08.000+08:00" w:author="陈相礼">
    <w:p>
      <w:r>
        <w:t>明确上报重试的去重规则、计量中心故障时的持久化补报、迟到事件和对账机制。验收至少覆盖重复上报不重复扣费、服务重启后不丢用量。</w:t>
      </w:r>
    </w:p>
  </w:comment>
  <w:comment w:id="6" w:date="2026-09-09T19:32:54.000+08:00" w:author="陈相礼">
    <w:p>
      <w:r>
        <w:t>后文：STORAGE-PV-PVDW-V1，哪个为准？</w:t>
      </w:r>
    </w:p>
  </w:comment>
  <w:comment w:id="7" w:date="2026-09-10T09:19:00.000+08:00" w:author="倪晓晖">
    <w:p>
      <w:r>
        <w:t>已修改，统一为STORAGE-PV-PVDW-V1</w:t>
      </w:r>
    </w:p>
  </w:comment>
  <w:comment w:id="8" w:date="2026-09-09T19:39:24.000+08:00" w:author="陈相礼">
    <w:p>
      <w:r>
        <w:t>与6.3.2.2产品计费配置项定义不一致？应该是这个为准吧？</w:t>
      </w:r>
    </w:p>
  </w:comment>
  <w:comment w:id="9" w:date="2026-09-10T09:19:29.000+08:00" w:author="倪晓晖">
    <w:p>
      <w:r>
        <w:t>是的，上面的是举例</w:t>
      </w:r>
    </w:p>
  </w:comment>
  <w:comment w:id="10" w:date="2026-09-09T19:51:10.000+08:00" w:author="陈相礼">
    <w:p>
      <w:r>
        <w:t>“任务执行时提交计量”指开始执行还是执行成功后？10 个场站仅 8 个成功时，计 8 次、10 次还是整批不计？流式诊断已经返回部分内容后断流、服务端完成但客户端超时、平台自动重试时如何判定收费？建议明确任务与收费状态的对应关系，区分客户重提请求和平台内部重试，给出完整成功、部分失败、断流三个账务示例。</w:t>
      </w:r>
    </w:p>
  </w:comment>
  <w:comment w:id="11" w:date="2026-09-10T09:57:54.000+08:00" w:author="倪晓晖">
    <w:p>
      <w:r>
        <w:t>已补充</w:t>
      </w:r>
    </w:p>
  </w:comment>
  <w:comment w:id="12" w:date="2026-09-09T19:43:50.000+08:00" w:author="陈相礼">
    <w:p>
      <w:r>
        <w:t>补充小时结算公式、容量采样方式及小数精度。如果采用正文规则，5GB 使用 1 小时是否扣 5/24 积点，5.2GB 是否先向上取整为 6GB？容量在小时内变化、开通不足一小时、停用后尚未释放时分别如何计算？</w:t>
      </w:r>
    </w:p>
  </w:comment>
  <w:comment w:id="13" w:date="2026-09-10T09:47:46.000+08:00" w:author="倪晓晖">
    <w:p>
      <w:r>
        <w:t>已补充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Microsoft YaHei"/>
        <w:color w:val="667085"/>
        <w:sz w:val="17"/>
      </w:rPr>
      <w:t xml:space="preserve">AgentMesh P37 Agent Harness 需求文档  |  第 </w:t>
    </w:r>
    <w:r>
      <w:rPr>
        <w:rFonts w:ascii="Arial" w:hAnsi="Arial" w:eastAsia="Microsoft YaHe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/>
</w:hdr>
</file>

<file path=word/numbering.xml><?xml version="1.0" encoding="utf-8"?>
<w:numbering xmlns:w="http://schemas.openxmlformats.org/wordprocessingml/2006/main">
  <w:abstractNum w:abstractNumId="387607">
    <w:lvl>
      <w:numFmt w:val="bullet"/>
      <w:suff w:val="tab"/>
      <w:lvlText w:val="•"/>
      <w:rPr>
        <w:color w:val="3370ff"/>
      </w:rPr>
    </w:lvl>
  </w:abstractNum>
  <w:abstractNum w:abstractNumId="387608">
    <w:lvl>
      <w:numFmt w:val="bullet"/>
      <w:suff w:val="tab"/>
      <w:lvlText w:val="•"/>
      <w:rPr>
        <w:color w:val="3370ff"/>
      </w:rPr>
    </w:lvl>
  </w:abstractNum>
  <w:abstractNum w:abstractNumId="387609">
    <w:lvl>
      <w:numFmt w:val="bullet"/>
      <w:suff w:val="tab"/>
      <w:lvlText w:val="•"/>
      <w:rPr>
        <w:color w:val="3370ff"/>
      </w:rPr>
    </w:lvl>
  </w:abstractNum>
  <w:abstractNum w:abstractNumId="387610">
    <w:lvl>
      <w:numFmt w:val="bullet"/>
      <w:suff w:val="tab"/>
      <w:lvlText w:val="•"/>
      <w:rPr>
        <w:color w:val="3370ff"/>
      </w:rPr>
    </w:lvl>
  </w:abstractNum>
  <w:abstractNum w:abstractNumId="387611">
    <w:lvl>
      <w:numFmt w:val="bullet"/>
      <w:suff w:val="tab"/>
      <w:lvlText w:val="•"/>
      <w:rPr>
        <w:color w:val="3370ff"/>
      </w:rPr>
    </w:lvl>
  </w:abstractNum>
  <w:abstractNum w:abstractNumId="387612">
    <w:lvl>
      <w:numFmt w:val="bullet"/>
      <w:suff w:val="tab"/>
      <w:lvlText w:val="•"/>
      <w:rPr>
        <w:color w:val="3370ff"/>
      </w:rPr>
    </w:lvl>
  </w:abstractNum>
  <w:abstractNum w:abstractNumId="387613">
    <w:lvl>
      <w:numFmt w:val="bullet"/>
      <w:suff w:val="tab"/>
      <w:lvlText w:val="•"/>
      <w:rPr>
        <w:color w:val="3370ff"/>
      </w:rPr>
    </w:lvl>
  </w:abstractNum>
  <w:abstractNum w:abstractNumId="387614">
    <w:lvl>
      <w:numFmt w:val="bullet"/>
      <w:suff w:val="tab"/>
      <w:lvlText w:val="•"/>
      <w:rPr>
        <w:color w:val="3370ff"/>
      </w:rPr>
    </w:lvl>
  </w:abstractNum>
  <w:abstractNum w:abstractNumId="387615">
    <w:lvl>
      <w:numFmt w:val="bullet"/>
      <w:suff w:val="tab"/>
      <w:lvlText w:val="•"/>
      <w:rPr>
        <w:color w:val="3370ff"/>
      </w:rPr>
    </w:lvl>
  </w:abstractNum>
  <w:abstractNum w:abstractNumId="387616">
    <w:lvl>
      <w:numFmt w:val="bullet"/>
      <w:suff w:val="tab"/>
      <w:lvlText w:val="•"/>
      <w:rPr>
        <w:color w:val="3370ff"/>
      </w:rPr>
    </w:lvl>
  </w:abstractNum>
  <w:abstractNum w:abstractNumId="387617">
    <w:lvl>
      <w:numFmt w:val="bullet"/>
      <w:suff w:val="tab"/>
      <w:lvlText w:val="•"/>
      <w:rPr>
        <w:color w:val="3370ff"/>
      </w:rPr>
    </w:lvl>
  </w:abstractNum>
  <w:abstractNum w:abstractNumId="387618">
    <w:lvl>
      <w:numFmt w:val="bullet"/>
      <w:suff w:val="tab"/>
      <w:lvlText w:val="•"/>
      <w:rPr>
        <w:color w:val="3370ff"/>
      </w:rPr>
    </w:lvl>
  </w:abstractNum>
  <w:abstractNum w:abstractNumId="387619">
    <w:lvl>
      <w:numFmt w:val="bullet"/>
      <w:suff w:val="tab"/>
      <w:lvlText w:val="•"/>
      <w:rPr>
        <w:color w:val="3370ff"/>
      </w:rPr>
    </w:lvl>
  </w:abstractNum>
  <w:abstractNum w:abstractNumId="387620">
    <w:lvl>
      <w:numFmt w:val="bullet"/>
      <w:suff w:val="tab"/>
      <w:lvlText w:val="•"/>
      <w:rPr>
        <w:color w:val="3370ff"/>
      </w:rPr>
    </w:lvl>
  </w:abstractNum>
  <w:abstractNum w:abstractNumId="387621">
    <w:lvl>
      <w:numFmt w:val="bullet"/>
      <w:suff w:val="tab"/>
      <w:lvlText w:val="•"/>
      <w:rPr>
        <w:color w:val="3370ff"/>
      </w:rPr>
    </w:lvl>
  </w:abstractNum>
  <w:abstractNum w:abstractNumId="387622">
    <w:lvl>
      <w:numFmt w:val="bullet"/>
      <w:suff w:val="tab"/>
      <w:lvlText w:val="•"/>
      <w:rPr>
        <w:color w:val="3370ff"/>
      </w:rPr>
    </w:lvl>
  </w:abstractNum>
  <w:abstractNum w:abstractNumId="387623">
    <w:lvl>
      <w:numFmt w:val="bullet"/>
      <w:suff w:val="tab"/>
      <w:lvlText w:val="•"/>
      <w:rPr>
        <w:color w:val="3370ff"/>
      </w:rPr>
    </w:lvl>
  </w:abstractNum>
  <w:abstractNum w:abstractNumId="387624">
    <w:lvl>
      <w:numFmt w:val="bullet"/>
      <w:suff w:val="tab"/>
      <w:lvlText w:val="•"/>
      <w:rPr>
        <w:color w:val="3370ff"/>
      </w:rPr>
    </w:lvl>
  </w:abstractNum>
  <w:abstractNum w:abstractNumId="387625">
    <w:lvl>
      <w:numFmt w:val="bullet"/>
      <w:suff w:val="tab"/>
      <w:lvlText w:val="•"/>
      <w:rPr>
        <w:color w:val="3370ff"/>
      </w:rPr>
    </w:lvl>
  </w:abstractNum>
  <w:abstractNum w:abstractNumId="387626">
    <w:lvl>
      <w:numFmt w:val="bullet"/>
      <w:suff w:val="tab"/>
      <w:lvlText w:val="•"/>
      <w:rPr>
        <w:color w:val="3370ff"/>
      </w:rPr>
    </w:lvl>
  </w:abstractNum>
  <w:abstractNum w:abstractNumId="387627">
    <w:lvl>
      <w:numFmt w:val="bullet"/>
      <w:suff w:val="tab"/>
      <w:lvlText w:val="•"/>
      <w:rPr>
        <w:color w:val="3370ff"/>
      </w:rPr>
    </w:lvl>
  </w:abstractNum>
  <w:abstractNum w:abstractNumId="387628">
    <w:lvl>
      <w:numFmt w:val="bullet"/>
      <w:suff w:val="tab"/>
      <w:lvlText w:val="•"/>
      <w:rPr>
        <w:color w:val="3370ff"/>
      </w:rPr>
    </w:lvl>
  </w:abstractNum>
  <w:abstractNum w:abstractNumId="387629">
    <w:lvl>
      <w:numFmt w:val="bullet"/>
      <w:suff w:val="tab"/>
      <w:lvlText w:val="•"/>
      <w:rPr>
        <w:color w:val="3370ff"/>
      </w:rPr>
    </w:lvl>
  </w:abstractNum>
  <w:abstractNum w:abstractNumId="387630">
    <w:lvl>
      <w:numFmt w:val="bullet"/>
      <w:suff w:val="tab"/>
      <w:lvlText w:val="•"/>
      <w:rPr>
        <w:color w:val="3370ff"/>
      </w:rPr>
    </w:lvl>
  </w:abstractNum>
  <w:abstractNum w:abstractNumId="387631">
    <w:lvl>
      <w:numFmt w:val="bullet"/>
      <w:suff w:val="tab"/>
      <w:lvlText w:val="•"/>
      <w:rPr>
        <w:color w:val="3370ff"/>
      </w:rPr>
    </w:lvl>
  </w:abstractNum>
  <w:abstractNum w:abstractNumId="387632">
    <w:lvl>
      <w:numFmt w:val="bullet"/>
      <w:suff w:val="tab"/>
      <w:lvlText w:val="•"/>
      <w:rPr>
        <w:color w:val="3370ff"/>
      </w:rPr>
    </w:lvl>
  </w:abstractNum>
  <w:abstractNum w:abstractNumId="387633">
    <w:lvl>
      <w:numFmt w:val="bullet"/>
      <w:suff w:val="tab"/>
      <w:lvlText w:val="•"/>
      <w:rPr>
        <w:color w:val="3370ff"/>
      </w:rPr>
    </w:lvl>
  </w:abstractNum>
  <w:abstractNum w:abstractNumId="387634">
    <w:lvl>
      <w:numFmt w:val="bullet"/>
      <w:suff w:val="tab"/>
      <w:lvlText w:val="•"/>
      <w:rPr>
        <w:color w:val="3370ff"/>
      </w:rPr>
    </w:lvl>
  </w:abstractNum>
  <w:abstractNum w:abstractNumId="387635">
    <w:lvl>
      <w:numFmt w:val="bullet"/>
      <w:suff w:val="tab"/>
      <w:lvlText w:val="•"/>
      <w:rPr>
        <w:color w:val="3370ff"/>
      </w:rPr>
    </w:lvl>
  </w:abstractNum>
  <w:abstractNum w:abstractNumId="387636">
    <w:lvl>
      <w:numFmt w:val="bullet"/>
      <w:suff w:val="tab"/>
      <w:lvlText w:val="•"/>
      <w:rPr>
        <w:color w:val="3370ff"/>
      </w:rPr>
    </w:lvl>
  </w:abstractNum>
  <w:abstractNum w:abstractNumId="387637">
    <w:lvl>
      <w:numFmt w:val="bullet"/>
      <w:suff w:val="tab"/>
      <w:lvlText w:val="•"/>
      <w:rPr>
        <w:color w:val="3370ff"/>
      </w:rPr>
    </w:lvl>
  </w:abstractNum>
  <w:abstractNum w:abstractNumId="387638">
    <w:lvl>
      <w:numFmt w:val="bullet"/>
      <w:suff w:val="tab"/>
      <w:lvlText w:val="•"/>
      <w:rPr>
        <w:color w:val="3370ff"/>
      </w:rPr>
    </w:lvl>
  </w:abstractNum>
  <w:abstractNum w:abstractNumId="387639">
    <w:lvl>
      <w:numFmt w:val="bullet"/>
      <w:suff w:val="tab"/>
      <w:lvlText w:val="•"/>
      <w:rPr>
        <w:color w:val="3370ff"/>
      </w:rPr>
    </w:lvl>
  </w:abstractNum>
  <w:abstractNum w:abstractNumId="387640">
    <w:lvl>
      <w:numFmt w:val="bullet"/>
      <w:suff w:val="tab"/>
      <w:lvlText w:val="•"/>
      <w:rPr>
        <w:color w:val="3370ff"/>
      </w:rPr>
    </w:lvl>
  </w:abstractNum>
  <w:abstractNum w:abstractNumId="387641">
    <w:lvl>
      <w:numFmt w:val="bullet"/>
      <w:suff w:val="tab"/>
      <w:lvlText w:val="•"/>
      <w:rPr>
        <w:color w:val="3370ff"/>
      </w:rPr>
    </w:lvl>
  </w:abstractNum>
  <w:abstractNum w:abstractNumId="387642">
    <w:lvl>
      <w:numFmt w:val="bullet"/>
      <w:suff w:val="tab"/>
      <w:lvlText w:val="•"/>
      <w:rPr>
        <w:color w:val="3370ff"/>
      </w:rPr>
    </w:lvl>
  </w:abstractNum>
  <w:abstractNum w:abstractNumId="387643">
    <w:lvl>
      <w:numFmt w:val="bullet"/>
      <w:suff w:val="tab"/>
      <w:lvlText w:val="•"/>
      <w:rPr>
        <w:color w:val="3370ff"/>
      </w:rPr>
    </w:lvl>
  </w:abstractNum>
  <w:abstractNum w:abstractNumId="387644">
    <w:lvl>
      <w:numFmt w:val="bullet"/>
      <w:suff w:val="tab"/>
      <w:lvlText w:val="•"/>
      <w:rPr>
        <w:color w:val="3370ff"/>
      </w:rPr>
    </w:lvl>
  </w:abstractNum>
  <w:abstractNum w:abstractNumId="387645">
    <w:lvl>
      <w:numFmt w:val="bullet"/>
      <w:suff w:val="tab"/>
      <w:lvlText w:val="•"/>
      <w:rPr>
        <w:color w:val="3370ff"/>
      </w:rPr>
    </w:lvl>
  </w:abstractNum>
  <w:abstractNum w:abstractNumId="387646">
    <w:lvl>
      <w:numFmt w:val="bullet"/>
      <w:suff w:val="tab"/>
      <w:lvlText w:val="•"/>
      <w:rPr>
        <w:color w:val="3370ff"/>
      </w:rPr>
    </w:lvl>
  </w:abstractNum>
  <w:abstractNum w:abstractNumId="387647">
    <w:lvl>
      <w:numFmt w:val="bullet"/>
      <w:suff w:val="tab"/>
      <w:lvlText w:val="•"/>
      <w:rPr>
        <w:color w:val="3370ff"/>
      </w:rPr>
    </w:lvl>
  </w:abstractNum>
  <w:abstractNum w:abstractNumId="387648">
    <w:lvl>
      <w:numFmt w:val="bullet"/>
      <w:suff w:val="tab"/>
      <w:lvlText w:val="•"/>
      <w:rPr>
        <w:color w:val="3370ff"/>
      </w:rPr>
    </w:lvl>
  </w:abstractNum>
  <w:abstractNum w:abstractNumId="387649">
    <w:lvl>
      <w:numFmt w:val="bullet"/>
      <w:suff w:val="tab"/>
      <w:lvlText w:val="•"/>
      <w:rPr>
        <w:color w:val="3370ff"/>
      </w:rPr>
    </w:lvl>
  </w:abstractNum>
  <w:abstractNum w:abstractNumId="387650">
    <w:lvl>
      <w:numFmt w:val="bullet"/>
      <w:suff w:val="tab"/>
      <w:lvlText w:val="•"/>
      <w:rPr>
        <w:color w:val="3370ff"/>
      </w:rPr>
    </w:lvl>
  </w:abstractNum>
  <w:abstractNum w:abstractNumId="387651">
    <w:lvl>
      <w:numFmt w:val="bullet"/>
      <w:suff w:val="tab"/>
      <w:lvlText w:val="•"/>
      <w:rPr>
        <w:color w:val="3370ff"/>
      </w:rPr>
    </w:lvl>
  </w:abstractNum>
  <w:abstractNum w:abstractNumId="387652">
    <w:lvl>
      <w:numFmt w:val="bullet"/>
      <w:suff w:val="tab"/>
      <w:lvlText w:val="•"/>
      <w:rPr>
        <w:color w:val="3370ff"/>
      </w:rPr>
    </w:lvl>
  </w:abstractNum>
  <w:abstractNum w:abstractNumId="387653">
    <w:lvl>
      <w:numFmt w:val="bullet"/>
      <w:suff w:val="tab"/>
      <w:lvlText w:val="•"/>
      <w:rPr>
        <w:color w:val="3370ff"/>
      </w:rPr>
    </w:lvl>
  </w:abstractNum>
  <w:abstractNum w:abstractNumId="387654">
    <w:lvl>
      <w:numFmt w:val="bullet"/>
      <w:suff w:val="tab"/>
      <w:lvlText w:val="•"/>
      <w:rPr>
        <w:color w:val="3370ff"/>
      </w:rPr>
    </w:lvl>
  </w:abstractNum>
  <w:abstractNum w:abstractNumId="387655">
    <w:lvl>
      <w:numFmt w:val="bullet"/>
      <w:suff w:val="tab"/>
      <w:lvlText w:val="•"/>
      <w:rPr>
        <w:color w:val="3370ff"/>
      </w:rPr>
    </w:lvl>
  </w:abstractNum>
  <w:abstractNum w:abstractNumId="387656">
    <w:lvl>
      <w:numFmt w:val="bullet"/>
      <w:suff w:val="tab"/>
      <w:lvlText w:val="•"/>
      <w:rPr>
        <w:color w:val="3370ff"/>
      </w:rPr>
    </w:lvl>
  </w:abstractNum>
  <w:abstractNum w:abstractNumId="387657">
    <w:lvl>
      <w:numFmt w:val="bullet"/>
      <w:suff w:val="tab"/>
      <w:lvlText w:val="•"/>
      <w:rPr>
        <w:color w:val="3370ff"/>
      </w:rPr>
    </w:lvl>
  </w:abstractNum>
  <w:abstractNum w:abstractNumId="387658">
    <w:lvl>
      <w:numFmt w:val="bullet"/>
      <w:suff w:val="tab"/>
      <w:lvlText w:val="•"/>
      <w:rPr>
        <w:color w:val="3370ff"/>
      </w:rPr>
    </w:lvl>
  </w:abstractNum>
  <w:abstractNum w:abstractNumId="387659">
    <w:lvl>
      <w:numFmt w:val="bullet"/>
      <w:suff w:val="tab"/>
      <w:lvlText w:val="•"/>
      <w:rPr>
        <w:color w:val="3370ff"/>
      </w:rPr>
    </w:lvl>
  </w:abstractNum>
  <w:abstractNum w:abstractNumId="387660">
    <w:lvl>
      <w:numFmt w:val="bullet"/>
      <w:suff w:val="tab"/>
      <w:lvlText w:val="￮"/>
      <w:rPr>
        <w:color w:val="3370ff"/>
      </w:rPr>
    </w:lvl>
  </w:abstractNum>
  <w:abstractNum w:abstractNumId="387661">
    <w:lvl>
      <w:numFmt w:val="bullet"/>
      <w:suff w:val="tab"/>
      <w:lvlText w:val="￮"/>
      <w:rPr>
        <w:color w:val="3370ff"/>
      </w:rPr>
    </w:lvl>
  </w:abstractNum>
  <w:abstractNum w:abstractNumId="387662">
    <w:lvl>
      <w:numFmt w:val="bullet"/>
      <w:suff w:val="tab"/>
      <w:lvlText w:val="￮"/>
      <w:rPr>
        <w:color w:val="3370ff"/>
      </w:rPr>
    </w:lvl>
  </w:abstractNum>
  <w:abstractNum w:abstractNumId="387663">
    <w:lvl>
      <w:numFmt w:val="bullet"/>
      <w:suff w:val="tab"/>
      <w:lvlText w:val="￮"/>
      <w:rPr>
        <w:color w:val="3370ff"/>
      </w:rPr>
    </w:lvl>
  </w:abstractNum>
  <w:abstractNum w:abstractNumId="387664">
    <w:lvl>
      <w:numFmt w:val="bullet"/>
      <w:suff w:val="tab"/>
      <w:lvlText w:val="￮"/>
      <w:rPr>
        <w:color w:val="3370ff"/>
      </w:rPr>
    </w:lvl>
  </w:abstractNum>
  <w:abstractNum w:abstractNumId="387665">
    <w:lvl>
      <w:numFmt w:val="bullet"/>
      <w:suff w:val="tab"/>
      <w:lvlText w:val="￮"/>
      <w:rPr>
        <w:color w:val="3370ff"/>
      </w:rPr>
    </w:lvl>
  </w:abstractNum>
  <w:abstractNum w:abstractNumId="387666">
    <w:lvl>
      <w:numFmt w:val="bullet"/>
      <w:suff w:val="tab"/>
      <w:lvlText w:val="•"/>
      <w:rPr>
        <w:color w:val="3370ff"/>
      </w:rPr>
    </w:lvl>
  </w:abstractNum>
  <w:abstractNum w:abstractNumId="387667">
    <w:lvl>
      <w:numFmt w:val="bullet"/>
      <w:suff w:val="tab"/>
      <w:lvlText w:val="￮"/>
      <w:rPr>
        <w:color w:val="3370ff"/>
      </w:rPr>
    </w:lvl>
  </w:abstractNum>
  <w:abstractNum w:abstractNumId="387668">
    <w:lvl>
      <w:numFmt w:val="bullet"/>
      <w:suff w:val="tab"/>
      <w:lvlText w:val="￮"/>
      <w:rPr>
        <w:color w:val="3370ff"/>
      </w:rPr>
    </w:lvl>
  </w:abstractNum>
  <w:abstractNum w:abstractNumId="387669">
    <w:lvl>
      <w:numFmt w:val="bullet"/>
      <w:suff w:val="tab"/>
      <w:lvlText w:val="•"/>
      <w:rPr>
        <w:color w:val="3370ff"/>
      </w:rPr>
    </w:lvl>
  </w:abstractNum>
  <w:abstractNum w:abstractNumId="387670">
    <w:lvl>
      <w:numFmt w:val="bullet"/>
      <w:suff w:val="tab"/>
      <w:lvlText w:val="￮"/>
      <w:rPr>
        <w:color w:val="3370ff"/>
      </w:rPr>
    </w:lvl>
  </w:abstractNum>
  <w:abstractNum w:abstractNumId="387671">
    <w:lvl>
      <w:numFmt w:val="bullet"/>
      <w:suff w:val="space"/>
      <w:lvlText w:val="□"/>
      <w:lvlText w:val="☑"/>
    </w:lvl>
  </w:abstractNum>
  <w:abstractNum w:abstractNumId="387672">
    <w:lvl>
      <w:numFmt w:val="bullet"/>
      <w:suff w:val="space"/>
      <w:lvlText w:val="□"/>
      <w:lvlText w:val="☑"/>
    </w:lvl>
  </w:abstractNum>
  <w:abstractNum w:abstractNumId="387673">
    <w:lvl>
      <w:numFmt w:val="bullet"/>
      <w:suff w:val="space"/>
      <w:lvlText w:val="□"/>
      <w:lvlText w:val="☑"/>
    </w:lvl>
  </w:abstractNum>
  <w:abstractNum w:abstractNumId="387674">
    <w:lvl>
      <w:numFmt w:val="bullet"/>
      <w:suff w:val="space"/>
      <w:lvlText w:val="□"/>
      <w:lvlText w:val="☑"/>
    </w:lvl>
  </w:abstractNum>
  <w:abstractNum w:abstractNumId="387675">
    <w:lvl>
      <w:numFmt w:val="bullet"/>
      <w:suff w:val="space"/>
      <w:lvlText w:val="□"/>
      <w:lvlText w:val="☑"/>
    </w:lvl>
  </w:abstractNum>
  <w:abstractNum w:abstractNumId="387676">
    <w:lvl>
      <w:numFmt w:val="bullet"/>
      <w:suff w:val="space"/>
      <w:lvlText w:val="□"/>
      <w:lvlText w:val="☑"/>
    </w:lvl>
  </w:abstractNum>
  <w:abstractNum w:abstractNumId="387677">
    <w:lvl>
      <w:numFmt w:val="bullet"/>
      <w:suff w:val="space"/>
      <w:lvlText w:val="□"/>
      <w:lvlText w:val="☑"/>
    </w:lvl>
  </w:abstractNum>
  <w:abstractNum w:abstractNumId="387678">
    <w:lvl>
      <w:numFmt w:val="bullet"/>
      <w:suff w:val="space"/>
      <w:lvlText w:val="□"/>
      <w:lvlText w:val="☑"/>
    </w:lvl>
  </w:abstractNum>
  <w:abstractNum w:abstractNumId="387679">
    <w:lvl>
      <w:numFmt w:val="bullet"/>
      <w:suff w:val="space"/>
      <w:lvlText w:val="□"/>
      <w:lvlText w:val="☑"/>
    </w:lvl>
  </w:abstractNum>
  <w:abstractNum w:abstractNumId="387680">
    <w:lvl>
      <w:numFmt w:val="bullet"/>
      <w:suff w:val="space"/>
      <w:lvlText w:val="□"/>
    </w:lvl>
  </w:abstractNum>
  <w:abstractNum w:abstractNumId="387681">
    <w:lvl>
      <w:numFmt w:val="bullet"/>
      <w:suff w:val="space"/>
      <w:lvlText w:val="□"/>
    </w:lvl>
  </w:abstractNum>
  <w:num w:numId="1">
    <w:abstractNumId w:val="387607"/>
  </w:num>
  <w:num w:numId="2">
    <w:abstractNumId w:val="387608"/>
  </w:num>
  <w:num w:numId="3">
    <w:abstractNumId w:val="387609"/>
  </w:num>
  <w:num w:numId="4">
    <w:abstractNumId w:val="387610"/>
  </w:num>
  <w:num w:numId="5">
    <w:abstractNumId w:val="387611"/>
  </w:num>
  <w:num w:numId="6">
    <w:abstractNumId w:val="387612"/>
  </w:num>
  <w:num w:numId="7">
    <w:abstractNumId w:val="387613"/>
  </w:num>
  <w:num w:numId="8">
    <w:abstractNumId w:val="387614"/>
  </w:num>
  <w:num w:numId="9">
    <w:abstractNumId w:val="387615"/>
  </w:num>
  <w:num w:numId="10">
    <w:abstractNumId w:val="387616"/>
  </w:num>
  <w:num w:numId="11">
    <w:abstractNumId w:val="387617"/>
  </w:num>
  <w:num w:numId="12">
    <w:abstractNumId w:val="387618"/>
  </w:num>
  <w:num w:numId="13">
    <w:abstractNumId w:val="387619"/>
  </w:num>
  <w:num w:numId="14">
    <w:abstractNumId w:val="387620"/>
  </w:num>
  <w:num w:numId="15">
    <w:abstractNumId w:val="387621"/>
  </w:num>
  <w:num w:numId="16">
    <w:abstractNumId w:val="387622"/>
  </w:num>
  <w:num w:numId="17">
    <w:abstractNumId w:val="387623"/>
  </w:num>
  <w:num w:numId="18">
    <w:abstractNumId w:val="387624"/>
  </w:num>
  <w:num w:numId="19">
    <w:abstractNumId w:val="387625"/>
  </w:num>
  <w:num w:numId="20">
    <w:abstractNumId w:val="387626"/>
  </w:num>
  <w:num w:numId="21">
    <w:abstractNumId w:val="387627"/>
  </w:num>
  <w:num w:numId="22">
    <w:abstractNumId w:val="387628"/>
  </w:num>
  <w:num w:numId="23">
    <w:abstractNumId w:val="387629"/>
  </w:num>
  <w:num w:numId="24">
    <w:abstractNumId w:val="387630"/>
  </w:num>
  <w:num w:numId="25">
    <w:abstractNumId w:val="387631"/>
  </w:num>
  <w:num w:numId="26">
    <w:abstractNumId w:val="387632"/>
  </w:num>
  <w:num w:numId="27">
    <w:abstractNumId w:val="387633"/>
  </w:num>
  <w:num w:numId="28">
    <w:abstractNumId w:val="387634"/>
  </w:num>
  <w:num w:numId="29">
    <w:abstractNumId w:val="387635"/>
  </w:num>
  <w:num w:numId="30">
    <w:abstractNumId w:val="387636"/>
  </w:num>
  <w:num w:numId="31">
    <w:abstractNumId w:val="387637"/>
  </w:num>
  <w:num w:numId="32">
    <w:abstractNumId w:val="387638"/>
  </w:num>
  <w:num w:numId="33">
    <w:abstractNumId w:val="387639"/>
  </w:num>
  <w:num w:numId="34">
    <w:abstractNumId w:val="387640"/>
  </w:num>
  <w:num w:numId="35">
    <w:abstractNumId w:val="387641"/>
  </w:num>
  <w:num w:numId="36">
    <w:abstractNumId w:val="387642"/>
  </w:num>
  <w:num w:numId="37">
    <w:abstractNumId w:val="387643"/>
  </w:num>
  <w:num w:numId="38">
    <w:abstractNumId w:val="387644"/>
  </w:num>
  <w:num w:numId="39">
    <w:abstractNumId w:val="387645"/>
  </w:num>
  <w:num w:numId="40">
    <w:abstractNumId w:val="387646"/>
  </w:num>
  <w:num w:numId="41">
    <w:abstractNumId w:val="387647"/>
  </w:num>
  <w:num w:numId="42">
    <w:abstractNumId w:val="387648"/>
  </w:num>
  <w:num w:numId="43">
    <w:abstractNumId w:val="387649"/>
  </w:num>
  <w:num w:numId="44">
    <w:abstractNumId w:val="387650"/>
  </w:num>
  <w:num w:numId="45">
    <w:abstractNumId w:val="387651"/>
  </w:num>
  <w:num w:numId="46">
    <w:abstractNumId w:val="387652"/>
  </w:num>
  <w:num w:numId="47">
    <w:abstractNumId w:val="387653"/>
  </w:num>
  <w:num w:numId="48">
    <w:abstractNumId w:val="387654"/>
  </w:num>
  <w:num w:numId="49">
    <w:abstractNumId w:val="387655"/>
  </w:num>
  <w:num w:numId="50">
    <w:abstractNumId w:val="387656"/>
  </w:num>
  <w:num w:numId="51">
    <w:abstractNumId w:val="387657"/>
  </w:num>
  <w:num w:numId="52">
    <w:abstractNumId w:val="387658"/>
  </w:num>
  <w:num w:numId="53">
    <w:abstractNumId w:val="387659"/>
  </w:num>
  <w:num w:numId="54">
    <w:abstractNumId w:val="387660"/>
  </w:num>
  <w:num w:numId="55">
    <w:abstractNumId w:val="387661"/>
  </w:num>
  <w:num w:numId="56">
    <w:abstractNumId w:val="387662"/>
  </w:num>
  <w:num w:numId="57">
    <w:abstractNumId w:val="387663"/>
  </w:num>
  <w:num w:numId="58">
    <w:abstractNumId w:val="387664"/>
  </w:num>
  <w:num w:numId="59">
    <w:abstractNumId w:val="387665"/>
  </w:num>
  <w:num w:numId="60">
    <w:abstractNumId w:val="387666"/>
  </w:num>
  <w:num w:numId="61">
    <w:abstractNumId w:val="387667"/>
  </w:num>
  <w:num w:numId="62">
    <w:abstractNumId w:val="387668"/>
  </w:num>
  <w:num w:numId="63">
    <w:abstractNumId w:val="387669"/>
  </w:num>
  <w:num w:numId="64">
    <w:abstractNumId w:val="387670"/>
  </w:num>
  <w:num w:numId="65">
    <w:abstractNumId w:val="387671"/>
  </w:num>
  <w:num w:numId="66">
    <w:abstractNumId w:val="387672"/>
  </w:num>
  <w:num w:numId="67">
    <w:abstractNumId w:val="387673"/>
  </w:num>
  <w:num w:numId="68">
    <w:abstractNumId w:val="387674"/>
  </w:num>
  <w:num w:numId="69">
    <w:abstractNumId w:val="387675"/>
  </w:num>
  <w:num w:numId="70">
    <w:abstractNumId w:val="387676"/>
  </w:num>
  <w:num w:numId="71">
    <w:abstractNumId w:val="387677"/>
  </w:num>
  <w:num w:numId="72">
    <w:abstractNumId w:val="387678"/>
  </w:num>
  <w:num w:numId="73">
    <w:abstractNumId w:val="387679"/>
  </w:num>
  <w:num w:numId="74">
    <w:abstractNumId w:val="387680"/>
  </w:num>
  <w:num w:numId="75">
    <w:abstractNumId w:val="38768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customStyle="1" w:styleId="Normal" w:default="1">
    <w:name w:val="Normal"/>
    <w:pPr>
      <w:spacing w:after="100" w:line="336" w:lineRule="auto"/>
    </w:pPr>
    <w:rPr>
      <w:rFonts w:ascii="Arial" w:hAnsi="Arial" w:eastAsia="Microsoft YaHei"/>
      <w:color w:val="111111"/>
      <w:sz w:val="21"/>
    </w:rPr>
  </w:style>
  <w:style w:type="paragraph" w:customStyle="1" w:styleId="Title">
    <w:name w:val="Title"/>
    <w:pPr>
      <w:spacing w:before="1200" w:after="560" w:line="264" w:lineRule="auto"/>
    </w:pPr>
    <w:rPr>
      <w:rFonts w:ascii="Arial" w:hAnsi="Arial" w:eastAsia="Microsoft YaHei"/>
      <w:b/>
      <w:color w:val="000000"/>
      <w:sz w:val="52"/>
    </w:rPr>
  </w:style>
  <w:style w:type="paragraph" w:customStyle="1" w:styleId="Heading1">
    <w:name w:val="heading 1"/>
    <w:pPr>
      <w:keepNext/>
      <w:spacing w:before="240" w:after="120" w:line="288" w:lineRule="auto"/>
    </w:pPr>
    <w:rPr>
      <w:rFonts w:ascii="Arial" w:hAnsi="Arial" w:eastAsia="Microsoft YaHei"/>
      <w:b/>
      <w:color w:val="000000"/>
      <w:sz w:val="36"/>
    </w:rPr>
  </w:style>
  <w:style w:type="paragraph" w:customStyle="1" w:styleId="Heading2">
    <w:name w:val="heading 2"/>
    <w:pPr>
      <w:keepNext/>
      <w:spacing w:before="200" w:after="100" w:line="288" w:lineRule="auto"/>
    </w:pPr>
    <w:rPr>
      <w:rFonts w:ascii="Arial" w:hAnsi="Arial" w:eastAsia="Microsoft YaHei"/>
      <w:b/>
      <w:color w:val="000000"/>
      <w:sz w:val="32"/>
    </w:rPr>
  </w:style>
  <w:style w:type="paragraph" w:customStyle="1" w:styleId="Heading3">
    <w:name w:val="heading 3"/>
    <w:pPr>
      <w:keepNext/>
      <w:spacing w:before="160" w:after="80" w:line="288" w:lineRule="auto"/>
    </w:pPr>
    <w:rPr>
      <w:rFonts w:ascii="Arial" w:hAnsi="Arial" w:eastAsia="Microsoft YaHei"/>
      <w:b/>
      <w:color w:val="000000"/>
      <w:sz w:val="26"/>
    </w:rPr>
  </w:style>
  <w:style w:type="paragraph" w:customStyle="1" w:styleId="Heading4">
    <w:name w:val="heading 4"/>
    <w:pPr>
      <w:keepNext/>
      <w:spacing w:before="140" w:after="60" w:line="288" w:lineRule="auto"/>
    </w:pPr>
    <w:rPr>
      <w:rFonts w:ascii="Arial" w:hAnsi="Arial" w:eastAsia="Microsoft YaHei"/>
      <w:b/>
      <w:color w:val="000000"/>
      <w:sz w:val="23"/>
    </w:rPr>
  </w:style>
  <w:style w:type="paragraph" w:customStyle="1" w:styleId="ListBullet">
    <w:name w:val="List Bullet"/>
    <w:pPr>
      <w:spacing w:after="60" w:line="324" w:lineRule="auto"/>
    </w:pPr>
    <w:rPr>
      <w:rFonts w:ascii="Arial" w:hAnsi="Arial" w:eastAsia="Microsoft YaHei"/>
      <w:sz w:val="21"/>
    </w:rPr>
  </w:style>
  <w:style w:type="paragraph" w:customStyle="1" w:styleId="ListNumber">
    <w:name w:val="List Number"/>
    <w:pPr>
      <w:spacing w:after="60" w:line="324" w:lineRule="auto"/>
    </w:pPr>
    <w:rPr>
      <w:rFonts w:ascii="Arial" w:hAnsi="Arial" w:eastAsia="Microsoft YaHei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yperlink" Target="https://zzxiyuan.feishu.cn/wiki/GGU3wTHEaiX1iHkqLRFcRDyfnNg" TargetMode="External"/><Relationship Id="rId15" Type="http://schemas.openxmlformats.org/officeDocument/2006/relationships/image" Target="media/image7.jpeg"/><Relationship Id="rId16" Type="http://schemas.openxmlformats.org/officeDocument/2006/relationships/hyperlink" Target="https://zzxiyuan.feishu.cn/wiki/GGU3wTHEaiX1iHkqLRFcRDyfnN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hyperlink" Target="https://zzxiyuan.feishu.cn/wiki/MJWqwgKz5iWMv1kItV2cCrKunEc" TargetMode="Externa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package" Target="embeddings/Microsoft_Excel_Worksheet1.xlsx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2026-09-14T08:40:34Z</dcterms:created>
  <dc:creator/>
  <dc:title>AgentMesh P37 Agent Harness 需求文档</dc:title>
  <dc:subject>P37 Agent Harness 最小可实现需求与开发步骤</dc:subject>
  <cp:keywords>AgentMesh, P37, Agent Harness, OpenJiuwen</cp:keywords>
</cp:coreProperties>
</file>