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3C04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Pearson&amp;Spearman相关分析</w:t>
      </w:r>
    </w:p>
    <w:p w14:paraId="08502CC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一、模型核心定位</w:t>
      </w:r>
      <w:bookmarkEnd w:id="0"/>
    </w:p>
    <w:p w14:paraId="01FB49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：数据预处理 &amp; 变量关联性探索</w:t>
      </w:r>
    </w:p>
    <w:p w14:paraId="6B4018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论文放置位置</w:t>
      </w:r>
      <w:r>
        <w:rPr>
          <w:rFonts w:ascii="Arial" w:hAnsi="Arial" w:eastAsia="等线" w:cs="Arial"/>
          <w:sz w:val="22"/>
        </w:rPr>
        <w:t>：第三章 数据分析与预处理</w:t>
      </w:r>
    </w:p>
    <w:p w14:paraId="3A17B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：量化两个可量化变量的关联强弱、正负趋势，筛查多重共线性，为回归、预测、优化模型的变量筛选提供依据。</w:t>
      </w:r>
    </w:p>
    <w:p w14:paraId="55630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国赛核心禁忌</w:t>
      </w:r>
      <w:r>
        <w:rPr>
          <w:rFonts w:ascii="Arial" w:hAnsi="Arial" w:eastAsia="等线" w:cs="Arial"/>
          <w:sz w:val="22"/>
        </w:rPr>
        <w:t>：相关分析仅体现</w:t>
      </w:r>
      <w:r>
        <w:rPr>
          <w:rFonts w:ascii="Arial" w:hAnsi="Arial" w:eastAsia="等线" w:cs="Arial"/>
          <w:b/>
          <w:sz w:val="22"/>
        </w:rPr>
        <w:t>统计关联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不代表因果关系</w:t>
      </w:r>
      <w:r>
        <w:rPr>
          <w:rFonts w:ascii="Arial" w:hAnsi="Arial" w:eastAsia="等线" w:cs="Arial"/>
          <w:sz w:val="22"/>
        </w:rPr>
        <w:t>，绝对不能用于推导问题结论，仅做前期数据探索。</w:t>
      </w:r>
    </w:p>
    <w:p w14:paraId="247A816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二、国赛精准适用场景</w:t>
      </w:r>
      <w:bookmarkEnd w:id="1"/>
    </w:p>
    <w:p w14:paraId="61C5C81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必用场景</w:t>
      </w:r>
      <w:bookmarkEnd w:id="2"/>
    </w:p>
    <w:p w14:paraId="7CB66E5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多指标经济/生产数据关联分析：产量-收益、成本-损耗、投入-产出</w:t>
      </w:r>
    </w:p>
    <w:p w14:paraId="303E8C4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筛查自变量多重共线性（回归模型前置必备）</w:t>
      </w:r>
    </w:p>
    <w:p w14:paraId="49B5FCC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探究变量之间的变化规律，解释数据内在联系</w:t>
      </w:r>
    </w:p>
    <w:p w14:paraId="3434661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环境、农业、交通类题目多维指标关联性挖掘</w:t>
      </w:r>
    </w:p>
    <w:p w14:paraId="570BBA6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区分使用规则</w:t>
      </w:r>
      <w:bookmarkEnd w:id="3"/>
    </w:p>
    <w:p w14:paraId="25E984B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Pearson系数</w:t>
      </w:r>
      <w:r>
        <w:rPr>
          <w:rFonts w:ascii="Arial" w:hAnsi="Arial" w:eastAsia="等线" w:cs="Arial"/>
          <w:sz w:val="22"/>
        </w:rPr>
        <w:t>：适用于【近似正态分布、线性变化】的连续量化变量</w:t>
      </w:r>
    </w:p>
    <w:p w14:paraId="00F1E40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Spearman系数</w:t>
      </w:r>
      <w:r>
        <w:rPr>
          <w:rFonts w:ascii="Arial" w:hAnsi="Arial" w:eastAsia="等线" w:cs="Arial"/>
          <w:sz w:val="22"/>
        </w:rPr>
        <w:t>：适用于【非正态、有异常值、非线性、仅单调升降】的量化变量</w:t>
      </w:r>
    </w:p>
    <w:p w14:paraId="0E109E4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三、数学原理与判定标准</w:t>
      </w:r>
      <w:bookmarkEnd w:id="4"/>
    </w:p>
    <w:p w14:paraId="217BC84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 Pearson皮尔逊相关系数（线性相关）</w:t>
      </w:r>
      <w:bookmarkEnd w:id="5"/>
    </w:p>
    <w:p w14:paraId="26CD8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用于衡量两个连续变量的</w:t>
      </w:r>
      <w:r>
        <w:rPr>
          <w:rFonts w:ascii="Arial" w:hAnsi="Arial" w:eastAsia="等线" w:cs="Arial"/>
          <w:b/>
          <w:sz w:val="22"/>
        </w:rPr>
        <w:t>线性相关程度</w:t>
      </w:r>
      <w:r>
        <w:rPr>
          <w:rFonts w:ascii="Arial" w:hAnsi="Arial" w:eastAsia="等线" w:cs="Arial"/>
          <w:sz w:val="22"/>
        </w:rPr>
        <w:t>。</w:t>
      </w:r>
    </w:p>
    <w:p w14:paraId="072A4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公式：</w:t>
      </w:r>
      <m:oMath>
        <m:r>
          <m:rPr/>
          <w:rPr>
            <w:rFonts w:ascii="Cambria Math" w:hAnsi="Cambria Math"/>
          </w:rPr>
          <m:t>r=</m:t>
        </m:r>
        <m:f>
          <m:fPr/>
          <m:num>
            <m:nary>
              <m:naryPr>
                <m:chr m:val="∑"/>
                <m:grow m:val="1"/>
                <m:limLoc m:val="undOvr"/>
              </m:naryPr>
              <m:sub>
                <m:r>
                  <m:rPr/>
                  <w:rPr>
                    <w:rFonts w:ascii="Cambria Math" w:hAnsi="Cambria Math"/>
                  </w:rPr>
                  <m:t>i=1</m:t>
                </m: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</m:sup>
              <m:e/>
            </m:nary>
            <m:r>
              <m:rPr/>
              <w:rPr>
                <w:rFonts w:ascii="Cambria Math" w:hAnsi="Cambria Math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</m:bar>
            <m:r>
              <m:rPr/>
              <w:rPr>
                <w:rFonts w:ascii="Cambria Math" w:hAnsi="Cambria Math"/>
              </w:rPr>
              <m:t>)(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</m:bar>
            <m:r>
              <m:rPr/>
              <w:rPr>
                <w:rFonts w:ascii="Cambria Math" w:hAnsi="Cambria Math"/>
              </w:rPr>
              <m:t>)</m:t>
            </m:r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m:rPr/>
                  <w:rPr>
                    <w:rFonts w:ascii="Cambria Math" w:hAnsi="Cambria Math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bar>
                  <m:barPr>
                    <m:pos m:val="top"/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</m:bar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nary>
                  <m:naryPr>
                    <m:chr m:val="∑"/>
                    <m:grow m:val="1"/>
                    <m:limLoc m:val="undOvr"/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m:rPr/>
                  <w:rPr>
                    <w:rFonts w:ascii="Cambria Math" w:hAnsi="Cambria Math"/>
                  </w:rPr>
                  <m:t>(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bar>
                  <m:barPr>
                    <m:pos m:val="top"/>
                  </m:bar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</m:bar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5389B7A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Spearman斯皮尔曼等级相关（单调相关）</w:t>
      </w:r>
      <w:bookmarkEnd w:id="6"/>
    </w:p>
    <w:p w14:paraId="2BFD4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基于变量排序等级计算相关性，不依赖数据分布，适配非线性单调趋势数据。</w:t>
      </w:r>
    </w:p>
    <w:p w14:paraId="32910A2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国赛统一判定标准</w:t>
      </w:r>
      <w:bookmarkEnd w:id="7"/>
    </w:p>
    <w:p w14:paraId="0ECD7415">
      <w:pPr>
        <w:numPr>
          <w:ilvl w:val="0"/>
          <w:numId w:val="7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|r|&gt;0.7</m:t>
        </m:r>
      </m:oMath>
      <w:r>
        <w:rPr>
          <w:rFonts w:ascii="Arial" w:hAnsi="Arial" w:eastAsia="等线" w:cs="Arial"/>
          <w:sz w:val="22"/>
        </w:rPr>
        <w:t>：强相关</w:t>
      </w:r>
    </w:p>
    <w:p w14:paraId="65DF0B6E">
      <w:pPr>
        <w:numPr>
          <w:ilvl w:val="0"/>
          <w:numId w:val="8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0.3&lt;|r|&lt;0.7</m:t>
        </m:r>
      </m:oMath>
      <w:r>
        <w:rPr>
          <w:rFonts w:ascii="Arial" w:hAnsi="Arial" w:eastAsia="等线" w:cs="Arial"/>
          <w:sz w:val="22"/>
        </w:rPr>
        <w:t>：中等相关</w:t>
      </w:r>
    </w:p>
    <w:p w14:paraId="7C02862C">
      <w:pPr>
        <w:numPr>
          <w:ilvl w:val="0"/>
          <w:numId w:val="9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|r|&lt;0.3</m:t>
        </m:r>
      </m:oMath>
      <w:r>
        <w:rPr>
          <w:rFonts w:ascii="Arial" w:hAnsi="Arial" w:eastAsia="等线" w:cs="Arial"/>
          <w:sz w:val="22"/>
        </w:rPr>
        <w:t>：弱相关/无相关</w:t>
      </w:r>
    </w:p>
    <w:p w14:paraId="1A2C11B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p&lt;0.05</w:t>
      </w:r>
      <w:r>
        <w:rPr>
          <w:rFonts w:ascii="Arial" w:hAnsi="Arial" w:eastAsia="等线" w:cs="Arial"/>
          <w:sz w:val="22"/>
        </w:rPr>
        <w:t>：相关性显著（非随机误差）</w:t>
      </w:r>
    </w:p>
    <w:p w14:paraId="16F822A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p&gt;0.05</w:t>
      </w:r>
      <w:r>
        <w:rPr>
          <w:rFonts w:ascii="Arial" w:hAnsi="Arial" w:eastAsia="等线" w:cs="Arial"/>
          <w:sz w:val="22"/>
        </w:rPr>
        <w:t>：相关性不显著（无统计学意义）</w:t>
      </w:r>
    </w:p>
    <w:p w14:paraId="270B7B3C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四、模型优缺点</w:t>
      </w:r>
      <w:bookmarkEnd w:id="8"/>
    </w:p>
    <w:p w14:paraId="671F046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优点</w:t>
      </w:r>
      <w:bookmarkEnd w:id="9"/>
    </w:p>
    <w:p w14:paraId="43E020F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计算简单、结果直观，可量化变量关联程度</w:t>
      </w:r>
    </w:p>
    <w:p w14:paraId="7A0DE88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Spearman系数适配性极强，无需正态假设</w:t>
      </w:r>
    </w:p>
    <w:p w14:paraId="10FDC08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可有效筛查多重共线性，规避回归模型失真问题</w:t>
      </w:r>
    </w:p>
    <w:p w14:paraId="6CA4210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局限性</w:t>
      </w:r>
      <w:bookmarkEnd w:id="10"/>
    </w:p>
    <w:p w14:paraId="60E5A6C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Pearson仅识别线性关系，对非线性强关联识别失效</w:t>
      </w:r>
    </w:p>
    <w:p w14:paraId="0E844F3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仅体现统计关联，无法表征变量因果关系</w:t>
      </w:r>
    </w:p>
    <w:p w14:paraId="54AA77BA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五、国赛满分论文段落</w:t>
      </w:r>
      <w:bookmarkEnd w:id="11"/>
    </w:p>
    <w:p w14:paraId="63D9D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探究各量化指标的内在关联规律，规避多重共线性对后续建模的干扰，本文开展相关性分析。首先检验变量分布特征，对满足正态分布的指标采用Pearson线性相关分析；对偏离正态分布、存在异常值的指标，采用Spearman等级相关分析适配单调变化趋势。通过计算相关系数与显著性p值，量化变量关联强弱与统计可靠性，绘制相关性热力图可视化分析结果。本分析仅挖掘数据统计关联，不代表因果关系，为后续模型变量筛选与建模优化提供数据支撑。</w:t>
      </w:r>
    </w:p>
    <w:p w14:paraId="47BFF098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六、逐行注释完整可运行代码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DF1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F2EF3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导入所需工具库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                  # 数值计算、基础相关矩阵计算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scipy.stats as stats         # 精准相关系数+显著性p值计算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     # 绘图：相关性热力图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seaborn as sns               # 专业热力图绘制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1. 模拟国赛数据（可直接替换成自己的数据集）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示例：农业数据：亩产、种植成本、总产量、收益（典型国赛量化指标）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 = np.array([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[287, 1200, 574, 22960],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[305, 1280, 610, 24400],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[322, 1350, 644, 25760],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[338, 1420, 676, 27040],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[355, 1480, 710, 28400]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 2. Pearson相关分析（正态线性数据） =====</w:t>
            </w:r>
          </w:p>
          <w:p w14:paraId="275948F7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# 计算Pearson相关系数和p值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pearson_r, pearson_p = stats.pearsonr(data[:,0], data[:,1])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打印结果（可直接写入论文）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print("========== Pearson相关分析结果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print(f"相关系数r: {pearson_r:.4f}")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print(f"显著性p值: {pearson_p:.4f}")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=====3. Spearman相关分析（非正态/非线性数据） ======</w:t>
            </w:r>
          </w:p>
          <w:p w14:paraId="292260E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spearman_rho, spearman_p = stats.spearmanr(data[:,0], data[:,1])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print("\n========== Spearman相关分析结果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print(f"等级相关系数rho: {spearman_rho:.4f}")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print(f"显著性p值: {spearman_p:.4f}")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=====4. 全局相关矩阵 + 热力图（国赛必出图）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计算全局变量相关矩阵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corr_matrix = np.corrcoef(data.T)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设置画布大小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plt.figure(figsize=(8,6))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绘制热力图，显示具体相关系数数值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sns.heatmap(corr_matrix, annot=True, cmap="coolwarm", fmt=".4f")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设置标题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plt.title("变量相关性热力图", fontsize=12)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自动适配布局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保存图片（可直接插入论文）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plt.savefig("相关性热力图.png", dpi=300)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02F4BF91">
      <w:pPr>
        <w:spacing w:before="380" w:after="140" w:line="288" w:lineRule="auto"/>
        <w:ind w:left="0"/>
        <w:jc w:val="left"/>
        <w:outlineLvl w:val="0"/>
        <w:rPr>
          <w:rFonts w:hint="default" w:eastAsia="等线"/>
          <w:lang w:val="en-US" w:eastAsia="zh-CN"/>
        </w:rPr>
      </w:pPr>
      <w:bookmarkStart w:id="13" w:name="heading_13"/>
      <w:r>
        <w:rPr>
          <w:rFonts w:ascii="Arial" w:hAnsi="Arial" w:eastAsia="等线" w:cs="Arial"/>
          <w:b/>
          <w:sz w:val="36"/>
        </w:rPr>
        <w:t>七、国赛</w:t>
      </w:r>
      <w:bookmarkEnd w:id="13"/>
      <w:r>
        <w:rPr>
          <w:rFonts w:hint="eastAsia" w:ascii="Arial" w:hAnsi="Arial" w:eastAsia="等线" w:cs="Arial"/>
          <w:b/>
          <w:sz w:val="36"/>
          <w:lang w:val="en-US" w:eastAsia="zh-CN"/>
        </w:rPr>
        <w:t>注意要点</w:t>
      </w:r>
    </w:p>
    <w:p w14:paraId="01B8449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不区分Pearson和Spearman，无脑通用Pearson</w:t>
      </w:r>
    </w:p>
    <w:p w14:paraId="3D19912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将相关性结论表述为因果关系（致命逻辑错误）</w:t>
      </w:r>
    </w:p>
    <w:p w14:paraId="2E9D0C1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只画图不解读，无关联强弱、显著性文字分析</w:t>
      </w:r>
    </w:p>
    <w:p w14:paraId="61890CF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忽略多重共线性（r&gt;0.7变量未剔除，导致回归模型失效）</w:t>
      </w:r>
    </w:p>
    <w:p w14:paraId="273F4E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9A6CF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760FB6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8810B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744794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7CBF32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7F37D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F69FC4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D8F483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F7E3CC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ACF9E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FCFC9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BA734A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774F1D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B2E065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ECA16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A0640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229188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793395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t检验/ANOVA方差分析</w:t>
      </w:r>
    </w:p>
    <w:p w14:paraId="1414436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一、模型核心定位</w:t>
      </w:r>
    </w:p>
    <w:p w14:paraId="15772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：数据差异性分析、A/B测试、组别对比</w:t>
      </w:r>
    </w:p>
    <w:p w14:paraId="78E29A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论文放置位置</w:t>
      </w:r>
      <w:r>
        <w:rPr>
          <w:rFonts w:ascii="Arial" w:hAnsi="Arial" w:eastAsia="等线" w:cs="Arial"/>
          <w:sz w:val="22"/>
        </w:rPr>
        <w:t>：第三章 数据分析与预处理、模型有效性验证章节</w:t>
      </w:r>
    </w:p>
    <w:p w14:paraId="0875B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：基于统计学假设检验，量化</w:t>
      </w:r>
      <w:r>
        <w:rPr>
          <w:rFonts w:ascii="Arial" w:hAnsi="Arial" w:eastAsia="等线" w:cs="Arial"/>
          <w:b/>
          <w:sz w:val="22"/>
        </w:rPr>
        <w:t>多组连续数据均值差异</w:t>
      </w:r>
      <w:r>
        <w:rPr>
          <w:rFonts w:ascii="Arial" w:hAnsi="Arial" w:eastAsia="等线" w:cs="Arial"/>
          <w:sz w:val="22"/>
        </w:rPr>
        <w:t>，判断两组/多组样本的指标差异是真实存在的规律，还是随机数据波动导致，为方案对比、样本分层、工况差异分析提供量化依据。</w:t>
      </w:r>
    </w:p>
    <w:p w14:paraId="72F92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核心属性</w:t>
      </w:r>
      <w:r>
        <w:rPr>
          <w:rFonts w:ascii="Arial" w:hAnsi="Arial" w:eastAsia="等线" w:cs="Arial"/>
          <w:sz w:val="22"/>
        </w:rPr>
        <w:t>：参数检验，依赖严格的数据分布假设，仅适用于满足条件的样本数据。</w:t>
      </w:r>
    </w:p>
    <w:p w14:paraId="4CB7761C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二、国赛适用场景</w:t>
      </w:r>
    </w:p>
    <w:p w14:paraId="4A13A9C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独立样本t检验（仅两组样本对比）</w:t>
      </w:r>
    </w:p>
    <w:p w14:paraId="7BACA5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两组地块、设备、监测点、样本数据均值对比</w:t>
      </w:r>
    </w:p>
    <w:p w14:paraId="38EB3D2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方案A、方案B模拟结果A/B测试（收益、损耗、效率对比）</w:t>
      </w:r>
    </w:p>
    <w:p w14:paraId="1FEA7F3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实验组与对照组的指标差异显著性验证</w:t>
      </w:r>
    </w:p>
    <w:p w14:paraId="4395A33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新旧工艺、新旧策略的效果差异检验</w:t>
      </w:r>
    </w:p>
    <w:p w14:paraId="1C3DDFB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ANOVA单因素方差分析（三组及以上样本对比）</w:t>
      </w:r>
    </w:p>
    <w:p w14:paraId="5565EB8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三类及以上分层样本对比（优/中/差地块、拥堵等级、污染等级）</w:t>
      </w:r>
    </w:p>
    <w:p w14:paraId="1C9265C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多组工况、多场景、多参数下的指标均值差异分析</w:t>
      </w:r>
    </w:p>
    <w:p w14:paraId="3C4BE34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禁止多组样本重复两两t检验（会大幅放大统计误差，国赛直接扣分）</w:t>
      </w:r>
    </w:p>
    <w:p w14:paraId="074B309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 硬性使用前提</w:t>
      </w:r>
    </w:p>
    <w:p w14:paraId="1413F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使用t检验、ANOVA的</w:t>
      </w:r>
      <w:r>
        <w:rPr>
          <w:rFonts w:ascii="Arial" w:hAnsi="Arial" w:eastAsia="等线" w:cs="Arial"/>
          <w:b/>
          <w:sz w:val="22"/>
        </w:rPr>
        <w:t>必要双重条件</w:t>
      </w:r>
      <w:r>
        <w:rPr>
          <w:rFonts w:ascii="Arial" w:hAnsi="Arial" w:eastAsia="等线" w:cs="Arial"/>
          <w:sz w:val="22"/>
        </w:rPr>
        <w:t>，论文必须明确说明：</w:t>
      </w:r>
    </w:p>
    <w:p w14:paraId="37A2C8B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样本数据</w:t>
      </w:r>
      <w:r>
        <w:rPr>
          <w:rFonts w:ascii="Arial" w:hAnsi="Arial" w:eastAsia="等线" w:cs="Arial"/>
          <w:b/>
          <w:sz w:val="22"/>
        </w:rPr>
        <w:t>近似服从正态分布</w:t>
      </w:r>
    </w:p>
    <w:p w14:paraId="6212F7A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各组样本</w:t>
      </w:r>
      <w:r>
        <w:rPr>
          <w:rFonts w:ascii="Arial" w:hAnsi="Arial" w:eastAsia="等线" w:cs="Arial"/>
          <w:b/>
          <w:sz w:val="22"/>
        </w:rPr>
        <w:t>方差齐性（方差大致相等）</w:t>
      </w:r>
    </w:p>
    <w:p w14:paraId="79532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❗ 不满足以上条件，</w:t>
      </w:r>
      <w:r>
        <w:rPr>
          <w:rFonts w:ascii="Arial" w:hAnsi="Arial" w:eastAsia="等线" w:cs="Arial"/>
          <w:b/>
          <w:sz w:val="22"/>
        </w:rPr>
        <w:t>绝对不能用参数检验</w:t>
      </w:r>
      <w:r>
        <w:rPr>
          <w:rFonts w:ascii="Arial" w:hAnsi="Arial" w:eastAsia="等线" w:cs="Arial"/>
          <w:sz w:val="22"/>
        </w:rPr>
        <w:t>，必须切换Mann-Whitney等非参数检验（后续讲义讲解）。</w:t>
      </w:r>
    </w:p>
    <w:p w14:paraId="115A5D3F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三、数学原理与判定标准</w:t>
      </w:r>
    </w:p>
    <w:p w14:paraId="66F2426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核心假设（原假设H₀）</w:t>
      </w:r>
    </w:p>
    <w:p w14:paraId="3388334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t检验原假设</w:t>
      </w:r>
      <w:r>
        <w:rPr>
          <w:rFonts w:ascii="Arial" w:hAnsi="Arial" w:eastAsia="等线" w:cs="Arial"/>
          <w:sz w:val="22"/>
        </w:rPr>
        <w:t>：两组样本总体均值相等，无显著差异</w:t>
      </w:r>
    </w:p>
    <w:p w14:paraId="783D594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ANOVA原假设</w:t>
      </w:r>
      <w:r>
        <w:rPr>
          <w:rFonts w:ascii="Arial" w:hAnsi="Arial" w:eastAsia="等线" w:cs="Arial"/>
          <w:sz w:val="22"/>
        </w:rPr>
        <w:t>：所有组别样本总体均值全部相等，组间无显著差异</w:t>
      </w:r>
    </w:p>
    <w:p w14:paraId="2934377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国赛统一显著性判定标准</w:t>
      </w:r>
    </w:p>
    <w:p w14:paraId="04507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统一显著性水平：</w:t>
      </w:r>
      <w:r>
        <w:rPr>
          <w:rFonts w:ascii="Arial" w:hAnsi="Arial" w:eastAsia="等线" w:cs="Arial"/>
          <w:b/>
          <w:sz w:val="22"/>
        </w:rPr>
        <w:t>α=0.05</w:t>
      </w:r>
      <w:r>
        <w:rPr>
          <w:rFonts w:ascii="Arial" w:hAnsi="Arial" w:eastAsia="等线" w:cs="Arial"/>
          <w:sz w:val="22"/>
        </w:rPr>
        <w:t>（国赛通用标准，无需改动）</w:t>
      </w:r>
    </w:p>
    <w:p w14:paraId="23AF6A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 &lt; 0.05</w:t>
      </w:r>
      <w:r>
        <w:rPr>
          <w:rFonts w:ascii="Arial" w:hAnsi="Arial" w:eastAsia="等线" w:cs="Arial"/>
          <w:sz w:val="22"/>
        </w:rPr>
        <w:t>：拒绝原假设，组间差异</w:t>
      </w:r>
      <w:r>
        <w:rPr>
          <w:rFonts w:ascii="Arial" w:hAnsi="Arial" w:eastAsia="等线" w:cs="Arial"/>
          <w:b/>
          <w:sz w:val="22"/>
        </w:rPr>
        <w:t>统计显著</w:t>
      </w:r>
      <w:r>
        <w:rPr>
          <w:rFonts w:ascii="Arial" w:hAnsi="Arial" w:eastAsia="等线" w:cs="Arial"/>
          <w:sz w:val="22"/>
        </w:rPr>
        <w:t>，差异为真实规律，非随机波动</w:t>
      </w:r>
    </w:p>
    <w:p w14:paraId="55D04C2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 &gt; 0.05</w:t>
      </w:r>
      <w:r>
        <w:rPr>
          <w:rFonts w:ascii="Arial" w:hAnsi="Arial" w:eastAsia="等线" w:cs="Arial"/>
          <w:sz w:val="22"/>
        </w:rPr>
        <w:t>：接受原假设，组间差异</w:t>
      </w:r>
      <w:r>
        <w:rPr>
          <w:rFonts w:ascii="Arial" w:hAnsi="Arial" w:eastAsia="等线" w:cs="Arial"/>
          <w:b/>
          <w:sz w:val="22"/>
        </w:rPr>
        <w:t>不显著</w:t>
      </w:r>
      <w:r>
        <w:rPr>
          <w:rFonts w:ascii="Arial" w:hAnsi="Arial" w:eastAsia="等线" w:cs="Arial"/>
          <w:sz w:val="22"/>
        </w:rPr>
        <w:t>，差异由随机波动导致</w:t>
      </w:r>
    </w:p>
    <w:p w14:paraId="51DE648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 核心公式（论文可选摘抄）</w:t>
      </w:r>
    </w:p>
    <w:p w14:paraId="2F365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独立样本t统计量公式：</w:t>
      </w:r>
    </w:p>
    <w:p w14:paraId="16D557B6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t=</m:t>
          </m:r>
          <m:f>
            <m:fPr/>
            <m:num>
              <m:sSub>
                <m:sSubPr/>
                <m:e>
                  <m:bar>
                    <m:barPr>
                      <m:pos m:val="top"/>
                    </m:bar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bar>
                    <m:barPr>
                      <m:pos m:val="top"/>
                    </m:bar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/>
                    <w:rPr>
                      <w:rFonts w:ascii="Cambria Math" w:hAnsi="Cambria Math"/>
                    </w:rPr>
                    <m:t>+</m:t>
                  </m:r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69593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式中：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、</m:t>
        </m:r>
        <m:sSub>
          <m:sSubPr/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 xml:space="preserve"> 为两组样本均值，</w:t>
      </w:r>
      <m:oMath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、</m:t>
        </m:r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Arial" w:hAnsi="Arial" w:eastAsia="等线" w:cs="Arial"/>
          <w:sz w:val="22"/>
        </w:rPr>
        <w:t xml:space="preserve"> 为样本方差，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、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 xml:space="preserve"> 为样本量。</w:t>
      </w:r>
    </w:p>
    <w:p w14:paraId="4C7C2B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ANOVA方差分析核心公式（组间/组内均方比）：</w:t>
      </w:r>
    </w:p>
    <w:p w14:paraId="462561E1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F=</m:t>
          </m:r>
          <m:f>
            <m:fPr/>
            <m:num>
              <m:r>
                <m:rPr/>
                <w:rPr>
                  <w:rFonts w:ascii="Cambria Math" w:hAnsi="Cambria Math"/>
                </w:rPr>
                <m:t>MSA</m:t>
              </m:r>
            </m:num>
            <m:den>
              <m:r>
                <m:rPr/>
                <w:rPr>
                  <w:rFonts w:ascii="Cambria Math" w:hAnsi="Cambria Math"/>
                </w:rPr>
                <m:t>MSE</m:t>
              </m:r>
            </m:den>
          </m:f>
        </m:oMath>
      </m:oMathPara>
    </w:p>
    <w:p w14:paraId="49B11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式中：</w:t>
      </w:r>
      <m:oMath>
        <m:r>
          <m:rPr/>
          <w:rPr>
            <w:rFonts w:ascii="Cambria Math" w:hAnsi="Cambria Math"/>
          </w:rPr>
          <m:t>MSA</m:t>
        </m:r>
      </m:oMath>
      <w:r>
        <w:rPr>
          <w:rFonts w:ascii="Arial" w:hAnsi="Arial" w:eastAsia="等线" w:cs="Arial"/>
          <w:sz w:val="22"/>
        </w:rPr>
        <w:t xml:space="preserve"> 为组间均方，</w:t>
      </w:r>
      <m:oMath>
        <m:r>
          <m:rPr/>
          <w:rPr>
            <w:rFonts w:ascii="Cambria Math" w:hAnsi="Cambria Math"/>
          </w:rPr>
          <m:t>MSE</m:t>
        </m:r>
      </m:oMath>
      <w:r>
        <w:rPr>
          <w:rFonts w:ascii="Arial" w:hAnsi="Arial" w:eastAsia="等线" w:cs="Arial"/>
          <w:sz w:val="22"/>
        </w:rPr>
        <w:t xml:space="preserve"> 为组内均方，F值越大，组间差异越显著。</w:t>
      </w:r>
    </w:p>
    <w:p w14:paraId="22D12C10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四、模型优缺点</w:t>
      </w:r>
    </w:p>
    <w:p w14:paraId="33DBD30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优点</w:t>
      </w:r>
    </w:p>
    <w:p w14:paraId="3AC41F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统计逻辑严谨，结果具备统计学显著性，结论可信度高</w:t>
      </w:r>
    </w:p>
    <w:p w14:paraId="3294869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精准区分两组/多组数据的均值差异，解决主观判读误差问题</w:t>
      </w:r>
    </w:p>
    <w:p w14:paraId="78AFEF5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ANOVA可一次性完成多组对比，规避多次t检验的误差累积问题</w:t>
      </w:r>
    </w:p>
    <w:p w14:paraId="4AFEBA5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适配数模竞赛A/B测试、方案对比、样本分层的核心分析需求</w:t>
      </w:r>
    </w:p>
    <w:p w14:paraId="25C93C1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局限性</w:t>
      </w:r>
    </w:p>
    <w:p w14:paraId="2B42D7E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对数据分布要求严苛，非正态、方差不齐数据无法使用，极易产生错误结论</w:t>
      </w:r>
    </w:p>
    <w:p w14:paraId="595C273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仅检验</w:t>
      </w:r>
      <w:r>
        <w:rPr>
          <w:rFonts w:ascii="Arial" w:hAnsi="Arial" w:eastAsia="等线" w:cs="Arial"/>
          <w:b/>
          <w:sz w:val="22"/>
        </w:rPr>
        <w:t>均值差异</w:t>
      </w:r>
      <w:r>
        <w:rPr>
          <w:rFonts w:ascii="Arial" w:hAnsi="Arial" w:eastAsia="等线" w:cs="Arial"/>
          <w:sz w:val="22"/>
        </w:rPr>
        <w:t>，无法识别中位数、分布形态的差异</w:t>
      </w:r>
    </w:p>
    <w:p w14:paraId="6204432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p值仅代表统计显著性，不代表实际业务差异大小，需结合均值差值综合判断</w:t>
      </w:r>
    </w:p>
    <w:p w14:paraId="3397676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五、国赛满分论文段落</w:t>
      </w:r>
    </w:p>
    <w:p w14:paraId="3968A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量化不同组别样本的指标差异性，验证各组数据差异的统计学可靠性，本文采用参数假设检验开展组间差异分析。首先对样本数据进行正态性与方差齐性检验，在满足近似正态分布、方差齐性的前提下，两组样本差异对比采用独立样本t检验，三组及以上多样本差异对比采用单因素ANOVA方差分析。设定显著性水平α=0.05，通过p值判定组间差异是否显著，区分数据真实差异与随机波动误差。本分析为样本分层、方案择优、工况差异分析提供了统计学量化依据。</w:t>
      </w:r>
    </w:p>
    <w:p w14:paraId="312B924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六、可运行代码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12A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07DF7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导入数据分析与统计检验工具库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                  # 数值计算、样本数据构造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scipy import stats             # 假设检验核心工具：t检验、ANOVA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     # 结果可视化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 1. 构造国赛模拟数据（可直接替换为自有数据） =====</w:t>
            </w:r>
          </w:p>
          <w:p w14:paraId="4D625163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# 场景：三组地块亩产数据，用于方案对比、样本分层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group1 = np.array([287, 295, 301, 298, 302])  # 普通地块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group2 = np.array([322, 328, 335, 330, 333])  # 改良地块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group3 = np.array([355, 362, 358, 365, 360])  # 优质地块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 2. 前置检验：正态性检验（必须做，论文需说明）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Shapiro-Wilk正态性检验，判断数据是否近似正态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w1, p1 = stats.shapiro(group1)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w2, p2 = stats.shapiro(group2)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w3, p3 = stats.shapiro(group3)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print("========== 样本正态性检验结果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print(f"普通地块 p值:{p1:.4f}, 改良地块 p值:{p2:.4f}, 优质地块 p值:{p3:.4f}")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print("p&gt;0.05 满足正态分布，可使用参数检验\n")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 3. 独立样本t检验（两组对比：普通地块 vs 改良地块）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ttest_ind：独立样本t检验，返回t统计量、p值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t_stat, t_p = stats.ttest_ind(group1, group2)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print("========== 独立样本t检验（两组对比）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print(f"t统计量: {t_stat:.4f}")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print(f"显著性p值: {t_p:.4f}")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t_p &lt; 0.05: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print("结论：两组地块亩产存在显著差异\n")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print("结论：两组地块亩产无显著差异\n")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 4. 单因素ANOVA方差分析（三组及以上整体对比） 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f_oneway：单因素方差分析，适用于多组正态数据均值对比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f_stat, f_p = stats.f_oneway(group1, group2, group3)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print("========== ANOVA单因素方差分析（三组对比）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print(f"F统计量: {f_stat:.4f}")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print(f"显著性p值: {f_p:.4f}")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f_p &lt; 0.05: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print("结论：至少存在两组地块亩产存在显著差异")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print("结论：三组地块亩产无显著差异")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 5. 可视化箱线图（国赛必出对比图） =====</w:t>
            </w:r>
          </w:p>
          <w:p w14:paraId="5F8F91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plt.figure(figsize=(8, 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box_data = [group1, group2, group3]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plt.boxplot(box_data, labels=["普通地块", "改良地块", "优质地块"])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plt.title("不同类别地块亩产分布对比图", fontsize=12)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plt.ylabel("亩产数值", fontsize=10)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plt.grid(axis="y", linestyle="--", alpha=0.7)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plt.savefig("组别差异箱线图.png", dpi=300)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4EFFA7E3">
      <w:pPr>
        <w:spacing w:before="380" w:after="140" w:line="288" w:lineRule="auto"/>
        <w:ind w:left="0"/>
        <w:jc w:val="left"/>
        <w:outlineLvl w:val="0"/>
        <w:rPr>
          <w:rFonts w:hint="default" w:eastAsia="等线"/>
          <w:lang w:val="en-US" w:eastAsia="zh-CN"/>
        </w:rPr>
      </w:pPr>
      <w:bookmarkStart w:id="14" w:name="heading_14"/>
      <w:r>
        <w:rPr>
          <w:rFonts w:ascii="Arial" w:hAnsi="Arial" w:eastAsia="等线" w:cs="Arial"/>
          <w:b/>
          <w:sz w:val="36"/>
        </w:rPr>
        <w:t>七、国赛</w:t>
      </w:r>
      <w:bookmarkEnd w:id="14"/>
      <w:r>
        <w:rPr>
          <w:rFonts w:hint="eastAsia" w:ascii="Arial" w:hAnsi="Arial" w:eastAsia="等线" w:cs="Arial"/>
          <w:b/>
          <w:sz w:val="36"/>
          <w:lang w:val="en-US" w:eastAsia="zh-CN"/>
        </w:rPr>
        <w:t>注意要点</w:t>
      </w:r>
    </w:p>
    <w:p w14:paraId="25536EF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不做正态性检验，直接使用t检验/ANOVA，违背模型前提假设</w:t>
      </w:r>
    </w:p>
    <w:p w14:paraId="021E617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三组及以上样本，多次两两t检验，导致统计误差累积，建模不严谨</w:t>
      </w:r>
    </w:p>
    <w:p w14:paraId="0F2077D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仅靠p值下结论，忽略均值实际差值，夸大无实际意义的微小差异</w:t>
      </w:r>
    </w:p>
    <w:p w14:paraId="5148FAD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将假设检验作为主模型，直接求解题目优化、预测类核心问题</w:t>
      </w:r>
    </w:p>
    <w:p w14:paraId="5F4752B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混淆统计显著与业务显著，p&lt;0.05即判定为“差异极大”</w:t>
      </w:r>
    </w:p>
    <w:p w14:paraId="7F667D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2F82B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8D8597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2A6CED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AF313A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A0112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D5A81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680B6E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D504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8EAEB2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4BF00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897CBF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AE4114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F3ED19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45BF52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C1C4B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E974A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6567CA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B78102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86A03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AE20E0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D345AA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A5C75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80C30A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A8F27E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1D3A40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4BFCE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98B21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614AAED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513B938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非参数检验（Mann-Whitney/卡方检验）</w:t>
      </w:r>
    </w:p>
    <w:p w14:paraId="49D3854F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一、模型核心定位</w:t>
      </w:r>
    </w:p>
    <w:p w14:paraId="6E169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：无分布假设差异性分析、分类变量关联性检验</w:t>
      </w:r>
    </w:p>
    <w:p w14:paraId="606DF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论文放置位置</w:t>
      </w:r>
      <w:r>
        <w:rPr>
          <w:rFonts w:ascii="Arial" w:hAnsi="Arial" w:eastAsia="等线" w:cs="Arial"/>
          <w:sz w:val="22"/>
        </w:rPr>
        <w:t>：第三章 数据分析与预处理、数据差异性验证章节</w:t>
      </w:r>
    </w:p>
    <w:p w14:paraId="40AF2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：作为</w:t>
      </w:r>
      <w:r>
        <w:rPr>
          <w:rFonts w:ascii="Arial" w:hAnsi="Arial" w:eastAsia="等线" w:cs="Arial"/>
          <w:b/>
          <w:sz w:val="22"/>
        </w:rPr>
        <w:t>参数检验（t检验/ANOVA）的兜底方案</w:t>
      </w:r>
      <w:r>
        <w:rPr>
          <w:rFonts w:ascii="Arial" w:hAnsi="Arial" w:eastAsia="等线" w:cs="Arial"/>
          <w:sz w:val="22"/>
        </w:rPr>
        <w:t>，针对不满足正态分布、方差不齐、存在大量异常值的样本，完成组间差异检验；同时可实现分类离散变量的独立性检验，弥补参数检验的适用短板。</w:t>
      </w:r>
    </w:p>
    <w:p w14:paraId="3260B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核心属性</w:t>
      </w:r>
      <w:r>
        <w:rPr>
          <w:rFonts w:ascii="Arial" w:hAnsi="Arial" w:eastAsia="等线" w:cs="Arial"/>
          <w:sz w:val="22"/>
        </w:rPr>
        <w:t>：无参数检验，</w:t>
      </w:r>
      <w:r>
        <w:rPr>
          <w:rFonts w:ascii="Arial" w:hAnsi="Arial" w:eastAsia="等线" w:cs="Arial"/>
          <w:b/>
          <w:sz w:val="22"/>
        </w:rPr>
        <w:t>不要求数据服从任何分布</w:t>
      </w:r>
      <w:r>
        <w:rPr>
          <w:rFonts w:ascii="Arial" w:hAnsi="Arial" w:eastAsia="等线" w:cs="Arial"/>
          <w:sz w:val="22"/>
        </w:rPr>
        <w:t>，基于数据排序、频数统计分析，适配性极强。</w:t>
      </w:r>
    </w:p>
    <w:p w14:paraId="1166ECA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二、国赛适用场景</w:t>
      </w:r>
    </w:p>
    <w:p w14:paraId="2A30C30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Mann-Whitney U检验</w:t>
      </w:r>
    </w:p>
    <w:p w14:paraId="66B42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核心替代</w:t>
      </w:r>
      <w:r>
        <w:rPr>
          <w:rFonts w:ascii="Arial" w:hAnsi="Arial" w:eastAsia="等线" w:cs="Arial"/>
          <w:sz w:val="22"/>
        </w:rPr>
        <w:t>：非正态数据下，替代独立样本t检验</w:t>
      </w:r>
    </w:p>
    <w:p w14:paraId="54FEA0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亩产、收益、损耗、能耗等</w:t>
      </w:r>
      <w:r>
        <w:rPr>
          <w:rFonts w:ascii="Arial" w:hAnsi="Arial" w:eastAsia="等线" w:cs="Arial"/>
          <w:b/>
          <w:sz w:val="22"/>
        </w:rPr>
        <w:t>右偏严重、含异常值</w:t>
      </w:r>
      <w:r>
        <w:rPr>
          <w:rFonts w:ascii="Arial" w:hAnsi="Arial" w:eastAsia="等线" w:cs="Arial"/>
          <w:sz w:val="22"/>
        </w:rPr>
        <w:t>的经济/生产数据两组对比</w:t>
      </w:r>
    </w:p>
    <w:p w14:paraId="1076B8B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无法通过正态性检验的两组工况、两组方案效果差异验证</w:t>
      </w:r>
    </w:p>
    <w:p w14:paraId="487CB9E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green"/>
        </w:rPr>
        <w:t>小样本</w:t>
      </w:r>
      <w:r>
        <w:rPr>
          <w:rFonts w:ascii="Arial" w:hAnsi="Arial" w:eastAsia="等线" w:cs="Arial"/>
          <w:sz w:val="22"/>
        </w:rPr>
        <w:t>、数据分布不规则的组别差异性分析</w:t>
      </w:r>
    </w:p>
    <w:p w14:paraId="32D9435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卡方χ²独立性检验</w:t>
      </w:r>
    </w:p>
    <w:p w14:paraId="7C3E7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核心独有功能</w:t>
      </w:r>
      <w:r>
        <w:rPr>
          <w:rFonts w:ascii="Arial" w:hAnsi="Arial" w:eastAsia="等线" w:cs="Arial"/>
          <w:sz w:val="22"/>
        </w:rPr>
        <w:t>：参数检验无法实现，仅卡方检验可做</w:t>
      </w:r>
    </w:p>
    <w:p w14:paraId="459DDE6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两类离散分类变量关联性分析：地块类型&amp;作物种类、天气工况&amp;拥堵等级、污染类别&amp;区域类型</w:t>
      </w:r>
    </w:p>
    <w:p w14:paraId="79F3073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验证分类变量是否相互独立、是否存在显著关联规律</w:t>
      </w:r>
    </w:p>
    <w:p w14:paraId="4342B84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统计不同类别样本的分布差异与适配关系</w:t>
      </w:r>
    </w:p>
    <w:p w14:paraId="5BA3D05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 国赛检验选择终极规则</w:t>
      </w:r>
    </w:p>
    <w:p w14:paraId="0D07992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两组连续数据 + 正态分布 → t检验（参数）</w:t>
      </w:r>
    </w:p>
    <w:p w14:paraId="694BF3B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两组连续数据 + </w:t>
      </w:r>
      <w:r>
        <w:rPr>
          <w:rFonts w:ascii="Arial" w:hAnsi="Arial" w:eastAsia="等线" w:cs="Arial"/>
          <w:b/>
          <w:sz w:val="22"/>
        </w:rPr>
        <w:t>非正态分布</w:t>
      </w:r>
      <w:r>
        <w:rPr>
          <w:rFonts w:ascii="Arial" w:hAnsi="Arial" w:eastAsia="等线" w:cs="Arial"/>
          <w:sz w:val="22"/>
        </w:rPr>
        <w:t xml:space="preserve"> → Mann-Whitney U（非参数）</w:t>
      </w:r>
    </w:p>
    <w:p w14:paraId="3BE3200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多组连续数据 + 正态分布 → ANOVA（参数）</w:t>
      </w:r>
    </w:p>
    <w:p w14:paraId="77A88CE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两组分类数据</w:t>
      </w:r>
      <w:r>
        <w:rPr>
          <w:rFonts w:ascii="Arial" w:hAnsi="Arial" w:eastAsia="等线" w:cs="Arial"/>
          <w:sz w:val="22"/>
        </w:rPr>
        <w:t xml:space="preserve"> → 卡方独立性检验（唯一选择）</w:t>
      </w:r>
    </w:p>
    <w:p w14:paraId="1BF6115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三、数学原理与判定标准</w:t>
      </w:r>
    </w:p>
    <w:p w14:paraId="5E564C2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Mann-Whitney U检验原理</w:t>
      </w:r>
    </w:p>
    <w:p w14:paraId="4AEC9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不依赖数据均值与分布，通过对两组所有样本进行排序、统计秩次，计算U统计量，判断两组样本的</w:t>
      </w:r>
      <w:r>
        <w:rPr>
          <w:rFonts w:ascii="Arial" w:hAnsi="Arial" w:eastAsia="等线" w:cs="Arial"/>
          <w:b/>
          <w:sz w:val="22"/>
        </w:rPr>
        <w:t>整体分布、中位数</w:t>
      </w:r>
      <w:r>
        <w:rPr>
          <w:rFonts w:ascii="Arial" w:hAnsi="Arial" w:eastAsia="等线" w:cs="Arial"/>
          <w:sz w:val="22"/>
        </w:rPr>
        <w:t>是否存在显著差异。</w:t>
      </w:r>
    </w:p>
    <w:p w14:paraId="7F064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原假设H₀</w:t>
      </w:r>
      <w:r>
        <w:rPr>
          <w:rFonts w:ascii="Arial" w:hAnsi="Arial" w:eastAsia="等线" w:cs="Arial"/>
          <w:sz w:val="22"/>
        </w:rPr>
        <w:t>：两组独立样本来自同一总体分布，无显著差异。</w:t>
      </w:r>
    </w:p>
    <w:p w14:paraId="49012FF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卡方检验原理</w:t>
      </w:r>
    </w:p>
    <w:p w14:paraId="0D619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通过构建分类变量列联表，对比</w:t>
      </w:r>
      <w:r>
        <w:rPr>
          <w:rFonts w:ascii="Arial" w:hAnsi="Arial" w:eastAsia="等线" w:cs="Arial"/>
          <w:b/>
          <w:sz w:val="22"/>
        </w:rPr>
        <w:t>实际观测频数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理论期望频数</w:t>
      </w:r>
      <w:r>
        <w:rPr>
          <w:rFonts w:ascii="Arial" w:hAnsi="Arial" w:eastAsia="等线" w:cs="Arial"/>
          <w:sz w:val="22"/>
        </w:rPr>
        <w:t>的偏差，量化两类分类变量的关联程度。</w:t>
      </w:r>
    </w:p>
    <w:p w14:paraId="576093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核心公式：</w:t>
      </w:r>
      <m:oMath>
        <m:sSup>
          <m:sSupPr/>
          <m:e>
            <m:r>
              <m:rPr/>
              <w:rPr>
                <w:rFonts w:ascii="Cambria Math" w:hAnsi="Cambria Math"/>
              </w:rPr>
              <m:t>χ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=∑</m:t>
        </m:r>
        <m:f>
          <m:fPr/>
          <m:num>
            <m:r>
              <m:rPr/>
              <w:rPr>
                <w:rFonts w:ascii="Cambria Math" w:hAnsi="Cambria Math"/>
              </w:rPr>
              <m:t>(O−E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)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/>
              </w:rPr>
              <m:t>E</m:t>
            </m:r>
          </m:den>
        </m:f>
      </m:oMath>
    </w:p>
    <w:p w14:paraId="6960A1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式中：</w:t>
      </w:r>
      <m:oMath>
        <m:r>
          <m:rPr/>
          <w:rPr>
            <w:rFonts w:ascii="Cambria Math" w:hAnsi="Cambria Math"/>
          </w:rPr>
          <m:t>O</m:t>
        </m:r>
      </m:oMath>
      <w:r>
        <w:rPr>
          <w:rFonts w:ascii="Arial" w:hAnsi="Arial" w:eastAsia="等线" w:cs="Arial"/>
          <w:sz w:val="22"/>
        </w:rPr>
        <w:t>为实际观测频数，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ascii="Arial" w:hAnsi="Arial" w:eastAsia="等线" w:cs="Arial"/>
          <w:sz w:val="22"/>
        </w:rPr>
        <w:t>为理论期望频数。</w:t>
      </w:r>
    </w:p>
    <w:p w14:paraId="0C7E8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原假设H₀</w:t>
      </w:r>
      <w:r>
        <w:rPr>
          <w:rFonts w:ascii="Arial" w:hAnsi="Arial" w:eastAsia="等线" w:cs="Arial"/>
          <w:sz w:val="22"/>
        </w:rPr>
        <w:t>：两个分类变量相互独立，无关联关系。</w:t>
      </w:r>
    </w:p>
    <w:p w14:paraId="69B2913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 国赛统一判定标准</w:t>
      </w:r>
    </w:p>
    <w:p w14:paraId="436D6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统一显著性水平：</w:t>
      </w:r>
      <w:r>
        <w:rPr>
          <w:rFonts w:ascii="Arial" w:hAnsi="Arial" w:eastAsia="等线" w:cs="Arial"/>
          <w:b/>
          <w:sz w:val="22"/>
        </w:rPr>
        <w:t>α=0.05</w:t>
      </w:r>
    </w:p>
    <w:p w14:paraId="67216E8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 &lt; 0.05</w:t>
      </w:r>
      <w:r>
        <w:rPr>
          <w:rFonts w:ascii="Arial" w:hAnsi="Arial" w:eastAsia="等线" w:cs="Arial"/>
          <w:sz w:val="22"/>
        </w:rPr>
        <w:t>：拒绝原假设，组间分布/变量关联</w:t>
      </w:r>
      <w:r>
        <w:rPr>
          <w:rFonts w:ascii="Arial" w:hAnsi="Arial" w:eastAsia="等线" w:cs="Arial"/>
          <w:b/>
          <w:sz w:val="22"/>
        </w:rPr>
        <w:t>统计显著</w:t>
      </w:r>
    </w:p>
    <w:p w14:paraId="1BEBD45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 &gt; 0.05</w:t>
      </w:r>
      <w:r>
        <w:rPr>
          <w:rFonts w:ascii="Arial" w:hAnsi="Arial" w:eastAsia="等线" w:cs="Arial"/>
          <w:sz w:val="22"/>
        </w:rPr>
        <w:t>：接受原假设，组间/变量关联</w:t>
      </w:r>
      <w:r>
        <w:rPr>
          <w:rFonts w:ascii="Arial" w:hAnsi="Arial" w:eastAsia="等线" w:cs="Arial"/>
          <w:b/>
          <w:sz w:val="22"/>
        </w:rPr>
        <w:t>无显著差异</w:t>
      </w:r>
    </w:p>
    <w:p w14:paraId="44F78735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四、模型优缺点</w:t>
      </w:r>
    </w:p>
    <w:p w14:paraId="7B624A0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优点</w:t>
      </w:r>
    </w:p>
    <w:p w14:paraId="56F594E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无分布假设限制，适配非正态、小样本、含异常值的各类数据，通用性极强</w:t>
      </w:r>
    </w:p>
    <w:p w14:paraId="3F86FD3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Mann-Whitney检验规避了参数检验的严苛前提，容错率更高</w:t>
      </w:r>
    </w:p>
    <w:p w14:paraId="666BFD1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卡方检验是唯一适配分类离散变量关联性分析的经典方法，填补参数检验空白</w:t>
      </w:r>
    </w:p>
    <w:p w14:paraId="7906EEA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计算简洁、结果稳定，适配数模竞赛各类复杂数据场景</w:t>
      </w:r>
    </w:p>
    <w:p w14:paraId="06DBF34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局限性</w:t>
      </w:r>
    </w:p>
    <w:p w14:paraId="30905A3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Mann-Whitney检验仅对比分布与中位数，无法精准量化均值差异，分析精度略低于t检验</w:t>
      </w:r>
    </w:p>
    <w:p w14:paraId="4E30606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卡方检验仅能判断关联是否存在，无法量化关联强弱大小</w:t>
      </w:r>
    </w:p>
    <w:p w14:paraId="2F15197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非参数检验统计效能略低于参数检验，数据满足正态时优先用t检验/ANOVA</w:t>
      </w:r>
    </w:p>
    <w:p w14:paraId="469CEF1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五、国赛满分论文段落</w:t>
      </w:r>
    </w:p>
    <w:p w14:paraId="072BD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经正态性检验可知，部分样本数据不满足正态分布假设，无法使用t检验、ANOVA等参数检验方法。因此本文采用非参数检验开展差异性与关联性分析：针对两组非正态连续样本，采用Mann-Whitney U检验对比样本分布差异；针对离散分类变量，构建列联表并采用卡方独立性检验验证变量关联关系。设定显著性水平α=0.05，通过p值判定统计显著性，有效规避参数假设不满足带来的分析误差，为样本差异分析、变量关联挖掘提供可靠的统计学依据。</w:t>
      </w:r>
    </w:p>
    <w:p w14:paraId="5C2804F5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六、逐行注释完整可运行代码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675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B93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导入所需统计工具库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scipy import stats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 第一部分：Mann-Whitney U检验（非正态两组连续数据对比） =====</w:t>
            </w:r>
          </w:p>
          <w:p w14:paraId="4AF8225F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# 模拟国赛非正态数据：两组地块收益（存在偏态、异常值，不满足正态）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sample_normal = np.array([22000, 23500, 21800, 24200, 22900])   # 常规地块收益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sample_special = np.array([28000, 32000, 29500, 41000, 38500])  # 特色地块收益（偏态数据）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执行Mann-Whitney U检验，替代t检验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u_stat, u_p = stats.mannwhitneyu(sample_normal, sample_special)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输出检验结果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print("========== Mann-Whitney U检验（非参数两组对比）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print(f"U统计量: {u_stat:.4f}")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print(f"显著性p值: {u_p:.4f}")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显著性判定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u_p &lt; 0.05: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print("结论：两组地块收益分布存在显著差异\n")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print("结论：两组地块收益分布无显著差异\n")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 第二部分：卡方独立性检验（分类变量关联性分析） =====</w:t>
            </w:r>
          </w:p>
          <w:p w14:paraId="07E40D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# 构造国赛分类数据列联表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场景：地块类型(平旱地/梯田) &amp; 作物种植类型(粮食/经济作物) 统计频数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行：地块类型，列：作物类型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contingency_table = np.array([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[32, 18],   # 平旱地：32块种粮食，18块种经济作物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[15, 27]    # 梯田：15块种粮食，27块种经济作物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执行卡方独立性检验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chi2：卡方统计量，p：显著性p值，dof：自由度，expected：理论期望频数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chi2_stat, chi2_p, dof, expected = stats.chi2_contingency(contingency_table)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输出卡方检验结果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print("========== 卡方独立性检验（分类变量关联分析） ==========")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print(f"卡方统计量: {chi2_stat:.4f}")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print(f"显著性p值: {chi2_p:.4f}")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print(f"自由度: {dof}")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chi2_p &lt; 0.05: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print("结论：地块类型与种植作物类型存在显著关联")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print("结论：地块类型与种植作物类型相互独立，无显著关联")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A1CBA01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七、国赛高频扣分避坑指南</w:t>
      </w:r>
    </w:p>
    <w:p w14:paraId="70F60B7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数据不满足正态，仍强行使用t检验/ANOVA，统计结论完全失效</w:t>
      </w:r>
    </w:p>
    <w:p w14:paraId="33F762F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混用检验方法：用卡方检验分析连续数值、用Mann-Whitney分析分类数据</w:t>
      </w:r>
    </w:p>
    <w:p w14:paraId="32C4E3F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描述错误：将Mann-Whitney检验的“分布/中位数差异”说成“均值差异”</w:t>
      </w:r>
    </w:p>
    <w:p w14:paraId="483EF04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不交代数据分布情况，无理由直接使用非参数检验，建模逻辑不完整</w:t>
      </w:r>
    </w:p>
    <w:p w14:paraId="0AFE087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卡方检验仅输出结果，不结合业务解读两类分类变量的关联规律</w:t>
      </w:r>
    </w:p>
    <w:p w14:paraId="016B27F9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93BC763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4C1EF41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11C93FB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333235F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4DCECC9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36705F6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E36360C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C1C093F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56D6EE8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58B1E0A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FBCD08E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725A38E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0412C9B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2F1B1C0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8A6343C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1395D4F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FACD142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4A3AD7F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1042577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A8893AA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7BA6DFD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E0D3060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950E8CA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0DC359E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F4D6740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1C4BDC1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2D4AC23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79B82E9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F98F78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t-SNE/UMAP高维降维可视化</w:t>
      </w:r>
    </w:p>
    <w:p w14:paraId="4208B393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一、模型核心定位</w:t>
      </w:r>
    </w:p>
    <w:p w14:paraId="5D9E7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：高维数据探索、样本分布可视化、聚类辅助分析</w:t>
      </w:r>
    </w:p>
    <w:p w14:paraId="03697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论文放置位置</w:t>
      </w:r>
      <w:r>
        <w:rPr>
          <w:rFonts w:ascii="Arial" w:hAnsi="Arial" w:eastAsia="等线" w:cs="Arial"/>
          <w:sz w:val="22"/>
        </w:rPr>
        <w:t>：第三章 数据预处理与探索性数据分析</w:t>
      </w:r>
    </w:p>
    <w:p w14:paraId="7DFB5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：将</w:t>
      </w:r>
      <w:r>
        <w:rPr>
          <w:rFonts w:ascii="Arial" w:hAnsi="Arial" w:eastAsia="等线" w:cs="Arial"/>
          <w:b/>
          <w:sz w:val="22"/>
        </w:rPr>
        <w:t>无法直接观测的十几维/几十维高维数据</w:t>
      </w:r>
      <w:r>
        <w:rPr>
          <w:rFonts w:ascii="Arial" w:hAnsi="Arial" w:eastAsia="等线" w:cs="Arial"/>
          <w:sz w:val="22"/>
        </w:rPr>
        <w:t>，通过非线性算法压缩至2D/3D平面，直观展示样本聚集规律、数据分布特征、类别区分度，辅助K-Means聚类选K、样本分层、异常样本识别。</w:t>
      </w:r>
    </w:p>
    <w:p w14:paraId="21201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国赛红线核心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仅用于可视化探索，严禁将降维坐标作为建模输入特征</w:t>
      </w:r>
      <w:r>
        <w:rPr>
          <w:rFonts w:ascii="Arial" w:hAnsi="Arial" w:eastAsia="等线" w:cs="Arial"/>
          <w:sz w:val="22"/>
        </w:rPr>
        <w:t>，不参与回归、优化、预测模型计算，仅做绘图佐证。</w:t>
      </w:r>
    </w:p>
    <w:p w14:paraId="78FB492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二、国赛精准适用场景</w:t>
      </w:r>
    </w:p>
    <w:p w14:paraId="42BF7F4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必用场景</w:t>
      </w:r>
    </w:p>
    <w:p w14:paraId="69F6C7C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多指标高维样本：地块多属性、设备多工况、监测点多指标、方案多维度参数</w:t>
      </w:r>
    </w:p>
    <w:p w14:paraId="30F1A09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辅助聚类分析：通过降维可视化观察样本自然抱团数量，确定K-Means最优聚类数K</w:t>
      </w:r>
    </w:p>
    <w:p w14:paraId="6E8C4AC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样本分层验证：直观展示优/中/差样本、不同工况样本的分布区分效果</w:t>
      </w:r>
    </w:p>
    <w:p w14:paraId="24DA773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复杂数据规律挖掘：高维数据人工无法解读，降维后直观呈现数据潜在模式</w:t>
      </w:r>
    </w:p>
    <w:p w14:paraId="33694C3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类基因、多维传感、高维监测类数据可视化展示</w:t>
      </w:r>
    </w:p>
    <w:p w14:paraId="5B69178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t-SNE与UMAP国赛选型规则</w:t>
      </w:r>
    </w:p>
    <w:p w14:paraId="5C1089B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t-SNE</w:t>
      </w:r>
      <w:r>
        <w:rPr>
          <w:rFonts w:ascii="Arial" w:hAnsi="Arial" w:eastAsia="等线" w:cs="Arial"/>
          <w:sz w:val="22"/>
        </w:rPr>
        <w:t>：局部聚类效果极佳，适合重点观察样本局部抱团、细分集群</w:t>
      </w:r>
    </w:p>
    <w:p w14:paraId="73C2DAA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UMAP</w:t>
      </w:r>
      <w:r>
        <w:rPr>
          <w:rFonts w:ascii="Arial" w:hAnsi="Arial" w:eastAsia="等线" w:cs="Arial"/>
          <w:sz w:val="22"/>
        </w:rPr>
        <w:t>：国赛首选升级版，兼顾局部聚集+全局分布，运算更快、结果更稳定，优先使用</w:t>
      </w:r>
    </w:p>
    <w:p w14:paraId="08FBCE6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三、算法核心原理</w:t>
      </w:r>
    </w:p>
    <w:p w14:paraId="5195E02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t-SNE算法原理</w:t>
      </w:r>
    </w:p>
    <w:p w14:paraId="4711E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t分布邻域嵌入算法，基于概率分布建模高维空间与低维空间的样本相似度，通过最小化KL散度，将高维空间中相似的样本映射为低维空间近距离点、不相似样本远距离分隔，实现高维数据非线性降维可视化。</w:t>
      </w:r>
    </w:p>
    <w:p w14:paraId="53EC6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核心特点</w:t>
      </w:r>
      <w:r>
        <w:rPr>
          <w:rFonts w:ascii="Arial" w:hAnsi="Arial" w:eastAsia="等线" w:cs="Arial"/>
          <w:sz w:val="22"/>
        </w:rPr>
        <w:t>：极致优化局部结构，全局距离无参考意义。</w:t>
      </w:r>
    </w:p>
    <w:p w14:paraId="31A8ABD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 UMAP算法原理</w:t>
      </w:r>
    </w:p>
    <w:p w14:paraId="1D198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均匀流形逼近与投影算法，基于流形学习理论，构建高维数据拓扑结构，在降维过程中同时保留</w:t>
      </w:r>
      <w:r>
        <w:rPr>
          <w:rFonts w:ascii="Arial" w:hAnsi="Arial" w:eastAsia="等线" w:cs="Arial"/>
          <w:b/>
          <w:sz w:val="22"/>
        </w:rPr>
        <w:t>局部邻域聚集特征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全局整体分布结构</w:t>
      </w:r>
      <w:r>
        <w:rPr>
          <w:rFonts w:ascii="Arial" w:hAnsi="Arial" w:eastAsia="等线" w:cs="Arial"/>
          <w:sz w:val="22"/>
        </w:rPr>
        <w:t>，弥补t-SNE全局结构丢失的缺陷，是目前数模竞赛最优高维可视化工具。</w:t>
      </w:r>
    </w:p>
    <w:p w14:paraId="61FCF91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四、模型优缺点</w:t>
      </w:r>
    </w:p>
    <w:p w14:paraId="7651DA8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t-SNE优缺点</w:t>
      </w:r>
    </w:p>
    <w:p w14:paraId="309A190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优点</w:t>
      </w:r>
      <w:r>
        <w:rPr>
          <w:rFonts w:ascii="Arial" w:hAnsi="Arial" w:eastAsia="等线" w:cs="Arial"/>
          <w:sz w:val="22"/>
        </w:rPr>
        <w:t>：局部聚类可视化效果细腻，样本集群边界清晰，适合观察细分样本类别</w:t>
      </w:r>
    </w:p>
    <w:p w14:paraId="4FA3F4B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缺点</w:t>
      </w:r>
      <w:r>
        <w:rPr>
          <w:rFonts w:ascii="Arial" w:hAnsi="Arial" w:eastAsia="等线" w:cs="Arial"/>
          <w:sz w:val="22"/>
        </w:rPr>
        <w:t>：运算速度慢、不保留全局空间结构、结果受随机种子影响大、无法用于建模计算</w:t>
      </w:r>
    </w:p>
    <w:p w14:paraId="31166E3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UMAP优缺点</w:t>
      </w:r>
    </w:p>
    <w:p w14:paraId="712D697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优点</w:t>
      </w:r>
      <w:r>
        <w:rPr>
          <w:rFonts w:ascii="Arial" w:hAnsi="Arial" w:eastAsia="等线" w:cs="Arial"/>
          <w:sz w:val="22"/>
        </w:rPr>
        <w:t>：兼顾局部与全局数据结构、运行高效稳定、可视化效果清晰、适配所有高维数模数据</w:t>
      </w:r>
    </w:p>
    <w:p w14:paraId="20F531A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缺点</w:t>
      </w:r>
      <w:r>
        <w:rPr>
          <w:rFonts w:ascii="Arial" w:hAnsi="Arial" w:eastAsia="等线" w:cs="Arial"/>
          <w:sz w:val="22"/>
        </w:rPr>
        <w:t>：相较于t-SNE，局部细微集群区分度略弱，但完全满足国赛需求</w:t>
      </w:r>
    </w:p>
    <w:p w14:paraId="0B7443E6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五、国赛满分论文段落</w:t>
      </w:r>
    </w:p>
    <w:p w14:paraId="1F0BE6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样本包含多维特征指标，高维数据无法直接直观观测分布规律与聚集特征。为实现高维数据可视化探索，采用UMAP非线性降维算法，将高维特征映射至二维平面，完整保留数据局部聚集结构与全局分布特征，直观展示样本聚类模式与差异化分布规律。本降维过程仅用于探索性可视化分析，降维输出坐标不参与后续建模运算，所有数据分析结论均结合原始指标综合判定，保证建模严谨性。</w:t>
      </w:r>
    </w:p>
    <w:p w14:paraId="130668F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六、逐行注释完整可运行代码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D79A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636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导入所需工具库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导入降维算法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sklearn.manifold import TSNE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umap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1. 构造国赛高维模拟数据（可直接替换为自己的多维指标数据）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模拟场景：6维高维地块数据（亩产、成本、收益、损耗、适配度、稳定性）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30个样本，分为3类潜在集群，模拟真实国赛分层数据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np.random.seed(42)  # 固定随机种子，保证结果可复现（国赛必备）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data_high_dim = np.random.randn(30, 6)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2. t-SNE降维可视化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初始化t-SNE模型：降至2维，固定随机种子保证复现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tsne = TSNE(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n_components=2,    # 降维至2维平面，适配绘图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random_state=42,   # 固定随机种子，结果稳定不变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perplexity=10,     # 邻域参数，适配小样本数据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learning_rate="auto"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执行降维，输出30行2列的二维坐标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data_tsne = tsne.fit_transform(data_high_dim)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绘制t-SNE可视化图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plt.figure(figsize=(6,5))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plt.scatter(data_tsne[:,0], data_tsne[:,1], c="#1f77b4", s=50)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plt.title("t-SNE高维数据降维可视化", fontsize=12)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plt.savefig("tSNE降维图.png", dpi=300)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3. UMAP降维可视化（国赛首选）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初始化UMAP降维模型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umap_reducer = umap.UMAP(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n_components=2,    # 二维降维可视化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random_state=42,   # 固定随机种子，竞赛可复现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n_neighbors=10     # 近邻数，适配数模样本量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执行降维拟合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data_umap = umap_reducer.fit_transform(data_high_dim)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绘制UMAP可视化图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plt.figure(figsize=(6,5))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plt.scatter(data_umap[:,0], data_umap[:,1], c="#ff7f0e", s=50)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plt.title("UMAP高维数据降维可视化", fontsize=12)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plt.savefig("UMAP降维图.png", dpi=300)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 4. 输出提示（论文说明可用） 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print("降维完成！")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print("核心说明：降维结果仅用于可视化探索，不参与后续建模计算")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print("可通过样本聚集情况，辅助确定K-Means聚类最优K值")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1D79FDE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七、国赛高频扣分避坑指南</w:t>
      </w:r>
    </w:p>
    <w:p w14:paraId="2AB1505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致命错误</w:t>
      </w:r>
      <w:r>
        <w:rPr>
          <w:rFonts w:ascii="Arial" w:hAnsi="Arial" w:eastAsia="等线" w:cs="Arial"/>
          <w:sz w:val="22"/>
        </w:rPr>
        <w:t>：将t-SNE/UMAP降维后的二维坐标作为新特征，带入聚类、回归、预测模型运算，属于方法误用</w:t>
      </w:r>
    </w:p>
    <w:p w14:paraId="122FD18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t-SNE解读错误：过度分析远距离样本的间距差异，仅局部聚集结构有参考价值</w:t>
      </w:r>
    </w:p>
    <w:p w14:paraId="5EB6A79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不固定随机种子，每次运行图片不一致，论文结果无法复现，建模不严谨</w:t>
      </w:r>
    </w:p>
    <w:p w14:paraId="5FE21B3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只贴图片不写分析，未解读样本聚集、分层、异常分布规律，无得分点</w:t>
      </w:r>
    </w:p>
    <w:p w14:paraId="029DAB3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用降维结果直接下业务结论，未结合原始多维指标数据交叉验证</w:t>
      </w:r>
    </w:p>
    <w:p w14:paraId="78AF759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高维数据强行用肉眼分析，未做降维可视化，数据分析深度不足</w:t>
      </w:r>
    </w:p>
    <w:p w14:paraId="15078E7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八、四套数据分析体系终极汇总</w:t>
      </w:r>
      <w:bookmarkStart w:id="15" w:name="_GoBack"/>
      <w:bookmarkEnd w:id="15"/>
    </w:p>
    <w:p w14:paraId="39AF0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相关分析</w:t>
      </w:r>
      <w:r>
        <w:rPr>
          <w:rFonts w:ascii="Arial" w:hAnsi="Arial" w:eastAsia="等线" w:cs="Arial"/>
          <w:sz w:val="22"/>
        </w:rPr>
        <w:t>：挖掘变量关联强弱、筛查共线性（Pearson线性、Spearman单调）</w:t>
      </w:r>
    </w:p>
    <w:p w14:paraId="6D6A24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参数检验</w:t>
      </w:r>
      <w:r>
        <w:rPr>
          <w:rFonts w:ascii="Arial" w:hAnsi="Arial" w:eastAsia="等线" w:cs="Arial"/>
          <w:sz w:val="22"/>
        </w:rPr>
        <w:t>：正态数据组间均值对比（t检验两组、ANOVA多组）</w:t>
      </w:r>
    </w:p>
    <w:p w14:paraId="158E8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非参数检验</w:t>
      </w:r>
      <w:r>
        <w:rPr>
          <w:rFonts w:ascii="Arial" w:hAnsi="Arial" w:eastAsia="等线" w:cs="Arial"/>
          <w:sz w:val="22"/>
        </w:rPr>
        <w:t>：非正态数据差异检验、分类变量关联（Mann-Whitney、卡方）</w:t>
      </w:r>
    </w:p>
    <w:p w14:paraId="73AF8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降维可视化</w:t>
      </w:r>
      <w:r>
        <w:rPr>
          <w:rFonts w:ascii="Arial" w:hAnsi="Arial" w:eastAsia="等线" w:cs="Arial"/>
          <w:sz w:val="22"/>
        </w:rPr>
        <w:t>：高维数据探索、辅助聚类分层（t-SNE局部、UMAP全能首选）</w:t>
      </w:r>
    </w:p>
    <w:p w14:paraId="0E428B5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统一核心定位</w:t>
      </w:r>
      <w:r>
        <w:rPr>
          <w:rFonts w:ascii="Arial" w:hAnsi="Arial" w:eastAsia="等线" w:cs="Arial"/>
          <w:sz w:val="22"/>
        </w:rPr>
        <w:t>：全部为</w:t>
      </w:r>
      <w:r>
        <w:rPr>
          <w:rFonts w:ascii="Arial" w:hAnsi="Arial" w:eastAsia="等线" w:cs="Arial"/>
          <w:b/>
          <w:sz w:val="22"/>
        </w:rPr>
        <w:t>前期探索性数据分析</w:t>
      </w:r>
      <w:r>
        <w:rPr>
          <w:rFonts w:ascii="Arial" w:hAnsi="Arial" w:eastAsia="等线" w:cs="Arial"/>
          <w:sz w:val="22"/>
        </w:rPr>
        <w:t>，只为核心建模做铺垫，不单独解题、不单独出结论。</w:t>
      </w:r>
    </w:p>
    <w:p w14:paraId="3B8F9E1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D85433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0874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3F0A7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EBE3A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B424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5F671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75222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81CA6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4DF21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2B779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BB41C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2C8920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3A9617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80D58F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50280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02F0B0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B28BEA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136B3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80734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E35884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7A1A2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09E60F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4329E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9281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0AFA1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CDDCC5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E91C1A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BC794D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1DA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803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86237A"/>
    <w:rsid w:val="18956B53"/>
    <w:rsid w:val="1E195367"/>
    <w:rsid w:val="1EAF0DB8"/>
    <w:rsid w:val="2D57167B"/>
    <w:rsid w:val="2EE27409"/>
    <w:rsid w:val="49092494"/>
    <w:rsid w:val="4BE909E0"/>
    <w:rsid w:val="6809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466</Words>
  <Characters>509</Characters>
  <TotalTime>61</TotalTime>
  <ScaleCrop>false</ScaleCrop>
  <LinksUpToDate>false</LinksUpToDate>
  <CharactersWithSpaces>515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2026-08-18T01:32:00Z</dcterms:created>
  <dc:creator>Apache POI</dc:creator>
  <cp:lastModifiedBy>18737739282王雯卓</cp:lastModifiedBy>
  <dcterms:modified xsi:type="dcterms:W3CDTF">2026-08-18T02:54:16Z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{"Label":"1","ContentProducer":"001191110102MACQD9K64010000","ProduceID":"7675178351049886693","ReservedCode1":"","ContentPropagator":"","PropagateID":"","ReservedCode2":""}</vt:lpwstr>
  </property>
  <property fmtid="{D5CDD505-2E9C-101B-9397-08002B2CF9AE}" pid="3" name="KSOTemplateDocerSaveRecord">
    <vt:lpwstr>eyJoZGlkIjoiNDQxNmNiMjVlODUwMzhmMTdjNWYxMDYwNjYzYzZiMDEiLCJ1c2VySWQiOiIxMzg2ODAzOTU3In0=</vt:lpwstr>
  </property>
  <property fmtid="{D5CDD505-2E9C-101B-9397-08002B2CF9AE}" pid="4" name="KSOProductBuildVer">
    <vt:lpwstr>2052-12.1.0.28043</vt:lpwstr>
  </property>
  <property fmtid="{D5CDD505-2E9C-101B-9397-08002B2CF9AE}" pid="5" name="ICV">
    <vt:lpwstr>BA3641B316F64E53A6A1064736BBB32C_12</vt:lpwstr>
  </property>
</Properties>
</file>