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027E3" w14:textId="54A909ED" w:rsidR="00232ABD" w:rsidRDefault="00000000">
      <w:pPr>
        <w:pStyle w:val="Title"/>
      </w:pPr>
      <w:r>
        <w:t>QC on Aug. </w:t>
      </w:r>
      <w:r w:rsidR="00F70961">
        <w:t>21</w:t>
      </w:r>
    </w:p>
    <w:p w14:paraId="04B70A95" w14:textId="3EEFAA8C" w:rsidR="00232ABD" w:rsidRDefault="00F70961">
      <w:pPr>
        <w:pStyle w:val="Author"/>
      </w:pPr>
      <w:r>
        <w:t>GQ</w:t>
      </w:r>
    </w:p>
    <w:p w14:paraId="7D1DA4CE" w14:textId="74510F8B" w:rsidR="00232ABD" w:rsidRDefault="00000000">
      <w:pPr>
        <w:pStyle w:val="Date"/>
      </w:pPr>
      <w:r>
        <w:t>08/</w:t>
      </w:r>
      <w:r w:rsidR="00F70961">
        <w:t>21</w:t>
      </w:r>
      <w:r>
        <w:t>/2024</w:t>
      </w:r>
    </w:p>
    <w:p w14:paraId="75487941" w14:textId="77777777" w:rsidR="00232ABD" w:rsidRDefault="00000000">
      <w:pPr>
        <w:pStyle w:val="Heading3"/>
      </w:pPr>
      <w:bookmarkStart w:id="0" w:name="background"/>
      <w:r>
        <w:t>Background</w:t>
      </w:r>
    </w:p>
    <w:p w14:paraId="70726C6E" w14:textId="77777777" w:rsidR="00F70961" w:rsidRDefault="00000000">
      <w:pPr>
        <w:pStyle w:val="FirstParagraph"/>
        <w:rPr>
          <w:i/>
          <w:iCs/>
        </w:rPr>
      </w:pPr>
      <w:r>
        <w:t xml:space="preserve">Data used in this report were first processed in two files, </w:t>
      </w:r>
    </w:p>
    <w:p w14:paraId="7860ADB8" w14:textId="027C2A61" w:rsidR="00232ABD" w:rsidRDefault="00000000">
      <w:pPr>
        <w:pStyle w:val="FirstParagraph"/>
      </w:pPr>
      <w:r>
        <w:rPr>
          <w:i/>
          <w:iCs/>
        </w:rPr>
        <w:t>QC_dataWranglingJuly30.Rmd</w:t>
      </w:r>
      <w:r>
        <w:t xml:space="preserve"> and </w:t>
      </w:r>
      <w:proofErr w:type="spellStart"/>
      <w:r>
        <w:rPr>
          <w:i/>
          <w:iCs/>
        </w:rPr>
        <w:t>ReadinFeacureCountsAnnotation.R</w:t>
      </w:r>
      <w:proofErr w:type="spellEnd"/>
      <w:r>
        <w:t>.</w:t>
      </w:r>
    </w:p>
    <w:p w14:paraId="2FF55678" w14:textId="086ACB99" w:rsidR="00232ABD" w:rsidRDefault="00000000">
      <w:pPr>
        <w:pStyle w:val="Compact"/>
        <w:numPr>
          <w:ilvl w:val="0"/>
          <w:numId w:val="2"/>
        </w:numPr>
      </w:pPr>
      <w:r>
        <w:t xml:space="preserve">Data wrangling performed in </w:t>
      </w:r>
      <w:r>
        <w:rPr>
          <w:i/>
          <w:iCs/>
        </w:rPr>
        <w:t>QC_dataWranglingJuly30.Rmd</w:t>
      </w:r>
    </w:p>
    <w:p w14:paraId="7202FF59" w14:textId="77777777" w:rsidR="00232ABD" w:rsidRDefault="00000000">
      <w:pPr>
        <w:numPr>
          <w:ilvl w:val="1"/>
          <w:numId w:val="3"/>
        </w:numPr>
      </w:pPr>
      <w:r>
        <w:t>organize all meta data together</w:t>
      </w:r>
    </w:p>
    <w:p w14:paraId="780AFDA7" w14:textId="77777777" w:rsidR="00232ABD" w:rsidRDefault="00000000">
      <w:pPr>
        <w:numPr>
          <w:ilvl w:val="1"/>
          <w:numId w:val="3"/>
        </w:numPr>
      </w:pPr>
      <w:r>
        <w:t>filter data by RIN and delivery status</w:t>
      </w:r>
    </w:p>
    <w:p w14:paraId="58B1E77A" w14:textId="7C9ADA3F" w:rsidR="00232ABD" w:rsidRDefault="00000000">
      <w:pPr>
        <w:numPr>
          <w:ilvl w:val="1"/>
          <w:numId w:val="1"/>
        </w:numPr>
      </w:pPr>
      <w:r>
        <w:t xml:space="preserve">remove </w:t>
      </w:r>
      <w:r w:rsidR="00F70961">
        <w:t>3</w:t>
      </w:r>
      <w:r>
        <w:t xml:space="preserve"> samples with RIN equal to or less than 4</w:t>
      </w:r>
    </w:p>
    <w:p w14:paraId="3C0A1E3E" w14:textId="756C4A0C" w:rsidR="00232ABD" w:rsidRDefault="00000000">
      <w:pPr>
        <w:numPr>
          <w:ilvl w:val="1"/>
          <w:numId w:val="1"/>
        </w:numPr>
      </w:pPr>
      <w:r>
        <w:t xml:space="preserve">remove </w:t>
      </w:r>
      <w:r w:rsidR="00F70961">
        <w:t>3</w:t>
      </w:r>
      <w:r>
        <w:t xml:space="preserve"> samples with </w:t>
      </w:r>
      <w:r w:rsidR="00F70961">
        <w:t>AD</w:t>
      </w:r>
    </w:p>
    <w:p w14:paraId="6B371214" w14:textId="77777777" w:rsidR="00232ABD" w:rsidRDefault="00000000">
      <w:pPr>
        <w:pStyle w:val="Compact"/>
        <w:numPr>
          <w:ilvl w:val="0"/>
          <w:numId w:val="2"/>
        </w:numPr>
      </w:pPr>
      <w:r>
        <w:t xml:space="preserve">Gene counts processed in </w:t>
      </w:r>
      <w:r>
        <w:rPr>
          <w:i/>
          <w:iCs/>
        </w:rPr>
        <w:t>ReadinFeacureCountsAnnotation.R</w:t>
      </w:r>
    </w:p>
    <w:p w14:paraId="3ABD7623" w14:textId="77777777" w:rsidR="00232ABD" w:rsidRDefault="00000000">
      <w:pPr>
        <w:pStyle w:val="Compact"/>
        <w:numPr>
          <w:ilvl w:val="1"/>
          <w:numId w:val="4"/>
        </w:numPr>
      </w:pPr>
      <w:r>
        <w:t>Correct sample swaps</w:t>
      </w:r>
    </w:p>
    <w:p w14:paraId="1169F3B6" w14:textId="77777777" w:rsidR="00232ABD" w:rsidRDefault="00000000">
      <w:pPr>
        <w:pStyle w:val="Heading3"/>
      </w:pPr>
      <w:bookmarkStart w:id="1" w:name="outline"/>
      <w:bookmarkEnd w:id="0"/>
      <w:r>
        <w:t>Outline</w:t>
      </w:r>
    </w:p>
    <w:p w14:paraId="28B73C2D" w14:textId="77777777" w:rsidR="00232ABD" w:rsidRDefault="00000000">
      <w:pPr>
        <w:pStyle w:val="FirstParagraph"/>
      </w:pPr>
      <w:r>
        <w:t>-Filter lowly expressed genes</w:t>
      </w:r>
    </w:p>
    <w:p w14:paraId="188C4086" w14:textId="00E38D96" w:rsidR="00232ABD" w:rsidRDefault="00000000">
      <w:pPr>
        <w:pStyle w:val="BodyText"/>
      </w:pPr>
      <w:r>
        <w:t xml:space="preserve">-Cut </w:t>
      </w:r>
      <w:r w:rsidR="000654B9">
        <w:t>OMG</w:t>
      </w:r>
      <w:r>
        <w:t xml:space="preserve"> into factors </w:t>
      </w:r>
    </w:p>
    <w:p w14:paraId="579414AB" w14:textId="34BB5609" w:rsidR="00232ABD" w:rsidRDefault="00000000">
      <w:pPr>
        <w:pStyle w:val="BodyText"/>
      </w:pPr>
      <w:r>
        <w:t>-Regress out batch effects significantly correlated with PC1 rather than 4 batch effects</w:t>
      </w:r>
    </w:p>
    <w:p w14:paraId="66E9C29B" w14:textId="77777777" w:rsidR="00232ABD" w:rsidRDefault="00000000">
      <w:pPr>
        <w:pStyle w:val="BodyText"/>
      </w:pPr>
      <w:r>
        <w:t>-Revisit the PCA to see which variables we should include in our models</w:t>
      </w:r>
    </w:p>
    <w:p w14:paraId="30DB9006" w14:textId="77777777" w:rsidR="00232ABD" w:rsidRDefault="00000000">
      <w:pPr>
        <w:pStyle w:val="Heading3"/>
      </w:pPr>
      <w:bookmarkStart w:id="2" w:name="pooled-data-set-110-samples"/>
      <w:bookmarkEnd w:id="1"/>
      <w:r>
        <w:t>Pooled data set (110 samples)</w:t>
      </w:r>
    </w:p>
    <w:p w14:paraId="0AA760DE" w14:textId="77777777" w:rsidR="00232ABD" w:rsidRDefault="00000000">
      <w:pPr>
        <w:numPr>
          <w:ilvl w:val="0"/>
          <w:numId w:val="5"/>
        </w:numPr>
      </w:pPr>
      <w:r>
        <w:t>apc_PC1/2/3 — ancestry PC1/2/3</w:t>
      </w:r>
    </w:p>
    <w:p w14:paraId="523BDBDF" w14:textId="77777777" w:rsidR="00232ABD" w:rsidRDefault="00000000">
      <w:pPr>
        <w:pStyle w:val="FirstParagraph"/>
      </w:pPr>
      <w:r>
        <w:t>To better know our data, variable names, summary statistics of numerical variables, and sample size for categorical variables shown as below.</w:t>
      </w:r>
    </w:p>
    <w:p w14:paraId="79791E5C" w14:textId="77777777" w:rsidR="00232ABD" w:rsidRDefault="00000000">
      <w:pPr>
        <w:pStyle w:val="FirstParagraph"/>
      </w:pPr>
      <w:r>
        <w:t>Summary statistics of numerical variables</w:t>
      </w:r>
    </w:p>
    <w:p w14:paraId="1B395BC5" w14:textId="11E066FF" w:rsidR="00232ABD" w:rsidRDefault="00000000">
      <w:pPr>
        <w:pStyle w:val="FirstParagraph"/>
      </w:pPr>
      <w:r>
        <w:t>Sample size for sex (F-female, M-male) in each visit (v1/2/3/4 – 1st/2nd/3rd/4th visit) as shown below.</w:t>
      </w:r>
    </w:p>
    <w:p w14:paraId="5E79987B" w14:textId="77777777" w:rsidR="00232ABD" w:rsidRDefault="00000000">
      <w:pPr>
        <w:pStyle w:val="Heading3"/>
      </w:pPr>
      <w:bookmarkStart w:id="3" w:name="removing-lowly-expressed-genes"/>
      <w:bookmarkEnd w:id="2"/>
      <w:r>
        <w:t>Removing lowly expressed genes</w:t>
      </w:r>
    </w:p>
    <w:p w14:paraId="79DB9161" w14:textId="77777777" w:rsidR="00232ABD" w:rsidRDefault="00000000">
      <w:pPr>
        <w:pStyle w:val="FirstParagraph"/>
      </w:pPr>
      <w:r>
        <w:t xml:space="preserve">Before filtering, I first annotated genes using the gene reference (basic gene annotation for GRCh38.p14 downloaded from GENCODE website), then filtered by Class (keeping </w:t>
      </w:r>
      <w:r>
        <w:lastRenderedPageBreak/>
        <w:t xml:space="preserve">“protein_coding”), and Chromosomes (removing “chrY” and “chrM”). At last, we have </w:t>
      </w:r>
      <w:r>
        <w:rPr>
          <w:b/>
          <w:bCs/>
        </w:rPr>
        <w:t>19,878</w:t>
      </w:r>
      <w:r>
        <w:t xml:space="preserve"> genes left.</w:t>
      </w:r>
    </w:p>
    <w:p w14:paraId="77654041" w14:textId="77777777" w:rsidR="00232ABD" w:rsidRDefault="00000000">
      <w:pPr>
        <w:pStyle w:val="BodyText"/>
      </w:pPr>
      <w:r>
        <w:rPr>
          <w:b/>
          <w:bCs/>
        </w:rPr>
        <w:t>Keeping genes that have a count per million (CPM) &gt; 1 in at least 25% of samples</w:t>
      </w:r>
    </w:p>
    <w:p w14:paraId="025EEDEF" w14:textId="1301FEEF" w:rsidR="00232ABD" w:rsidRDefault="00000000">
      <w:pPr>
        <w:pStyle w:val="BodyText"/>
      </w:pPr>
      <w:r>
        <w:rPr>
          <w:b/>
          <w:bCs/>
        </w:rPr>
        <w:t>11,</w:t>
      </w:r>
      <w:r w:rsidR="000654B9">
        <w:rPr>
          <w:b/>
          <w:bCs/>
        </w:rPr>
        <w:t>000</w:t>
      </w:r>
      <w:r>
        <w:t xml:space="preserve"> genes were left after filtering lowly expressed genes.</w:t>
      </w:r>
    </w:p>
    <w:p w14:paraId="0EDAA818" w14:textId="19ED550A" w:rsidR="00232ABD" w:rsidRDefault="000654B9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E41E00" wp14:editId="768F5948">
                <wp:simplePos x="0" y="0"/>
                <wp:positionH relativeFrom="column">
                  <wp:posOffset>3527230</wp:posOffset>
                </wp:positionH>
                <wp:positionV relativeFrom="paragraph">
                  <wp:posOffset>414380</wp:posOffset>
                </wp:positionV>
                <wp:extent cx="360" cy="360"/>
                <wp:effectExtent l="63500" t="101600" r="50800" b="88900"/>
                <wp:wrapNone/>
                <wp:docPr id="203648329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AB7B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4.9pt;margin-top:27pt;width:5.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&#13;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2328CB9F" wp14:editId="6F184842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NAPS_240814_PC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F5205" w14:textId="77777777" w:rsidR="00232ABD" w:rsidRDefault="00000000">
      <w:pPr>
        <w:pStyle w:val="BodyText"/>
      </w:pPr>
      <w:r>
        <w:rPr>
          <w:b/>
          <w:bCs/>
        </w:rPr>
        <w:t>Fig. 1 The density of log-CPM values for raw pre-filtered data (A) and post-filtered data (B) shown for each sample</w:t>
      </w:r>
    </w:p>
    <w:p w14:paraId="4AAA8E97" w14:textId="77777777" w:rsidR="00232ABD" w:rsidRDefault="00000000">
      <w:pPr>
        <w:pStyle w:val="BodyText"/>
      </w:pPr>
      <w:r>
        <w:t>Plot A shows lots of lowly expressed genes before filtering.</w:t>
      </w:r>
    </w:p>
    <w:p w14:paraId="0C2D0B9A" w14:textId="77777777" w:rsidR="00232ABD" w:rsidRDefault="00000000">
      <w:pPr>
        <w:pStyle w:val="BodyText"/>
      </w:pPr>
      <w:r>
        <w:t>Plot B shows peaks of lowly expressed genes were removed after filtering.</w:t>
      </w:r>
    </w:p>
    <w:p w14:paraId="3722D722" w14:textId="77777777" w:rsidR="00232ABD" w:rsidRDefault="00000000">
      <w:pPr>
        <w:pStyle w:val="Heading5"/>
      </w:pPr>
      <w:bookmarkStart w:id="4" w:name="X40b1b5a2f3950559f04d9ee07b40325840b5ad7"/>
      <w:r>
        <w:t>Normalizing gene expression distributions</w:t>
      </w:r>
    </w:p>
    <w:p w14:paraId="4EA3F211" w14:textId="77777777" w:rsidR="00232ABD" w:rsidRDefault="00000000">
      <w:pPr>
        <w:pStyle w:val="FirstParagraph"/>
      </w:pPr>
      <w:r>
        <w:t xml:space="preserve">Using the method of </w:t>
      </w:r>
      <w:r>
        <w:rPr>
          <w:b/>
          <w:bCs/>
        </w:rPr>
        <w:t>trimmed mean of M-values (TMM)</w:t>
      </w:r>
      <w:r>
        <w:t xml:space="preserve"> method to normalize and then remove batch effects.</w:t>
      </w:r>
    </w:p>
    <w:p w14:paraId="028A514B" w14:textId="77777777" w:rsidR="00232ABD" w:rsidRDefault="00000000">
      <w:pPr>
        <w:pStyle w:val="BodyText"/>
      </w:pPr>
      <w:r>
        <w:t>TMM normalizes the library sizes to produce effective library sizes.</w:t>
      </w:r>
    </w:p>
    <w:p w14:paraId="0F5D58EE" w14:textId="77777777" w:rsidR="00232ABD" w:rsidRDefault="00000000">
      <w:pPr>
        <w:pStyle w:val="BodyText"/>
      </w:pPr>
      <w:r>
        <w:t>CPM values are counts normalized by the effective library sizes.</w:t>
      </w:r>
    </w:p>
    <w:p w14:paraId="0B295C29" w14:textId="77777777" w:rsidR="00232ABD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11990058" wp14:editId="35AEE6E4">
            <wp:extent cx="5334000" cy="40005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NAPS_240814_PC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C9824" wp14:editId="56C5525A">
            <wp:extent cx="5334000" cy="40005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NAPS_240814_PCA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15621" w14:textId="77777777" w:rsidR="00232ABD" w:rsidRDefault="00000000">
      <w:pPr>
        <w:pStyle w:val="BodyText"/>
      </w:pPr>
      <w:r>
        <w:rPr>
          <w:b/>
          <w:bCs/>
        </w:rPr>
        <w:lastRenderedPageBreak/>
        <w:t>Fig. 2 Boxplots of log-CPM values showing expression distributions for unnormalised data (A) and normalised data (B) for each sample</w:t>
      </w:r>
    </w:p>
    <w:p w14:paraId="30120389" w14:textId="77777777" w:rsidR="00232ABD" w:rsidRDefault="00000000">
      <w:pPr>
        <w:pStyle w:val="BodyText"/>
      </w:pPr>
      <w:r>
        <w:t>Distributions before normalization are noticeably different. Blue line indicates the median of log-CPM.</w:t>
      </w:r>
    </w:p>
    <w:p w14:paraId="3E1E668D" w14:textId="77777777" w:rsidR="00232ABD" w:rsidRDefault="00000000">
      <w:pPr>
        <w:pStyle w:val="BodyText"/>
      </w:pPr>
      <w:r>
        <w:t>Distributions after normalization are similar.</w:t>
      </w:r>
    </w:p>
    <w:p w14:paraId="2F510983" w14:textId="77777777" w:rsidR="00232ABD" w:rsidRDefault="00000000">
      <w:pPr>
        <w:pStyle w:val="Heading3"/>
      </w:pPr>
      <w:bookmarkStart w:id="5" w:name="pca"/>
      <w:bookmarkEnd w:id="3"/>
      <w:bookmarkEnd w:id="4"/>
      <w:r>
        <w:t>PCA</w:t>
      </w:r>
    </w:p>
    <w:p w14:paraId="78BBF5C7" w14:textId="2B5B3EF9" w:rsidR="00232ABD" w:rsidRDefault="00000000" w:rsidP="000654B9">
      <w:pPr>
        <w:pStyle w:val="FirstParagraph"/>
      </w:pPr>
      <w:r>
        <w:rPr>
          <w:b/>
          <w:bCs/>
        </w:rPr>
        <w:t>Before batch effects removed</w:t>
      </w:r>
    </w:p>
    <w:p w14:paraId="5DD0CA21" w14:textId="77777777" w:rsidR="00232ABD" w:rsidRDefault="00000000">
      <w:pPr>
        <w:pStyle w:val="BodyText"/>
      </w:pPr>
      <w:r>
        <w:rPr>
          <w:b/>
          <w:bCs/>
        </w:rPr>
        <w:t>Fig. 3 PCA plots of first two PCs</w:t>
      </w:r>
    </w:p>
    <w:p w14:paraId="2DE73120" w14:textId="77777777" w:rsidR="00232ABD" w:rsidRDefault="00000000">
      <w:pPr>
        <w:pStyle w:val="BodyText"/>
      </w:pPr>
      <w:r>
        <w:rPr>
          <w:noProof/>
        </w:rPr>
        <w:drawing>
          <wp:inline distT="0" distB="0" distL="0" distR="0" wp14:anchorId="0B284352" wp14:editId="22AB455B">
            <wp:extent cx="5334000" cy="4267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NAPS_240814_PC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889AA" w14:textId="0C022A9B" w:rsidR="00232ABD" w:rsidRDefault="00000000">
      <w:pPr>
        <w:pStyle w:val="BodyText"/>
      </w:pPr>
      <w:r>
        <w:rPr>
          <w:b/>
          <w:bCs/>
        </w:rPr>
        <w:t xml:space="preserve">Fig. 4 PCA plots of first two PCs with </w:t>
      </w:r>
      <w:r>
        <w:rPr>
          <w:b/>
          <w:bCs/>
          <w:i/>
          <w:iCs/>
        </w:rPr>
        <w:t>RIN</w:t>
      </w:r>
      <w:r>
        <w:rPr>
          <w:b/>
          <w:bCs/>
        </w:rPr>
        <w:t xml:space="preserve"> colored by RIN levels</w:t>
      </w:r>
    </w:p>
    <w:p w14:paraId="45A60903" w14:textId="77777777" w:rsidR="00232ABD" w:rsidRDefault="00000000">
      <w:pPr>
        <w:pStyle w:val="BodyText"/>
      </w:pPr>
      <w:r>
        <w:rPr>
          <w:b/>
          <w:bCs/>
        </w:rPr>
        <w:t xml:space="preserve">Fig. 5 PCA plots of first two PCs with </w:t>
      </w:r>
      <w:r>
        <w:rPr>
          <w:b/>
          <w:bCs/>
          <w:i/>
          <w:iCs/>
        </w:rPr>
        <w:t>uniquely_mapped_pct</w:t>
      </w:r>
      <w:r>
        <w:rPr>
          <w:b/>
          <w:bCs/>
        </w:rPr>
        <w:t xml:space="preserve"> colored by the proportion of uniquely mapped reads</w:t>
      </w:r>
    </w:p>
    <w:p w14:paraId="6357C8BE" w14:textId="1486A204" w:rsidR="00232ABD" w:rsidRDefault="00232ABD">
      <w:pPr>
        <w:pStyle w:val="BodyText"/>
      </w:pPr>
    </w:p>
    <w:p w14:paraId="39BD146A" w14:textId="77777777" w:rsidR="00232ABD" w:rsidRDefault="00000000">
      <w:pPr>
        <w:pStyle w:val="BodyText"/>
      </w:pPr>
      <w:r>
        <w:rPr>
          <w:b/>
          <w:bCs/>
        </w:rPr>
        <w:t xml:space="preserve">Fig. 6 PCA plots of first two PCs with </w:t>
      </w:r>
      <w:r>
        <w:rPr>
          <w:b/>
          <w:bCs/>
          <w:i/>
          <w:iCs/>
        </w:rPr>
        <w:t>DHA</w:t>
      </w:r>
      <w:r>
        <w:rPr>
          <w:b/>
          <w:bCs/>
        </w:rPr>
        <w:t xml:space="preserve"> colored by DHA levels</w:t>
      </w:r>
    </w:p>
    <w:p w14:paraId="15A62D69" w14:textId="4C9F79EF" w:rsidR="00232ABD" w:rsidRDefault="00000000" w:rsidP="000654B9">
      <w:pPr>
        <w:pStyle w:val="Heading5"/>
      </w:pPr>
      <w:bookmarkStart w:id="6" w:name="X3d08264d73ff6547311840843e81141ab56d6d9"/>
      <w:r>
        <w:t>Assess correlation between all pairs of variables</w:t>
      </w:r>
      <w:bookmarkEnd w:id="5"/>
      <w:bookmarkEnd w:id="6"/>
    </w:p>
    <w:sectPr w:rsidR="00232A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97A08" w14:textId="77777777" w:rsidR="00ED09E7" w:rsidRDefault="00ED09E7">
      <w:pPr>
        <w:spacing w:after="0"/>
      </w:pPr>
      <w:r>
        <w:separator/>
      </w:r>
    </w:p>
  </w:endnote>
  <w:endnote w:type="continuationSeparator" w:id="0">
    <w:p w14:paraId="43049D44" w14:textId="77777777" w:rsidR="00ED09E7" w:rsidRDefault="00ED09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7937F" w14:textId="77777777" w:rsidR="00ED09E7" w:rsidRDefault="00ED09E7">
      <w:r>
        <w:separator/>
      </w:r>
    </w:p>
  </w:footnote>
  <w:footnote w:type="continuationSeparator" w:id="0">
    <w:p w14:paraId="2F511853" w14:textId="77777777" w:rsidR="00ED09E7" w:rsidRDefault="00ED0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6B639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17668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60642669">
    <w:abstractNumId w:val="0"/>
  </w:num>
  <w:num w:numId="2" w16cid:durableId="95685109">
    <w:abstractNumId w:val="1"/>
  </w:num>
  <w:num w:numId="3" w16cid:durableId="427584087">
    <w:abstractNumId w:val="1"/>
  </w:num>
  <w:num w:numId="4" w16cid:durableId="642275091">
    <w:abstractNumId w:val="1"/>
  </w:num>
  <w:num w:numId="5" w16cid:durableId="1300914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ABD"/>
    <w:rsid w:val="000654B9"/>
    <w:rsid w:val="00230E38"/>
    <w:rsid w:val="00232ABD"/>
    <w:rsid w:val="00ED09E7"/>
    <w:rsid w:val="00F7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15935"/>
  <w15:docId w15:val="{AEA7018D-6B59-4640-AF44-1D057D3A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2T03:46:12.664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NAPS QC on Aug. 14</vt:lpstr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NAPS QC on Aug. 14</dc:title>
  <dc:creator>Qing</dc:creator>
  <cp:keywords/>
  <cp:lastModifiedBy>qing watermelon</cp:lastModifiedBy>
  <cp:revision>2</cp:revision>
  <dcterms:created xsi:type="dcterms:W3CDTF">2024-08-14T20:48:00Z</dcterms:created>
  <dcterms:modified xsi:type="dcterms:W3CDTF">2024-08-22T03:48:00Z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08/14/2024</vt:lpwstr>
  </property>
  <property fmtid="{D5CDD505-2E9C-101B-9397-08002B2CF9AE}" pid="3" name="output">
    <vt:lpwstr/>
  </property>
</Properties>
</file>