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381B0" w14:textId="15B3BD2F" w:rsidR="00556A65" w:rsidRPr="00556A65" w:rsidRDefault="00556A65">
      <w:pPr>
        <w:rPr>
          <w:rFonts w:ascii="Times New Roman" w:hAnsi="Times New Roman" w:cs="Times New Roman"/>
          <w:lang w:val="en-US"/>
        </w:rPr>
      </w:pPr>
      <w:r w:rsidRPr="00556A65">
        <w:rPr>
          <w:rFonts w:ascii="Times New Roman" w:hAnsi="Times New Roman" w:cs="Times New Roman"/>
          <w:b/>
          <w:bCs/>
          <w:lang w:val="en-US"/>
        </w:rPr>
        <w:t>Title</w:t>
      </w:r>
      <w:r w:rsidRPr="00556A65">
        <w:rPr>
          <w:rFonts w:ascii="Times New Roman" w:hAnsi="Times New Roman" w:cs="Times New Roman"/>
          <w:lang w:val="en-US"/>
        </w:rPr>
        <w:t>: Adaptive Mobility Responses During Hurricanes Helene and Milton: A Comparative Analysis of Coastal and Inland Populations</w:t>
      </w:r>
    </w:p>
    <w:p w14:paraId="5980BCC0" w14:textId="59E1EE23" w:rsidR="00556A65" w:rsidRPr="00556A65" w:rsidRDefault="00556A65">
      <w:pPr>
        <w:rPr>
          <w:rFonts w:ascii="Times New Roman" w:hAnsi="Times New Roman" w:cs="Times New Roman"/>
        </w:rPr>
      </w:pPr>
      <w:r w:rsidRPr="00556A65">
        <w:rPr>
          <w:rStyle w:val="citation-1356"/>
          <w:rFonts w:ascii="Times New Roman" w:hAnsi="Times New Roman" w:cs="Times New Roman"/>
          <w:b/>
          <w:bCs/>
        </w:rPr>
        <w:t>Authors:</w:t>
      </w:r>
      <w:r w:rsidRPr="00556A65">
        <w:rPr>
          <w:rStyle w:val="citation-1356"/>
          <w:rFonts w:ascii="Times New Roman" w:hAnsi="Times New Roman" w:cs="Times New Roman"/>
        </w:rPr>
        <w:t xml:space="preserve"> Qing Yao, Victoria D. Lynch, </w:t>
      </w:r>
      <w:r w:rsidR="00C879CD">
        <w:rPr>
          <w:rStyle w:val="citation-1356"/>
          <w:rFonts w:ascii="Times New Roman" w:hAnsi="Times New Roman" w:cs="Times New Roman"/>
        </w:rPr>
        <w:t xml:space="preserve">Angelina Liu, </w:t>
      </w:r>
      <w:proofErr w:type="spellStart"/>
      <w:r w:rsidRPr="00556A65">
        <w:rPr>
          <w:rStyle w:val="citation-1356"/>
          <w:rFonts w:ascii="Times New Roman" w:hAnsi="Times New Roman" w:cs="Times New Roman"/>
        </w:rPr>
        <w:t>Molei</w:t>
      </w:r>
      <w:proofErr w:type="spellEnd"/>
      <w:r w:rsidRPr="00556A65">
        <w:rPr>
          <w:rStyle w:val="citation-1356"/>
          <w:rFonts w:ascii="Times New Roman" w:hAnsi="Times New Roman" w:cs="Times New Roman"/>
        </w:rPr>
        <w:t xml:space="preserve"> Liu, Xiao Wu, Robbie M. Parks, Sen Pei</w:t>
      </w:r>
    </w:p>
    <w:p w14:paraId="1E332905" w14:textId="49A2C625" w:rsidR="00556A65" w:rsidRPr="00556A65" w:rsidRDefault="00556A65">
      <w:pPr>
        <w:rPr>
          <w:rFonts w:ascii="Times New Roman" w:hAnsi="Times New Roman" w:cs="Times New Roman"/>
          <w:lang w:val="en-US"/>
        </w:rPr>
      </w:pPr>
      <w:r w:rsidRPr="00556A65">
        <w:rPr>
          <w:rFonts w:ascii="Times New Roman" w:hAnsi="Times New Roman" w:cs="Times New Roman"/>
          <w:b/>
          <w:bCs/>
          <w:lang w:val="en-US"/>
        </w:rPr>
        <w:t>Objective</w:t>
      </w:r>
      <w:r w:rsidRPr="00556A65">
        <w:rPr>
          <w:rFonts w:ascii="Times New Roman" w:hAnsi="Times New Roman" w:cs="Times New Roman"/>
          <w:lang w:val="en-US"/>
        </w:rPr>
        <w:t xml:space="preserve">: </w:t>
      </w:r>
      <w:r w:rsidR="00BF6FC0" w:rsidRPr="00BF6FC0">
        <w:rPr>
          <w:rFonts w:ascii="Times New Roman" w:hAnsi="Times New Roman" w:cs="Times New Roman"/>
          <w:lang w:val="en-US"/>
        </w:rPr>
        <w:t xml:space="preserve">This study quantifies and compares human mobility adaptations during Hurricanes Helene and Milton in 2024, two temporally proximate storms affecting distinct geographic contexts. </w:t>
      </w:r>
      <w:r w:rsidR="00542543" w:rsidRPr="00542543">
        <w:rPr>
          <w:rFonts w:ascii="Times New Roman" w:hAnsi="Times New Roman" w:cs="Times New Roman"/>
          <w:lang w:val="en-US"/>
        </w:rPr>
        <w:t>We examine evacuation and local movement behaviors across points of interest (POIs), contrasting coastal and inland regions with differing historical exposure to hurricanes.</w:t>
      </w:r>
    </w:p>
    <w:p w14:paraId="09CC9E8E" w14:textId="4570A831" w:rsidR="00556A65" w:rsidRPr="009C5BC4" w:rsidRDefault="00556A65" w:rsidP="009C5BC4">
      <w:pPr>
        <w:rPr>
          <w:rFonts w:ascii="Times New Roman" w:hAnsi="Times New Roman" w:cs="Times New Roman"/>
        </w:rPr>
      </w:pPr>
      <w:r w:rsidRPr="00556A65">
        <w:rPr>
          <w:rFonts w:ascii="Times New Roman" w:hAnsi="Times New Roman" w:cs="Times New Roman"/>
          <w:b/>
          <w:bCs/>
        </w:rPr>
        <w:t>Material and Methods</w:t>
      </w:r>
      <w:r w:rsidRPr="00556A65">
        <w:rPr>
          <w:rFonts w:ascii="Times New Roman" w:hAnsi="Times New Roman" w:cs="Times New Roman"/>
        </w:rPr>
        <w:t xml:space="preserve"> </w:t>
      </w:r>
      <w:r w:rsidRPr="00556A65">
        <w:rPr>
          <w:rStyle w:val="citation-1368"/>
          <w:rFonts w:ascii="Times New Roman" w:hAnsi="Times New Roman" w:cs="Times New Roman"/>
        </w:rPr>
        <w:t xml:space="preserve">We </w:t>
      </w:r>
      <w:proofErr w:type="spellStart"/>
      <w:r w:rsidRPr="00556A65">
        <w:rPr>
          <w:rStyle w:val="citation-1368"/>
          <w:rFonts w:ascii="Times New Roman" w:hAnsi="Times New Roman" w:cs="Times New Roman"/>
        </w:rPr>
        <w:t>analyzed</w:t>
      </w:r>
      <w:proofErr w:type="spellEnd"/>
      <w:r w:rsidRPr="00556A65">
        <w:rPr>
          <w:rStyle w:val="citation-1368"/>
          <w:rFonts w:ascii="Times New Roman" w:hAnsi="Times New Roman" w:cs="Times New Roman"/>
        </w:rPr>
        <w:t xml:space="preserve"> 3.56 billion high-resolution foot-traffic records from mobile devices across the southeastern United States between September 9 and October 20, 2024</w:t>
      </w:r>
      <w:r w:rsidRPr="00556A65">
        <w:rPr>
          <w:rFonts w:ascii="Times New Roman" w:hAnsi="Times New Roman" w:cs="Times New Roman"/>
        </w:rPr>
        <w:t xml:space="preserve">. </w:t>
      </w:r>
      <w:r w:rsidRPr="00556A65">
        <w:rPr>
          <w:rStyle w:val="citation-1367"/>
          <w:rFonts w:ascii="Times New Roman" w:hAnsi="Times New Roman" w:cs="Times New Roman"/>
        </w:rPr>
        <w:t xml:space="preserve">Affected regions were defined as counties with geographic </w:t>
      </w:r>
      <w:proofErr w:type="spellStart"/>
      <w:r w:rsidRPr="00556A65">
        <w:rPr>
          <w:rStyle w:val="citation-1367"/>
          <w:rFonts w:ascii="Times New Roman" w:hAnsi="Times New Roman" w:cs="Times New Roman"/>
        </w:rPr>
        <w:t>centers</w:t>
      </w:r>
      <w:proofErr w:type="spellEnd"/>
      <w:r w:rsidRPr="00556A65">
        <w:rPr>
          <w:rStyle w:val="citation-1367"/>
          <w:rFonts w:ascii="Times New Roman" w:hAnsi="Times New Roman" w:cs="Times New Roman"/>
        </w:rPr>
        <w:t xml:space="preserve"> within 50 miles of the storm tracks</w:t>
      </w:r>
      <w:r w:rsidRPr="00556A65">
        <w:rPr>
          <w:rFonts w:ascii="Times New Roman" w:hAnsi="Times New Roman" w:cs="Times New Roman"/>
        </w:rPr>
        <w:t xml:space="preserve">. </w:t>
      </w:r>
      <w:r w:rsidRPr="00556A65">
        <w:rPr>
          <w:rStyle w:val="citation-1366"/>
          <w:rFonts w:ascii="Times New Roman" w:hAnsi="Times New Roman" w:cs="Times New Roman"/>
        </w:rPr>
        <w:t>We calculated daily "within-region" and "out-region" visits to POIs</w:t>
      </w:r>
      <w:r w:rsidR="00C44D31">
        <w:rPr>
          <w:rStyle w:val="citation-1366"/>
          <w:rFonts w:ascii="Times New Roman" w:hAnsi="Times New Roman" w:cs="Times New Roman"/>
        </w:rPr>
        <w:t xml:space="preserve"> and </w:t>
      </w:r>
      <w:r w:rsidR="00C879CD">
        <w:rPr>
          <w:rStyle w:val="citation-1366"/>
          <w:rFonts w:ascii="Times New Roman" w:hAnsi="Times New Roman" w:cs="Times New Roman"/>
        </w:rPr>
        <w:t>aggregating data into</w:t>
      </w:r>
      <w:r w:rsidRPr="00556A65">
        <w:rPr>
          <w:rStyle w:val="citation-1366"/>
          <w:rFonts w:ascii="Times New Roman" w:hAnsi="Times New Roman" w:cs="Times New Roman"/>
        </w:rPr>
        <w:t xml:space="preserve"> </w:t>
      </w:r>
      <w:r w:rsidR="009C5BC4">
        <w:rPr>
          <w:rStyle w:val="citation-1366"/>
          <w:rFonts w:ascii="Times New Roman" w:hAnsi="Times New Roman" w:cs="Times New Roman"/>
        </w:rPr>
        <w:t>seven</w:t>
      </w:r>
      <w:r w:rsidR="00C879CD">
        <w:rPr>
          <w:rStyle w:val="citation-1366"/>
          <w:rFonts w:ascii="Times New Roman" w:hAnsi="Times New Roman" w:cs="Times New Roman"/>
        </w:rPr>
        <w:t xml:space="preserve"> </w:t>
      </w:r>
      <w:r w:rsidRPr="00556A65">
        <w:rPr>
          <w:rStyle w:val="citation-1366"/>
          <w:rFonts w:ascii="Times New Roman" w:hAnsi="Times New Roman" w:cs="Times New Roman"/>
        </w:rPr>
        <w:t>categories</w:t>
      </w:r>
      <w:r w:rsidR="009C5BC4">
        <w:rPr>
          <w:rStyle w:val="citation-1366"/>
          <w:rFonts w:ascii="Times New Roman" w:hAnsi="Times New Roman" w:cs="Times New Roman"/>
        </w:rPr>
        <w:t xml:space="preserve"> (</w:t>
      </w:r>
      <w:r w:rsidR="009C5BC4" w:rsidRPr="009C5BC4">
        <w:rPr>
          <w:rStyle w:val="citation-1366"/>
          <w:rFonts w:ascii="Times New Roman" w:hAnsi="Times New Roman" w:cs="Times New Roman"/>
        </w:rPr>
        <w:t>Transportation</w:t>
      </w:r>
      <w:r w:rsidR="009C5BC4">
        <w:rPr>
          <w:rStyle w:val="citation-1366"/>
          <w:rFonts w:ascii="Times New Roman" w:hAnsi="Times New Roman" w:cs="Times New Roman"/>
        </w:rPr>
        <w:t xml:space="preserve">, </w:t>
      </w:r>
      <w:r w:rsidR="009C5BC4" w:rsidRPr="009C5BC4">
        <w:rPr>
          <w:rStyle w:val="citation-1366"/>
          <w:rFonts w:ascii="Times New Roman" w:hAnsi="Times New Roman" w:cs="Times New Roman"/>
        </w:rPr>
        <w:t>Urban Government</w:t>
      </w:r>
      <w:r w:rsidR="009C5BC4">
        <w:rPr>
          <w:rStyle w:val="citation-1366"/>
          <w:rFonts w:ascii="Times New Roman" w:hAnsi="Times New Roman" w:cs="Times New Roman"/>
        </w:rPr>
        <w:t xml:space="preserve">, </w:t>
      </w:r>
      <w:r w:rsidR="009C5BC4" w:rsidRPr="009C5BC4">
        <w:rPr>
          <w:rStyle w:val="citation-1366"/>
          <w:rFonts w:ascii="Times New Roman" w:hAnsi="Times New Roman" w:cs="Times New Roman"/>
        </w:rPr>
        <w:t>Education</w:t>
      </w:r>
      <w:r w:rsidR="009C5BC4">
        <w:rPr>
          <w:rStyle w:val="citation-1366"/>
          <w:rFonts w:ascii="Times New Roman" w:hAnsi="Times New Roman" w:cs="Times New Roman"/>
        </w:rPr>
        <w:t xml:space="preserve">, </w:t>
      </w:r>
      <w:r w:rsidR="009C5BC4" w:rsidRPr="009C5BC4">
        <w:rPr>
          <w:rStyle w:val="citation-1366"/>
          <w:rFonts w:ascii="Times New Roman" w:hAnsi="Times New Roman" w:cs="Times New Roman"/>
        </w:rPr>
        <w:t>Health</w:t>
      </w:r>
      <w:r w:rsidR="009C5BC4">
        <w:rPr>
          <w:rStyle w:val="citation-1366"/>
          <w:rFonts w:ascii="Times New Roman" w:hAnsi="Times New Roman" w:cs="Times New Roman"/>
        </w:rPr>
        <w:t xml:space="preserve">, </w:t>
      </w:r>
      <w:r w:rsidR="009C5BC4" w:rsidRPr="009C5BC4">
        <w:rPr>
          <w:rStyle w:val="citation-1366"/>
          <w:rFonts w:ascii="Times New Roman" w:hAnsi="Times New Roman" w:cs="Times New Roman"/>
        </w:rPr>
        <w:t>Utilities</w:t>
      </w:r>
      <w:r w:rsidR="009C5BC4">
        <w:rPr>
          <w:rStyle w:val="citation-1366"/>
          <w:rFonts w:ascii="Times New Roman" w:hAnsi="Times New Roman" w:cs="Times New Roman"/>
        </w:rPr>
        <w:t xml:space="preserve">, </w:t>
      </w:r>
      <w:r w:rsidR="009C5BC4" w:rsidRPr="009C5BC4">
        <w:rPr>
          <w:rStyle w:val="citation-1366"/>
          <w:rFonts w:ascii="Times New Roman" w:hAnsi="Times New Roman" w:cs="Times New Roman"/>
        </w:rPr>
        <w:t xml:space="preserve">Leisure </w:t>
      </w:r>
      <w:r w:rsidR="009C5BC4">
        <w:rPr>
          <w:rStyle w:val="citation-1366"/>
          <w:rFonts w:ascii="Times New Roman" w:hAnsi="Times New Roman" w:cs="Times New Roman"/>
        </w:rPr>
        <w:t xml:space="preserve">&amp; </w:t>
      </w:r>
      <w:r w:rsidR="009C5BC4" w:rsidRPr="009C5BC4">
        <w:rPr>
          <w:rStyle w:val="citation-1366"/>
          <w:rFonts w:ascii="Times New Roman" w:hAnsi="Times New Roman" w:cs="Times New Roman"/>
        </w:rPr>
        <w:t>Retail</w:t>
      </w:r>
      <w:r w:rsidR="009C5BC4">
        <w:rPr>
          <w:rStyle w:val="citation-1366"/>
          <w:rFonts w:ascii="Times New Roman" w:hAnsi="Times New Roman" w:cs="Times New Roman"/>
        </w:rPr>
        <w:t xml:space="preserve"> and </w:t>
      </w:r>
      <w:r w:rsidR="009C5BC4" w:rsidRPr="009C5BC4">
        <w:rPr>
          <w:rStyle w:val="citation-1366"/>
          <w:rFonts w:ascii="Times New Roman" w:hAnsi="Times New Roman" w:cs="Times New Roman"/>
        </w:rPr>
        <w:t>Work</w:t>
      </w:r>
      <w:r w:rsidR="009C5BC4">
        <w:rPr>
          <w:rStyle w:val="citation-1366"/>
          <w:rFonts w:ascii="Times New Roman" w:hAnsi="Times New Roman" w:cs="Times New Roman"/>
        </w:rPr>
        <w:t>)</w:t>
      </w:r>
      <w:r w:rsidRPr="00556A65">
        <w:rPr>
          <w:rFonts w:ascii="Times New Roman" w:hAnsi="Times New Roman" w:cs="Times New Roman"/>
        </w:rPr>
        <w:t xml:space="preserve">. </w:t>
      </w:r>
      <w:r w:rsidRPr="00556A65">
        <w:rPr>
          <w:rStyle w:val="citation-1365"/>
          <w:rFonts w:ascii="Times New Roman" w:hAnsi="Times New Roman" w:cs="Times New Roman"/>
        </w:rPr>
        <w:t>Changes were compared against a baseline week (September 9–15) and validated using historical mobility variations from 2023 to determine statistical significance</w:t>
      </w:r>
      <w:r w:rsidRPr="00556A65">
        <w:rPr>
          <w:rFonts w:ascii="Times New Roman" w:hAnsi="Times New Roman" w:cs="Times New Roman"/>
        </w:rPr>
        <w:t>.</w:t>
      </w:r>
      <w:r w:rsidR="00E2505C">
        <w:rPr>
          <w:rFonts w:ascii="Times New Roman" w:hAnsi="Times New Roman" w:cs="Times New Roman" w:hint="eastAsia"/>
        </w:rPr>
        <w:t xml:space="preserve"> </w:t>
      </w:r>
    </w:p>
    <w:p w14:paraId="0E4E24D3" w14:textId="49FA5156" w:rsidR="00556A65" w:rsidRPr="00556A65" w:rsidRDefault="00556A65">
      <w:pPr>
        <w:rPr>
          <w:rStyle w:val="citation-1361"/>
          <w:rFonts w:ascii="Times New Roman" w:hAnsi="Times New Roman" w:cs="Times New Roman"/>
          <w:lang w:val="en-US"/>
        </w:rPr>
      </w:pPr>
      <w:r w:rsidRPr="00556A65">
        <w:rPr>
          <w:rFonts w:ascii="Times New Roman" w:hAnsi="Times New Roman" w:cs="Times New Roman"/>
          <w:b/>
          <w:bCs/>
        </w:rPr>
        <w:t>Results</w:t>
      </w:r>
      <w:r w:rsidR="001C5EE1">
        <w:rPr>
          <w:rFonts w:ascii="Times New Roman" w:hAnsi="Times New Roman" w:cs="Times New Roman"/>
          <w:b/>
          <w:bCs/>
        </w:rPr>
        <w:t>:</w:t>
      </w:r>
      <w:r w:rsidRPr="00556A65">
        <w:rPr>
          <w:rFonts w:ascii="Times New Roman" w:hAnsi="Times New Roman" w:cs="Times New Roman"/>
        </w:rPr>
        <w:t xml:space="preserve"> </w:t>
      </w:r>
      <w:r w:rsidRPr="00556A65">
        <w:rPr>
          <w:rStyle w:val="citation-1364"/>
          <w:rFonts w:ascii="Times New Roman" w:hAnsi="Times New Roman" w:cs="Times New Roman"/>
        </w:rPr>
        <w:t>Hurricane Milton, impacting high-exposure coastal areas, prompted a 29.2% increase in out-region travel before landfall and a 43.3% surge on the landfall day</w:t>
      </w:r>
      <w:r w:rsidRPr="00556A65">
        <w:rPr>
          <w:rFonts w:ascii="Times New Roman" w:hAnsi="Times New Roman" w:cs="Times New Roman"/>
        </w:rPr>
        <w:t xml:space="preserve">. </w:t>
      </w:r>
      <w:r w:rsidR="001C5EE1" w:rsidRPr="001C5EE1">
        <w:rPr>
          <w:rStyle w:val="citation-1363"/>
          <w:rFonts w:ascii="Times New Roman" w:hAnsi="Times New Roman" w:cs="Times New Roman"/>
        </w:rPr>
        <w:t>In contrast, regions affected by Hurricane Helene—predominantly inland areas with lower historical exposure—exhibited out-region mobility changes largely within the range of natural variation. In essential sectors such as transportation and utilities, Milton-affected regions experienced larger immediate mobility declines but demonstrated more rapid recovery to baseline levels than Helene-affected regions. Within Helene-affected areas, coastal counties showed significantly greater out-region movement and longer travel distances compared with inland counties.</w:t>
      </w:r>
    </w:p>
    <w:p w14:paraId="41ABAE58" w14:textId="43DB93C0" w:rsidR="00556A65" w:rsidRDefault="00556A65" w:rsidP="00556A65">
      <w:pPr>
        <w:spacing w:after="0" w:line="240" w:lineRule="auto"/>
        <w:rPr>
          <w:rFonts w:ascii="Times New Roman" w:eastAsia="Times New Roman" w:hAnsi="Times New Roman" w:cs="Times New Roman"/>
          <w:kern w:val="0"/>
          <w14:ligatures w14:val="none"/>
        </w:rPr>
      </w:pPr>
      <w:r w:rsidRPr="00556A65">
        <w:rPr>
          <w:rFonts w:ascii="Times New Roman" w:eastAsia="Times New Roman" w:hAnsi="Times New Roman" w:cs="Times New Roman"/>
          <w:b/>
          <w:bCs/>
          <w:kern w:val="0"/>
          <w14:ligatures w14:val="none"/>
        </w:rPr>
        <w:t>Conclusion</w:t>
      </w:r>
      <w:r w:rsidRPr="00556A65">
        <w:rPr>
          <w:rFonts w:ascii="Times New Roman" w:eastAsia="Times New Roman" w:hAnsi="Times New Roman" w:cs="Times New Roman"/>
          <w:kern w:val="0"/>
          <w14:ligatures w14:val="none"/>
        </w:rPr>
        <w:t xml:space="preserve"> Adaptive mobility is more pronounced in </w:t>
      </w:r>
      <w:r w:rsidR="0086124D">
        <w:rPr>
          <w:rFonts w:ascii="Times New Roman" w:eastAsia="Times New Roman" w:hAnsi="Times New Roman" w:cs="Times New Roman"/>
          <w:kern w:val="0"/>
          <w14:ligatures w14:val="none"/>
        </w:rPr>
        <w:t xml:space="preserve">Milton </w:t>
      </w:r>
      <w:r w:rsidRPr="00556A65">
        <w:rPr>
          <w:rFonts w:ascii="Times New Roman" w:eastAsia="Times New Roman" w:hAnsi="Times New Roman" w:cs="Times New Roman"/>
          <w:kern w:val="0"/>
          <w14:ligatures w14:val="none"/>
        </w:rPr>
        <w:t xml:space="preserve">regions </w:t>
      </w:r>
      <w:r w:rsidR="0086124D">
        <w:rPr>
          <w:rFonts w:ascii="Times New Roman" w:eastAsia="Times New Roman" w:hAnsi="Times New Roman" w:cs="Times New Roman"/>
          <w:kern w:val="0"/>
          <w14:ligatures w14:val="none"/>
        </w:rPr>
        <w:t xml:space="preserve">which are coastal and </w:t>
      </w:r>
      <w:r w:rsidRPr="00556A65">
        <w:rPr>
          <w:rFonts w:ascii="Times New Roman" w:eastAsia="Times New Roman" w:hAnsi="Times New Roman" w:cs="Times New Roman"/>
          <w:kern w:val="0"/>
          <w14:ligatures w14:val="none"/>
        </w:rPr>
        <w:t>with frequent historical exposure. While regions experiencing high-intensity events like Milton face sharper disruptions in essential services, they may also exhibit higher adaptive capacity and faster recovery. Disaster response strategies must be tailored to geographic contexts—specifically addressing the more constrained mobility and slower recovery observed in inland populations.</w:t>
      </w:r>
    </w:p>
    <w:p w14:paraId="118E5243" w14:textId="77777777" w:rsidR="00556A65" w:rsidRDefault="00556A65" w:rsidP="00556A65">
      <w:pPr>
        <w:spacing w:after="0" w:line="240" w:lineRule="auto"/>
        <w:rPr>
          <w:rFonts w:ascii="Times New Roman" w:eastAsia="Times New Roman" w:hAnsi="Times New Roman" w:cs="Times New Roman"/>
          <w:kern w:val="0"/>
          <w14:ligatures w14:val="none"/>
        </w:rPr>
      </w:pPr>
    </w:p>
    <w:p w14:paraId="58A8ADD7" w14:textId="6DA78A7F" w:rsidR="00556A65" w:rsidRPr="00556A65" w:rsidRDefault="00556A65" w:rsidP="00556A65">
      <w:pPr>
        <w:spacing w:after="0" w:line="240" w:lineRule="auto"/>
        <w:rPr>
          <w:rStyle w:val="citation-1361"/>
          <w:rFonts w:ascii="Times New Roman" w:eastAsia="Times New Roman" w:hAnsi="Times New Roman" w:cs="Times New Roman"/>
          <w:b/>
          <w:bCs/>
          <w:kern w:val="0"/>
          <w:lang w:val="en-US"/>
          <w14:ligatures w14:val="none"/>
        </w:rPr>
      </w:pPr>
      <w:r w:rsidRPr="00C879CD">
        <w:rPr>
          <w:rFonts w:ascii="Times New Roman" w:eastAsia="Times New Roman" w:hAnsi="Times New Roman" w:cs="Times New Roman"/>
          <w:b/>
          <w:bCs/>
          <w:kern w:val="0"/>
          <w:highlight w:val="yellow"/>
          <w:lang w:val="en-US"/>
          <w14:ligatures w14:val="none"/>
        </w:rPr>
        <w:t xml:space="preserve">Topics: </w:t>
      </w:r>
      <w:r w:rsidR="00C879CD" w:rsidRPr="00C879CD">
        <w:rPr>
          <w:rFonts w:ascii="Times New Roman" w:eastAsia="Times New Roman" w:hAnsi="Times New Roman" w:cs="Times New Roman"/>
          <w:kern w:val="0"/>
          <w:highlight w:val="yellow"/>
          <w:lang w:val="en-US"/>
          <w14:ligatures w14:val="none"/>
        </w:rPr>
        <w:t>Other</w:t>
      </w:r>
      <w:r w:rsidRPr="00556A65">
        <w:rPr>
          <w:rFonts w:ascii="Times New Roman" w:eastAsia="Times New Roman" w:hAnsi="Times New Roman" w:cs="Times New Roman"/>
          <w:b/>
          <w:bCs/>
          <w:kern w:val="0"/>
          <w:lang w:val="en-US"/>
          <w14:ligatures w14:val="none"/>
        </w:rPr>
        <w:t xml:space="preserve"> </w:t>
      </w:r>
    </w:p>
    <w:p w14:paraId="4DF4BC7F" w14:textId="38844C9D" w:rsidR="00556A65" w:rsidRPr="00556A65" w:rsidRDefault="00556A65">
      <w:pPr>
        <w:rPr>
          <w:rStyle w:val="citation-1361"/>
          <w:rFonts w:ascii="Times New Roman" w:hAnsi="Times New Roman" w:cs="Times New Roman"/>
        </w:rPr>
      </w:pPr>
      <w:r w:rsidRPr="00556A65">
        <w:rPr>
          <w:rStyle w:val="citation-1355"/>
          <w:rFonts w:ascii="Times New Roman" w:hAnsi="Times New Roman" w:cs="Times New Roman"/>
          <w:b/>
          <w:bCs/>
        </w:rPr>
        <w:t>Keywords:</w:t>
      </w:r>
      <w:r w:rsidRPr="00556A65">
        <w:rPr>
          <w:rStyle w:val="citation-1355"/>
          <w:rFonts w:ascii="Times New Roman" w:hAnsi="Times New Roman" w:cs="Times New Roman"/>
        </w:rPr>
        <w:t xml:space="preserve"> </w:t>
      </w:r>
      <w:r w:rsidR="00C879CD">
        <w:rPr>
          <w:rStyle w:val="citation-1355"/>
          <w:rFonts w:ascii="Times New Roman" w:hAnsi="Times New Roman" w:cs="Times New Roman"/>
        </w:rPr>
        <w:t>E</w:t>
      </w:r>
      <w:r w:rsidR="00C879CD" w:rsidRPr="00C879CD">
        <w:rPr>
          <w:rStyle w:val="citation-1355"/>
          <w:rFonts w:ascii="Times New Roman" w:hAnsi="Times New Roman" w:cs="Times New Roman"/>
        </w:rPr>
        <w:t>nvironmental disparities</w:t>
      </w:r>
      <w:r w:rsidRPr="00556A65">
        <w:rPr>
          <w:rStyle w:val="citation-1355"/>
          <w:rFonts w:ascii="Times New Roman" w:hAnsi="Times New Roman" w:cs="Times New Roman"/>
        </w:rPr>
        <w:t xml:space="preserve">, </w:t>
      </w:r>
      <w:r w:rsidR="00C879CD" w:rsidRPr="00C879CD">
        <w:rPr>
          <w:rStyle w:val="citation-1355"/>
          <w:rFonts w:ascii="Times New Roman" w:hAnsi="Times New Roman" w:cs="Times New Roman"/>
        </w:rPr>
        <w:t>Socio-economic factors</w:t>
      </w:r>
      <w:r w:rsidRPr="00556A65">
        <w:rPr>
          <w:rStyle w:val="citation-1355"/>
          <w:rFonts w:ascii="Times New Roman" w:hAnsi="Times New Roman" w:cs="Times New Roman"/>
        </w:rPr>
        <w:t xml:space="preserve">, </w:t>
      </w:r>
      <w:r w:rsidR="00C879CD" w:rsidRPr="00C879CD">
        <w:rPr>
          <w:rStyle w:val="citation-1355"/>
          <w:rFonts w:ascii="Times New Roman" w:hAnsi="Times New Roman" w:cs="Times New Roman"/>
        </w:rPr>
        <w:t>Sustainability</w:t>
      </w:r>
      <w:r w:rsidRPr="00556A65">
        <w:rPr>
          <w:rStyle w:val="citation-1355"/>
          <w:rFonts w:ascii="Times New Roman" w:hAnsi="Times New Roman" w:cs="Times New Roman"/>
        </w:rPr>
        <w:t xml:space="preserve">, </w:t>
      </w:r>
      <w:r w:rsidR="00C879CD" w:rsidRPr="00C879CD">
        <w:rPr>
          <w:rStyle w:val="citation-1355"/>
          <w:rFonts w:ascii="Times New Roman" w:hAnsi="Times New Roman" w:cs="Times New Roman"/>
        </w:rPr>
        <w:t>Weather extremes</w:t>
      </w:r>
    </w:p>
    <w:p w14:paraId="1F9A10C4" w14:textId="51EE40C8" w:rsidR="00556A65" w:rsidRPr="00556A65" w:rsidRDefault="00556A65">
      <w:pPr>
        <w:rPr>
          <w:rFonts w:ascii="Times New Roman" w:hAnsi="Times New Roman" w:cs="Times New Roman"/>
        </w:rPr>
      </w:pPr>
      <w:r w:rsidRPr="00556A65">
        <w:rPr>
          <w:rFonts w:ascii="Times New Roman" w:hAnsi="Times New Roman" w:cs="Times New Roman"/>
          <w:b/>
          <w:bCs/>
        </w:rPr>
        <w:t>Acknowledgements</w:t>
      </w:r>
      <w:r w:rsidRPr="00556A65">
        <w:rPr>
          <w:rFonts w:ascii="Times New Roman" w:hAnsi="Times New Roman" w:cs="Times New Roman"/>
        </w:rPr>
        <w:t xml:space="preserve"> Supported by National Science Foundation Grant DMS-2229605; </w:t>
      </w:r>
      <w:r w:rsidRPr="00556A65">
        <w:rPr>
          <w:rStyle w:val="citation-1357"/>
          <w:rFonts w:ascii="Times New Roman" w:hAnsi="Times New Roman" w:cs="Times New Roman"/>
        </w:rPr>
        <w:t>National Institute of Environmental Health Sciences Grants T32 ES007322, R00 ES033742, K01ES036202, and P30 ES009089; and National Institute of Aging Grant P20 AG093975</w:t>
      </w:r>
      <w:r w:rsidRPr="00556A65">
        <w:rPr>
          <w:rFonts w:ascii="Times New Roman" w:hAnsi="Times New Roman" w:cs="Times New Roman"/>
        </w:rPr>
        <w:t>.</w:t>
      </w:r>
    </w:p>
    <w:p w14:paraId="700DF2D4" w14:textId="77777777" w:rsidR="00556A65" w:rsidRPr="00556A65" w:rsidRDefault="00556A65">
      <w:pPr>
        <w:rPr>
          <w:rFonts w:ascii="Times New Roman" w:hAnsi="Times New Roman" w:cs="Times New Roman"/>
          <w:lang w:val="en-US"/>
        </w:rPr>
      </w:pPr>
    </w:p>
    <w:sectPr w:rsidR="00556A65" w:rsidRPr="00556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A65"/>
    <w:rsid w:val="001C5EE1"/>
    <w:rsid w:val="002834C1"/>
    <w:rsid w:val="00321796"/>
    <w:rsid w:val="00542543"/>
    <w:rsid w:val="00556A65"/>
    <w:rsid w:val="007C1EAB"/>
    <w:rsid w:val="0086124D"/>
    <w:rsid w:val="008E069E"/>
    <w:rsid w:val="009C5BC4"/>
    <w:rsid w:val="00A67886"/>
    <w:rsid w:val="00B85191"/>
    <w:rsid w:val="00BF6FC0"/>
    <w:rsid w:val="00C44D31"/>
    <w:rsid w:val="00C74FC5"/>
    <w:rsid w:val="00C879CD"/>
    <w:rsid w:val="00D135B0"/>
    <w:rsid w:val="00D57FC5"/>
    <w:rsid w:val="00E2505C"/>
    <w:rsid w:val="00E31D41"/>
    <w:rsid w:val="00E81935"/>
    <w:rsid w:val="00F9470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F37EE3"/>
  <w15:chartTrackingRefBased/>
  <w15:docId w15:val="{F90E8FC0-A1F9-6240-A88C-023A951A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A65"/>
    <w:rPr>
      <w:rFonts w:eastAsiaTheme="majorEastAsia" w:cstheme="majorBidi"/>
      <w:color w:val="272727" w:themeColor="text1" w:themeTint="D8"/>
    </w:rPr>
  </w:style>
  <w:style w:type="paragraph" w:styleId="Title">
    <w:name w:val="Title"/>
    <w:basedOn w:val="Normal"/>
    <w:next w:val="Normal"/>
    <w:link w:val="TitleChar"/>
    <w:uiPriority w:val="10"/>
    <w:qFormat/>
    <w:rsid w:val="00556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A65"/>
    <w:pPr>
      <w:spacing w:before="160"/>
      <w:jc w:val="center"/>
    </w:pPr>
    <w:rPr>
      <w:i/>
      <w:iCs/>
      <w:color w:val="404040" w:themeColor="text1" w:themeTint="BF"/>
    </w:rPr>
  </w:style>
  <w:style w:type="character" w:customStyle="1" w:styleId="QuoteChar">
    <w:name w:val="Quote Char"/>
    <w:basedOn w:val="DefaultParagraphFont"/>
    <w:link w:val="Quote"/>
    <w:uiPriority w:val="29"/>
    <w:rsid w:val="00556A65"/>
    <w:rPr>
      <w:i/>
      <w:iCs/>
      <w:color w:val="404040" w:themeColor="text1" w:themeTint="BF"/>
    </w:rPr>
  </w:style>
  <w:style w:type="paragraph" w:styleId="ListParagraph">
    <w:name w:val="List Paragraph"/>
    <w:basedOn w:val="Normal"/>
    <w:uiPriority w:val="34"/>
    <w:qFormat/>
    <w:rsid w:val="00556A65"/>
    <w:pPr>
      <w:ind w:left="720"/>
      <w:contextualSpacing/>
    </w:pPr>
  </w:style>
  <w:style w:type="character" w:styleId="IntenseEmphasis">
    <w:name w:val="Intense Emphasis"/>
    <w:basedOn w:val="DefaultParagraphFont"/>
    <w:uiPriority w:val="21"/>
    <w:qFormat/>
    <w:rsid w:val="00556A65"/>
    <w:rPr>
      <w:i/>
      <w:iCs/>
      <w:color w:val="0F4761" w:themeColor="accent1" w:themeShade="BF"/>
    </w:rPr>
  </w:style>
  <w:style w:type="paragraph" w:styleId="IntenseQuote">
    <w:name w:val="Intense Quote"/>
    <w:basedOn w:val="Normal"/>
    <w:next w:val="Normal"/>
    <w:link w:val="IntenseQuoteChar"/>
    <w:uiPriority w:val="30"/>
    <w:qFormat/>
    <w:rsid w:val="00556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A65"/>
    <w:rPr>
      <w:i/>
      <w:iCs/>
      <w:color w:val="0F4761" w:themeColor="accent1" w:themeShade="BF"/>
    </w:rPr>
  </w:style>
  <w:style w:type="character" w:styleId="IntenseReference">
    <w:name w:val="Intense Reference"/>
    <w:basedOn w:val="DefaultParagraphFont"/>
    <w:uiPriority w:val="32"/>
    <w:qFormat/>
    <w:rsid w:val="00556A65"/>
    <w:rPr>
      <w:b/>
      <w:bCs/>
      <w:smallCaps/>
      <w:color w:val="0F4761" w:themeColor="accent1" w:themeShade="BF"/>
      <w:spacing w:val="5"/>
    </w:rPr>
  </w:style>
  <w:style w:type="character" w:customStyle="1" w:styleId="citation-1368">
    <w:name w:val="citation-1368"/>
    <w:basedOn w:val="DefaultParagraphFont"/>
    <w:rsid w:val="00556A65"/>
  </w:style>
  <w:style w:type="character" w:customStyle="1" w:styleId="citation-1367">
    <w:name w:val="citation-1367"/>
    <w:basedOn w:val="DefaultParagraphFont"/>
    <w:rsid w:val="00556A65"/>
  </w:style>
  <w:style w:type="character" w:customStyle="1" w:styleId="citation-1366">
    <w:name w:val="citation-1366"/>
    <w:basedOn w:val="DefaultParagraphFont"/>
    <w:rsid w:val="00556A65"/>
  </w:style>
  <w:style w:type="character" w:customStyle="1" w:styleId="citation-1365">
    <w:name w:val="citation-1365"/>
    <w:basedOn w:val="DefaultParagraphFont"/>
    <w:rsid w:val="00556A65"/>
  </w:style>
  <w:style w:type="character" w:customStyle="1" w:styleId="math-inline">
    <w:name w:val="math-inline"/>
    <w:basedOn w:val="DefaultParagraphFont"/>
    <w:rsid w:val="00556A65"/>
  </w:style>
  <w:style w:type="character" w:customStyle="1" w:styleId="citation-1364">
    <w:name w:val="citation-1364"/>
    <w:basedOn w:val="DefaultParagraphFont"/>
    <w:rsid w:val="00556A65"/>
  </w:style>
  <w:style w:type="character" w:customStyle="1" w:styleId="citation-1363">
    <w:name w:val="citation-1363"/>
    <w:basedOn w:val="DefaultParagraphFont"/>
    <w:rsid w:val="00556A65"/>
  </w:style>
  <w:style w:type="character" w:customStyle="1" w:styleId="citation-1362">
    <w:name w:val="citation-1362"/>
    <w:basedOn w:val="DefaultParagraphFont"/>
    <w:rsid w:val="00556A65"/>
  </w:style>
  <w:style w:type="character" w:customStyle="1" w:styleId="citation-1361">
    <w:name w:val="citation-1361"/>
    <w:basedOn w:val="DefaultParagraphFont"/>
    <w:rsid w:val="00556A65"/>
  </w:style>
  <w:style w:type="character" w:customStyle="1" w:styleId="citation-1360">
    <w:name w:val="citation-1360"/>
    <w:basedOn w:val="DefaultParagraphFont"/>
    <w:rsid w:val="00556A65"/>
  </w:style>
  <w:style w:type="character" w:customStyle="1" w:styleId="citation-1359">
    <w:name w:val="citation-1359"/>
    <w:basedOn w:val="DefaultParagraphFont"/>
    <w:rsid w:val="00556A65"/>
  </w:style>
  <w:style w:type="character" w:customStyle="1" w:styleId="citation-1358">
    <w:name w:val="citation-1358"/>
    <w:basedOn w:val="DefaultParagraphFont"/>
    <w:rsid w:val="00556A65"/>
  </w:style>
  <w:style w:type="character" w:customStyle="1" w:styleId="citation-1357">
    <w:name w:val="citation-1357"/>
    <w:basedOn w:val="DefaultParagraphFont"/>
    <w:rsid w:val="00556A65"/>
  </w:style>
  <w:style w:type="character" w:customStyle="1" w:styleId="citation-1356">
    <w:name w:val="citation-1356"/>
    <w:basedOn w:val="DefaultParagraphFont"/>
    <w:rsid w:val="00556A65"/>
  </w:style>
  <w:style w:type="character" w:customStyle="1" w:styleId="citation-1355">
    <w:name w:val="citation-1355"/>
    <w:basedOn w:val="DefaultParagraphFont"/>
    <w:rsid w:val="00556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1</Pages>
  <Words>367</Words>
  <Characters>2442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 Yao</dc:creator>
  <cp:keywords/>
  <dc:description/>
  <cp:lastModifiedBy>Qing Yao</cp:lastModifiedBy>
  <cp:revision>9</cp:revision>
  <dcterms:created xsi:type="dcterms:W3CDTF">2026-01-20T02:23:00Z</dcterms:created>
  <dcterms:modified xsi:type="dcterms:W3CDTF">2026-01-20T04:05:00Z</dcterms:modified>
</cp:coreProperties>
</file>