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/>
          <w:i w:val="0"/>
          <w:sz w:val="20"/>
        </w:rPr>
        <w:t xml:space="preserve">Table 2. </w:t>
      </w:r>
      <w:r>
        <w:rPr>
          <w:rFonts w:ascii="Arial" w:hAnsi="Arial"/>
          <w:b w:val="0"/>
          <w:i w:val="0"/>
          <w:sz w:val="20"/>
        </w:rPr>
        <w:t>Summary statistics of the training data (n = 5,000)</w:t>
      </w:r>
    </w:p>
    <w:tbl>
      <w:tblPr>
        <w:tblW w:type="auto" w:w="0"/>
        <w:tblLook w:firstColumn="1" w:firstRow="1" w:lastColumn="0" w:lastRow="0" w:noHBand="0" w:noVBand="1" w:val="04A0"/>
        <w:tblCellMar>
          <w:top w:w="30" w:type="dxa"/>
          <w:bottom w:w="30" w:type="dxa"/>
          <w:left w:w="80" w:type="dxa"/>
          <w:right w:w="8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41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20"/>
              </w:rPr>
              <w:t>Variable</w:t>
            </w:r>
          </w:p>
        </w:tc>
        <w:tc>
          <w:tcPr>
            <w:tcW w:type="dxa" w:w="130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Mean</w:t>
            </w:r>
          </w:p>
        </w:tc>
        <w:tc>
          <w:tcPr>
            <w:tcW w:type="dxa" w:w="130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Std. dev.</w:t>
            </w:r>
          </w:p>
        </w:tc>
        <w:tc>
          <w:tcPr>
            <w:tcW w:type="dxa" w:w="130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Min</w:t>
            </w:r>
          </w:p>
        </w:tc>
        <w:tc>
          <w:tcPr>
            <w:tcW w:type="dxa" w:w="130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Median</w:t>
            </w:r>
          </w:p>
        </w:tc>
        <w:tc>
          <w:tcPr>
            <w:tcW w:type="dxa" w:w="1304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Max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WeeklyRent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860.6811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215.4138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194.2600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849.0900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1741.4000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DistanceCBD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13.5099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9.5587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0.6200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11.4150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40.0000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Bedrooms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2.3628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1.0902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1.0000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2.0000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5.0000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FloorArea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87.8890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30.1933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35.0000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85.7000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191.2000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PropertyAge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19.7222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14.1877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0.1000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16.4000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100.0000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NearTrain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0.4620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0.4986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1.0000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Furnished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0.2998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0.4582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0.0000</w:t>
            </w:r>
          </w:p>
        </w:tc>
        <w:tc>
          <w:tcPr>
            <w:tcW w:type="dxa" w:w="13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1.0000</w:t>
            </w:r>
          </w:p>
        </w:tc>
      </w:tr>
      <w:tr>
        <w:tc>
          <w:tcPr>
            <w:tcW w:type="dxa" w:w="2041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HighDemandArea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0.4562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0.4981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0.0000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0.0000</w:t>
            </w:r>
          </w:p>
        </w:tc>
        <w:tc>
          <w:tcPr>
            <w:tcW w:type="dxa" w:w="1304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1.0000</w:t>
            </w:r>
          </w:p>
        </w:tc>
      </w:tr>
    </w:tbl>
    <w:p>
      <w:pPr>
        <w:spacing w:before="60" w:after="0" w:line="240" w:lineRule="auto"/>
      </w:pPr>
      <w:r>
        <w:rPr>
          <w:rFonts w:ascii="Arial" w:hAnsi="Arial"/>
          <w:b w:val="0"/>
          <w:i/>
          <w:sz w:val="18"/>
        </w:rPr>
        <w:t>Note: for the binary variables (NearTrain, Furnished, HighDemandArea) the mean is the proportion of properties equal to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