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/>
          <w:i w:val="0"/>
          <w:sz w:val="20"/>
        </w:rPr>
        <w:t xml:space="preserve">Table 6. </w:t>
      </w:r>
      <w:r>
        <w:rPr>
          <w:rFonts w:ascii="Arial" w:hAnsi="Arial"/>
          <w:b w:val="0"/>
          <w:i w:val="0"/>
          <w:sz w:val="20"/>
        </w:rPr>
        <w:t>Change in weekly rent for a property with average characteristics, holding the other characteristics fixed</w:t>
      </w:r>
    </w:p>
    <w:tbl>
      <w:tblPr>
        <w:tblW w:type="auto" w:w="0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2880"/>
        <w:gridCol w:w="2880"/>
        <w:gridCol w:w="2880"/>
      </w:tblGrid>
      <w:tr>
        <w:tc>
          <w:tcPr>
            <w:tcW w:type="dxa" w:w="2268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20"/>
              </w:rPr>
              <w:t>Characteristic</w:t>
            </w:r>
          </w:p>
        </w:tc>
        <w:tc>
          <w:tcPr>
            <w:tcW w:type="dxa" w:w="1701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Change</w:t>
            </w:r>
          </w:p>
        </w:tc>
        <w:tc>
          <w:tcPr>
            <w:tcW w:type="dxa" w:w="2835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Change in weekly rent (AUD)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HighDemandArea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 → 1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+158.9050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Bedrooms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+1 bedroom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+89.1557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Furnished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 → 1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+88.2596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NearTrain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0 → 1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+81.9690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FloorArea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+1 m²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+3.0293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PropertyAge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+1 year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-1.7943</w:t>
            </w:r>
          </w:p>
        </w:tc>
      </w:tr>
      <w:tr>
        <w:tc>
          <w:tcPr>
            <w:tcW w:type="dxa" w:w="2268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DistanceCBD</w:t>
            </w:r>
          </w:p>
        </w:tc>
        <w:tc>
          <w:tcPr>
            <w:tcW w:type="dxa" w:w="1701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+1 km</w:t>
            </w:r>
          </w:p>
        </w:tc>
        <w:tc>
          <w:tcPr>
            <w:tcW w:type="dxa" w:w="283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-15.2928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