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/>
          <w:i w:val="0"/>
          <w:sz w:val="20"/>
        </w:rPr>
        <w:t xml:space="preserve">Table 1. </w:t>
      </w:r>
      <w:r>
        <w:rPr>
          <w:rFonts w:ascii="Arial" w:hAnsi="Arial"/>
          <w:b w:val="0"/>
          <w:i w:val="0"/>
          <w:sz w:val="20"/>
        </w:rPr>
        <w:t>Variables in the dataset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80" w:type="dxa"/>
          <w:right w:w="8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1871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sz w:val="20"/>
              </w:rPr>
              <w:t>Variable</w:t>
            </w:r>
          </w:p>
        </w:tc>
        <w:tc>
          <w:tcPr>
            <w:tcW w:type="dxa" w:w="130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sz w:val="20"/>
              </w:rPr>
              <w:t>Type</w:t>
            </w:r>
          </w:p>
        </w:tc>
        <w:tc>
          <w:tcPr>
            <w:tcW w:type="dxa" w:w="4706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sz w:val="20"/>
              </w:rPr>
              <w:t>Description (unit / coding)</w:t>
            </w:r>
          </w:p>
        </w:tc>
        <w:tc>
          <w:tcPr>
            <w:tcW w:type="dxa" w:w="130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Expected sign</w:t>
            </w:r>
          </w:p>
        </w:tc>
      </w:tr>
      <w:tr>
        <w:tc>
          <w:tcPr>
            <w:tcW w:type="dxa" w:w="187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WeeklyRent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Continuous</w:t>
            </w:r>
          </w:p>
        </w:tc>
        <w:tc>
          <w:tcPr>
            <w:tcW w:type="dxa" w:w="470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Advertised weekly rent (AUD) – response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87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DistanceCBD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Continuous</w:t>
            </w:r>
          </w:p>
        </w:tc>
        <w:tc>
          <w:tcPr>
            <w:tcW w:type="dxa" w:w="470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Distance to the CBD (km)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−</w:t>
            </w:r>
          </w:p>
        </w:tc>
      </w:tr>
      <w:tr>
        <w:tc>
          <w:tcPr>
            <w:tcW w:type="dxa" w:w="187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Bedrooms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Count</w:t>
            </w:r>
          </w:p>
        </w:tc>
        <w:tc>
          <w:tcPr>
            <w:tcW w:type="dxa" w:w="470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Number of bedrooms (1–5)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187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FloorArea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Continuous</w:t>
            </w:r>
          </w:p>
        </w:tc>
        <w:tc>
          <w:tcPr>
            <w:tcW w:type="dxa" w:w="470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Internal floor area (m²)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187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PropertyAge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Continuous</w:t>
            </w:r>
          </w:p>
        </w:tc>
        <w:tc>
          <w:tcPr>
            <w:tcW w:type="dxa" w:w="470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Age of the property (years)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−</w:t>
            </w:r>
          </w:p>
        </w:tc>
      </w:tr>
      <w:tr>
        <w:tc>
          <w:tcPr>
            <w:tcW w:type="dxa" w:w="187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NearTrain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Binary</w:t>
            </w:r>
          </w:p>
        </w:tc>
        <w:tc>
          <w:tcPr>
            <w:tcW w:type="dxa" w:w="470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1 = within about 1 km of a train/metro station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187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Furnished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Binary</w:t>
            </w:r>
          </w:p>
        </w:tc>
        <w:tc>
          <w:tcPr>
            <w:tcW w:type="dxa" w:w="470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1 = advertised as furnished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1871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HighDemandArea</w:t>
            </w:r>
          </w:p>
        </w:tc>
        <w:tc>
          <w:tcPr>
            <w:tcW w:type="dxa" w:w="130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Binary</w:t>
            </w:r>
          </w:p>
        </w:tc>
        <w:tc>
          <w:tcPr>
            <w:tcW w:type="dxa" w:w="4706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1 = high-demand rental suburb</w:t>
            </w:r>
          </w:p>
        </w:tc>
        <w:tc>
          <w:tcPr>
            <w:tcW w:type="dxa" w:w="130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</w:t>
            </w:r>
          </w:p>
        </w:tc>
      </w:tr>
    </w:tbl>
    <w:p>
      <w:pPr>
        <w:spacing w:before="60" w:after="0" w:line="240" w:lineRule="auto"/>
      </w:pPr>
      <w:r>
        <w:rPr>
          <w:rFonts w:ascii="Arial" w:hAnsi="Arial"/>
          <w:b w:val="0"/>
          <w:i/>
          <w:sz w:val="18"/>
        </w:rPr>
        <w:t>Note: WeeklyRent is the response; the other seven variables are predictors. Expected signs are prior hypotheses based on domain knowledge and are examined in Section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