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4. </w:t>
      </w:r>
      <w:r>
        <w:rPr>
          <w:rFonts w:ascii="Arial" w:hAnsi="Arial"/>
          <w:b w:val="0"/>
          <w:i w:val="0"/>
          <w:sz w:val="20"/>
        </w:rPr>
        <w:t>10-fold CV MSE of all models, sorted from best to worst</w:t>
      </w:r>
    </w:p>
    <w:tbl>
      <w:tblPr>
        <w:tblW w:type="auto" w:w="0"/>
        <w:tblLook w:firstColumn="1" w:firstRow="1" w:lastColumn="0" w:lastRow="0" w:noHBand="0" w:noVBand="1" w:val="04A0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2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Model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Columns used</w:t>
            </w:r>
          </w:p>
        </w:tc>
        <w:tc>
          <w:tcPr>
            <w:tcW w:type="dxa" w:w="1361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CV MSE</w:t>
            </w:r>
          </w:p>
        </w:tc>
        <w:tc>
          <w:tcPr>
            <w:tcW w:type="dxa" w:w="113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SE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Within 1 SE of best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M4/M5: Stepwise OLS (BIC)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13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2005.6203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27.4624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Best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M4/M5: Stepwise OLS (AIC)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2005.8861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26.4687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M6: Lasso (AIC, λ = 0.0530)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 (23 non-zero)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2012.4817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25.8717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M6: Lasso (BIC, λ = 0.1172)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 (20 non-zero)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2013.3032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25.1854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M6: Ridge (AIC, λ = 0.5736)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2017.8835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27.1835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M6: Ridge (BIC, λ = 1.8874)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2018.6737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26.4942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M6: Elastic net (CV, λ = 0.0100)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2022.4385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25.0940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M3: EDA-driven OLS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2075.4951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27.7922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M1/M2: OLS, 7 predictors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3302.3821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29.6067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M7: KNN (k = 7)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3438.6270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69.4793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3402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M0: Null model</w:t>
            </w:r>
          </w:p>
        </w:tc>
        <w:tc>
          <w:tcPr>
            <w:tcW w:type="dxa" w:w="181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6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46409.4061</w:t>
            </w:r>
          </w:p>
        </w:tc>
        <w:tc>
          <w:tcPr>
            <w:tcW w:type="dxa" w:w="113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842.9485</w:t>
            </w:r>
          </w:p>
        </w:tc>
        <w:tc>
          <w:tcPr>
            <w:tcW w:type="dxa" w:w="1587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sz w:val="18"/>
        </w:rPr>
        <w:t>Note: the one-standard-error band is 2005.6203 + 27.4624 = 2033.0827. Forward and backward stepwise selection give identical models, and best subset selection (M2) keeps all seven predictors, so M2 equals M1. The final model is shown in bold.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