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horzAnchor="margin" w:tblpXSpec="center" w:tblpY="-336"/>
        <w:tblW w:w="14287" w:type="dxa"/>
        <w:tblLayout w:type="fixed"/>
        <w:tblLook w:val="04A0" w:firstRow="1" w:lastRow="0" w:firstColumn="1" w:lastColumn="0" w:noHBand="0" w:noVBand="1"/>
      </w:tblPr>
      <w:tblGrid>
        <w:gridCol w:w="355"/>
        <w:gridCol w:w="2759"/>
        <w:gridCol w:w="6662"/>
        <w:gridCol w:w="4511"/>
      </w:tblGrid>
      <w:tr w:rsidR="00233D57" w:rsidRPr="00456CB1" w14:paraId="3DA3F138" w14:textId="77777777" w:rsidTr="00233D57">
        <w:tc>
          <w:tcPr>
            <w:tcW w:w="355" w:type="dxa"/>
            <w:vAlign w:val="center"/>
          </w:tcPr>
          <w:p w14:paraId="069524AC" w14:textId="77777777" w:rsidR="00233D57" w:rsidRPr="006D38C5" w:rsidRDefault="00233D57" w:rsidP="00522715">
            <w:pPr>
              <w:jc w:val="center"/>
              <w:rPr>
                <w:rFonts w:asciiTheme="majorBidi" w:hAnsiTheme="majorBidi" w:cstheme="majorBidi"/>
                <w:sz w:val="20"/>
                <w:szCs w:val="20"/>
              </w:rPr>
            </w:pPr>
          </w:p>
        </w:tc>
        <w:tc>
          <w:tcPr>
            <w:tcW w:w="2759" w:type="dxa"/>
            <w:vAlign w:val="center"/>
          </w:tcPr>
          <w:p w14:paraId="22AC86FE" w14:textId="77777777" w:rsidR="00233D57" w:rsidRPr="00456CB1" w:rsidRDefault="00233D57" w:rsidP="00C758BF">
            <w:pPr>
              <w:jc w:val="center"/>
              <w:rPr>
                <w:rFonts w:asciiTheme="majorBidi" w:hAnsiTheme="majorBidi" w:cstheme="majorBidi"/>
              </w:rPr>
            </w:pPr>
          </w:p>
        </w:tc>
        <w:tc>
          <w:tcPr>
            <w:tcW w:w="6662" w:type="dxa"/>
            <w:vAlign w:val="center"/>
          </w:tcPr>
          <w:p w14:paraId="1D142931" w14:textId="77777777" w:rsidR="00233D57" w:rsidRPr="00456CB1" w:rsidRDefault="00233D57" w:rsidP="00C758BF">
            <w:pPr>
              <w:jc w:val="center"/>
              <w:rPr>
                <w:rFonts w:asciiTheme="majorBidi" w:hAnsiTheme="majorBidi" w:cstheme="majorBidi"/>
              </w:rPr>
            </w:pPr>
            <w:r w:rsidRPr="00456CB1">
              <w:rPr>
                <w:rFonts w:asciiTheme="majorBidi" w:hAnsiTheme="majorBidi" w:cstheme="majorBidi"/>
              </w:rPr>
              <w:t>Features</w:t>
            </w:r>
          </w:p>
        </w:tc>
        <w:tc>
          <w:tcPr>
            <w:tcW w:w="4511" w:type="dxa"/>
            <w:vAlign w:val="center"/>
          </w:tcPr>
          <w:p w14:paraId="297D0E8D" w14:textId="77777777" w:rsidR="00233D57" w:rsidRPr="00456CB1" w:rsidRDefault="00233D57" w:rsidP="00522715">
            <w:pPr>
              <w:jc w:val="center"/>
              <w:rPr>
                <w:rFonts w:asciiTheme="majorBidi" w:hAnsiTheme="majorBidi" w:cstheme="majorBidi"/>
              </w:rPr>
            </w:pPr>
            <w:r w:rsidRPr="00456CB1">
              <w:rPr>
                <w:rFonts w:asciiTheme="majorBidi" w:hAnsiTheme="majorBidi" w:cstheme="majorBidi"/>
              </w:rPr>
              <w:t>Images</w:t>
            </w:r>
            <w:r>
              <w:rPr>
                <w:rFonts w:asciiTheme="majorBidi" w:hAnsiTheme="majorBidi" w:cstheme="majorBidi"/>
              </w:rPr>
              <w:t>/Results</w:t>
            </w:r>
          </w:p>
        </w:tc>
      </w:tr>
      <w:tr w:rsidR="00233D57" w14:paraId="04A36F67" w14:textId="77777777" w:rsidTr="00233D57">
        <w:tc>
          <w:tcPr>
            <w:tcW w:w="355" w:type="dxa"/>
            <w:vAlign w:val="center"/>
          </w:tcPr>
          <w:p w14:paraId="5569BB72" w14:textId="77777777" w:rsidR="00233D57" w:rsidRPr="006D38C5" w:rsidRDefault="00233D57" w:rsidP="00522715">
            <w:pPr>
              <w:jc w:val="center"/>
              <w:rPr>
                <w:rFonts w:asciiTheme="majorBidi" w:hAnsiTheme="majorBidi" w:cstheme="majorBidi"/>
                <w:noProof/>
                <w:sz w:val="20"/>
                <w:szCs w:val="20"/>
              </w:rPr>
            </w:pPr>
            <w:r w:rsidRPr="006D38C5">
              <w:rPr>
                <w:rFonts w:asciiTheme="majorBidi" w:hAnsiTheme="majorBidi" w:cstheme="majorBidi"/>
                <w:noProof/>
                <w:sz w:val="20"/>
                <w:szCs w:val="20"/>
              </w:rPr>
              <w:t>1</w:t>
            </w:r>
          </w:p>
        </w:tc>
        <w:tc>
          <w:tcPr>
            <w:tcW w:w="2759" w:type="dxa"/>
            <w:vAlign w:val="center"/>
          </w:tcPr>
          <w:p w14:paraId="5448F6E7" w14:textId="75A3B3B8" w:rsidR="00233D57" w:rsidRPr="00522715" w:rsidRDefault="00233D57" w:rsidP="00AB1256">
            <w:pPr>
              <w:jc w:val="center"/>
              <w:rPr>
                <w:rFonts w:asciiTheme="majorBidi" w:hAnsiTheme="majorBidi" w:cstheme="majorBidi"/>
                <w:noProof/>
              </w:rPr>
            </w:pPr>
            <w:r>
              <w:rPr>
                <w:rFonts w:asciiTheme="majorBidi" w:hAnsiTheme="majorBidi" w:cstheme="majorBidi" w:hint="eastAsia"/>
                <w:noProof/>
                <w:lang w:eastAsia="zh-CN"/>
              </w:rPr>
              <w:t>Balloon</w:t>
            </w:r>
            <w:r>
              <w:rPr>
                <w:rFonts w:asciiTheme="majorBidi" w:hAnsiTheme="majorBidi" w:cstheme="majorBidi"/>
                <w:noProof/>
              </w:rPr>
              <w:t xml:space="preserve"> Sizing </w:t>
            </w:r>
            <w:r>
              <w:rPr>
                <w:rFonts w:asciiTheme="majorBidi" w:hAnsiTheme="majorBidi" w:cstheme="majorBidi" w:hint="eastAsia"/>
                <w:noProof/>
                <w:lang w:eastAsia="zh-CN"/>
              </w:rPr>
              <w:t>of</w:t>
            </w:r>
            <w:r>
              <w:rPr>
                <w:rFonts w:asciiTheme="majorBidi" w:hAnsiTheme="majorBidi" w:cstheme="majorBidi"/>
                <w:noProof/>
              </w:rPr>
              <w:t xml:space="preserve"> Valve Annulus for Percutaneous Valves</w:t>
            </w:r>
          </w:p>
          <w:p w14:paraId="0E34EABE" w14:textId="6A6EA117" w:rsidR="00233D57" w:rsidRPr="00522715" w:rsidRDefault="00233D57" w:rsidP="00C758BF">
            <w:pPr>
              <w:jc w:val="center"/>
              <w:rPr>
                <w:rFonts w:asciiTheme="majorBidi" w:hAnsiTheme="majorBidi" w:cstheme="majorBidi"/>
                <w:noProof/>
              </w:rPr>
            </w:pPr>
          </w:p>
        </w:tc>
        <w:tc>
          <w:tcPr>
            <w:tcW w:w="6662" w:type="dxa"/>
            <w:vAlign w:val="center"/>
          </w:tcPr>
          <w:p w14:paraId="61E26D94" w14:textId="0AB40EB4" w:rsidR="00233D57" w:rsidRPr="00C758BF" w:rsidRDefault="00233D57" w:rsidP="00C758BF">
            <w:pPr>
              <w:autoSpaceDE w:val="0"/>
              <w:autoSpaceDN w:val="0"/>
              <w:adjustRightInd w:val="0"/>
              <w:jc w:val="both"/>
              <w:rPr>
                <w:rFonts w:ascii="MyriadPro-Regular" w:hAnsi="MyriadPro-Regular" w:cs="MyriadPro-Regular"/>
                <w:color w:val="231F20"/>
                <w:sz w:val="14"/>
                <w:szCs w:val="14"/>
              </w:rPr>
            </w:pPr>
            <w:r>
              <w:rPr>
                <w:rFonts w:ascii="MyriadPro-Regular" w:hAnsi="MyriadPro-Regular" w:cs="MyriadPro-Regular"/>
                <w:color w:val="231F20"/>
                <w:sz w:val="16"/>
                <w:szCs w:val="16"/>
              </w:rPr>
              <w:t>T</w:t>
            </w:r>
            <w:r w:rsidRPr="00AB1256">
              <w:rPr>
                <w:rFonts w:ascii="MyriadPro-Regular" w:hAnsi="MyriadPro-Regular" w:cs="MyriadPro-Regular"/>
                <w:color w:val="231F20"/>
                <w:sz w:val="16"/>
                <w:szCs w:val="16"/>
              </w:rPr>
              <w:t>he device comprises an elongated</w:t>
            </w:r>
            <w:r>
              <w:rPr>
                <w:rFonts w:ascii="MyriadPro-Regular" w:hAnsi="MyriadPro-Regular" w:cs="MyriadPro-Regular"/>
                <w:color w:val="231F20"/>
                <w:sz w:val="16"/>
                <w:szCs w:val="16"/>
              </w:rPr>
              <w:t xml:space="preserve"> </w:t>
            </w:r>
            <w:r w:rsidRPr="00AB1256">
              <w:rPr>
                <w:rFonts w:ascii="MyriadPro-Regular" w:hAnsi="MyriadPro-Regular" w:cs="MyriadPro-Regular"/>
                <w:color w:val="231F20"/>
                <w:sz w:val="16"/>
                <w:szCs w:val="16"/>
              </w:rPr>
              <w:t>body extending from</w:t>
            </w:r>
            <w:r>
              <w:rPr>
                <w:rFonts w:ascii="MyriadPro-Regular" w:hAnsi="MyriadPro-Regular" w:cs="MyriadPro-Regular"/>
                <w:color w:val="231F20"/>
                <w:sz w:val="16"/>
                <w:szCs w:val="16"/>
              </w:rPr>
              <w:t xml:space="preserve"> </w:t>
            </w:r>
            <w:r w:rsidRPr="00AB1256">
              <w:rPr>
                <w:rFonts w:ascii="MyriadPro-Regular" w:hAnsi="MyriadPro-Regular" w:cs="MyriadPro-Regular"/>
                <w:color w:val="231F20"/>
                <w:sz w:val="16"/>
                <w:szCs w:val="16"/>
              </w:rPr>
              <w:t>a</w:t>
            </w:r>
            <w:r>
              <w:rPr>
                <w:rFonts w:ascii="MyriadPro-Regular" w:hAnsi="MyriadPro-Regular" w:cs="MyriadPro-Regular"/>
                <w:color w:val="231F20"/>
                <w:sz w:val="16"/>
                <w:szCs w:val="16"/>
              </w:rPr>
              <w:t xml:space="preserve"> </w:t>
            </w:r>
            <w:r w:rsidRPr="00AB1256">
              <w:rPr>
                <w:rFonts w:ascii="MyriadPro-Regular" w:hAnsi="MyriadPro-Regular" w:cs="MyriadPro-Regular"/>
                <w:color w:val="231F20"/>
                <w:sz w:val="16"/>
                <w:szCs w:val="16"/>
              </w:rPr>
              <w:t>proximal end</w:t>
            </w:r>
            <w:r>
              <w:rPr>
                <w:rFonts w:ascii="MyriadPro-Regular" w:hAnsi="MyriadPro-Regular" w:cs="MyriadPro-Regular"/>
                <w:color w:val="231F20"/>
                <w:sz w:val="16"/>
                <w:szCs w:val="16"/>
              </w:rPr>
              <w:t xml:space="preserve"> </w:t>
            </w:r>
            <w:r w:rsidRPr="00AB1256">
              <w:rPr>
                <w:rFonts w:ascii="MyriadPro-Regular" w:hAnsi="MyriadPro-Regular" w:cs="MyriadPro-Regular"/>
                <w:color w:val="231F20"/>
                <w:sz w:val="16"/>
                <w:szCs w:val="16"/>
              </w:rPr>
              <w:t>to a</w:t>
            </w:r>
            <w:r>
              <w:rPr>
                <w:rFonts w:ascii="MyriadPro-Regular" w:hAnsi="MyriadPro-Regular" w:cs="MyriadPro-Regular"/>
                <w:color w:val="231F20"/>
                <w:sz w:val="16"/>
                <w:szCs w:val="16"/>
              </w:rPr>
              <w:t xml:space="preserve"> </w:t>
            </w:r>
            <w:r w:rsidRPr="00AB1256">
              <w:rPr>
                <w:rFonts w:ascii="MyriadPro-Regular" w:hAnsi="MyriadPro-Regular" w:cs="MyriadPro-Regular"/>
                <w:color w:val="231F20"/>
                <w:sz w:val="16"/>
                <w:szCs w:val="16"/>
              </w:rPr>
              <w:t>distal end and</w:t>
            </w:r>
            <w:r>
              <w:rPr>
                <w:rFonts w:ascii="MyriadPro-Regular" w:hAnsi="MyriadPro-Regular" w:cs="MyriadPro-Regular"/>
                <w:color w:val="231F20"/>
                <w:sz w:val="16"/>
                <w:szCs w:val="16"/>
              </w:rPr>
              <w:t xml:space="preserve"> </w:t>
            </w:r>
            <w:r w:rsidRPr="00AB1256">
              <w:rPr>
                <w:rFonts w:ascii="MyriadPro-Regular" w:hAnsi="MyriadPro-Regular" w:cs="MyriadPro-Regular"/>
                <w:color w:val="231F20"/>
                <w:sz w:val="16"/>
                <w:szCs w:val="16"/>
              </w:rPr>
              <w:t>having</w:t>
            </w:r>
            <w:r>
              <w:rPr>
                <w:rFonts w:ascii="MyriadPro-Regular" w:hAnsi="MyriadPro-Regular" w:cs="MyriadPro-Regular"/>
                <w:color w:val="231F20"/>
                <w:sz w:val="16"/>
                <w:szCs w:val="16"/>
              </w:rPr>
              <w:t xml:space="preserve"> </w:t>
            </w:r>
            <w:r w:rsidRPr="00AB1256">
              <w:rPr>
                <w:rFonts w:ascii="MyriadPro-Regular" w:hAnsi="MyriadPro-Regular" w:cs="MyriadPro-Regular"/>
                <w:color w:val="231F20"/>
                <w:sz w:val="16"/>
                <w:szCs w:val="16"/>
              </w:rPr>
              <w:t xml:space="preserve">a lumen </w:t>
            </w:r>
            <w:proofErr w:type="spellStart"/>
            <w:r w:rsidRPr="00AB1256">
              <w:rPr>
                <w:rFonts w:ascii="MyriadPro-Regular" w:hAnsi="MyriadPro-Regular" w:cs="MyriadPro-Regular"/>
                <w:color w:val="231F20"/>
                <w:sz w:val="16"/>
                <w:szCs w:val="16"/>
              </w:rPr>
              <w:t>therethroughs</w:t>
            </w:r>
            <w:proofErr w:type="spellEnd"/>
            <w:r>
              <w:rPr>
                <w:rFonts w:ascii="MyriadPro-Regular" w:hAnsi="MyriadPro-Regular" w:cs="MyriadPro-Regular"/>
                <w:color w:val="231F20"/>
                <w:sz w:val="16"/>
                <w:szCs w:val="16"/>
              </w:rPr>
              <w:t xml:space="preserve">, </w:t>
            </w:r>
            <w:r w:rsidRPr="00AB1256">
              <w:rPr>
                <w:rFonts w:ascii="MyriadPro-Regular" w:hAnsi="MyriadPro-Regular" w:cs="MyriadPro-Regular"/>
                <w:color w:val="231F20"/>
                <w:sz w:val="16"/>
                <w:szCs w:val="16"/>
              </w:rPr>
              <w:t>a balloon positi</w:t>
            </w:r>
            <w:bookmarkStart w:id="0" w:name="_GoBack"/>
            <w:bookmarkEnd w:id="0"/>
            <w:r w:rsidRPr="00AB1256">
              <w:rPr>
                <w:rFonts w:ascii="MyriadPro-Regular" w:hAnsi="MyriadPro-Regular" w:cs="MyriadPro-Regular"/>
                <w:color w:val="231F20"/>
                <w:sz w:val="16"/>
                <w:szCs w:val="16"/>
              </w:rPr>
              <w:t xml:space="preserve">oned along the </w:t>
            </w:r>
            <w:r>
              <w:rPr>
                <w:rFonts w:ascii="MyriadPro-Regular" w:hAnsi="MyriadPro-Regular" w:cs="MyriadPro-Regular"/>
                <w:color w:val="231F20"/>
                <w:sz w:val="16"/>
                <w:szCs w:val="16"/>
              </w:rPr>
              <w:t>elongated body at or near the distal end, a detector and a pressure transducer positioned along the elongated body within the balloon, and a suction/infusion port defined within the elongated body within the balloon.</w:t>
            </w:r>
          </w:p>
        </w:tc>
        <w:tc>
          <w:tcPr>
            <w:tcW w:w="4511" w:type="dxa"/>
            <w:vAlign w:val="center"/>
          </w:tcPr>
          <w:p w14:paraId="4692B12A" w14:textId="7FDEF7B7" w:rsidR="00233D57" w:rsidRDefault="00233D57" w:rsidP="00233D57">
            <w:pPr>
              <w:jc w:val="center"/>
            </w:pPr>
            <w:r>
              <w:rPr>
                <w:noProof/>
              </w:rPr>
              <w:drawing>
                <wp:inline distT="0" distB="0" distL="0" distR="0" wp14:anchorId="7E7B4BFF" wp14:editId="3BD6383C">
                  <wp:extent cx="1623646" cy="15882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673949" cy="1637499"/>
                          </a:xfrm>
                          <a:prstGeom prst="rect">
                            <a:avLst/>
                          </a:prstGeom>
                        </pic:spPr>
                      </pic:pic>
                    </a:graphicData>
                  </a:graphic>
                </wp:inline>
              </w:drawing>
            </w:r>
          </w:p>
        </w:tc>
      </w:tr>
      <w:tr w:rsidR="00233D57" w14:paraId="508F7720" w14:textId="77777777" w:rsidTr="00233D57">
        <w:tc>
          <w:tcPr>
            <w:tcW w:w="355" w:type="dxa"/>
            <w:vAlign w:val="center"/>
          </w:tcPr>
          <w:p w14:paraId="0CF57F6A" w14:textId="77777777" w:rsidR="00233D57" w:rsidRPr="006D38C5" w:rsidRDefault="00233D57" w:rsidP="00522715">
            <w:pPr>
              <w:jc w:val="center"/>
              <w:rPr>
                <w:rFonts w:asciiTheme="majorBidi" w:hAnsiTheme="majorBidi" w:cstheme="majorBidi"/>
                <w:noProof/>
                <w:sz w:val="20"/>
                <w:szCs w:val="20"/>
              </w:rPr>
            </w:pPr>
            <w:r w:rsidRPr="006D38C5">
              <w:rPr>
                <w:rFonts w:asciiTheme="majorBidi" w:hAnsiTheme="majorBidi" w:cstheme="majorBidi"/>
                <w:noProof/>
                <w:sz w:val="20"/>
                <w:szCs w:val="20"/>
              </w:rPr>
              <w:t>2</w:t>
            </w:r>
          </w:p>
        </w:tc>
        <w:tc>
          <w:tcPr>
            <w:tcW w:w="2759" w:type="dxa"/>
            <w:vAlign w:val="center"/>
          </w:tcPr>
          <w:p w14:paraId="4125B370" w14:textId="7396E69D" w:rsidR="00233D57" w:rsidRDefault="00233D57" w:rsidP="00C758BF">
            <w:pPr>
              <w:jc w:val="center"/>
              <w:rPr>
                <w:noProof/>
              </w:rPr>
            </w:pPr>
            <w:r w:rsidRPr="00AB1256">
              <w:rPr>
                <w:rFonts w:asciiTheme="majorBidi" w:hAnsiTheme="majorBidi" w:cstheme="majorBidi"/>
                <w:noProof/>
              </w:rPr>
              <w:t>C</w:t>
            </w:r>
            <w:r>
              <w:rPr>
                <w:rFonts w:asciiTheme="majorBidi" w:hAnsiTheme="majorBidi" w:cstheme="majorBidi"/>
                <w:noProof/>
              </w:rPr>
              <w:t>atheter-based Heart Valve Therapy System with Sizing Balloon</w:t>
            </w:r>
          </w:p>
        </w:tc>
        <w:tc>
          <w:tcPr>
            <w:tcW w:w="6662" w:type="dxa"/>
            <w:vAlign w:val="center"/>
          </w:tcPr>
          <w:p w14:paraId="65AE3AD2" w14:textId="2416AD59" w:rsidR="00233D57" w:rsidRDefault="00233D57" w:rsidP="00C758BF">
            <w:pPr>
              <w:spacing w:line="276" w:lineRule="auto"/>
              <w:jc w:val="both"/>
            </w:pPr>
            <w:r w:rsidRPr="00D62846">
              <w:rPr>
                <w:rFonts w:ascii="MyriadPro-Regular" w:hAnsi="MyriadPro-Regular" w:cs="MyriadPro-Regular"/>
                <w:color w:val="231F20"/>
                <w:sz w:val="16"/>
                <w:szCs w:val="16"/>
              </w:rPr>
              <w:t xml:space="preserve">A catheter-based heart valve therapy system, includes a stented heart valve prosthesis including a stent frame having a valvular contact region that is configured to </w:t>
            </w:r>
            <w:proofErr w:type="gramStart"/>
            <w:r w:rsidRPr="00D62846">
              <w:rPr>
                <w:rFonts w:ascii="MyriadPro-Regular" w:hAnsi="MyriadPro-Regular" w:cs="MyriadPro-Regular"/>
                <w:color w:val="231F20"/>
                <w:sz w:val="16"/>
                <w:szCs w:val="16"/>
              </w:rPr>
              <w:t>make contact with</w:t>
            </w:r>
            <w:proofErr w:type="gramEnd"/>
            <w:r w:rsidRPr="00D62846">
              <w:rPr>
                <w:rFonts w:ascii="MyriadPro-Regular" w:hAnsi="MyriadPro-Regular" w:cs="MyriadPro-Regular"/>
                <w:color w:val="231F20"/>
                <w:sz w:val="16"/>
                <w:szCs w:val="16"/>
              </w:rPr>
              <w:t xml:space="preserve"> a heart valve and nearby anatomy of a patient. A sizing balloon includes a first region having a shape in an inflated state that matches a shape of the valvular contact region of the stent frame in an expanded state.</w:t>
            </w:r>
          </w:p>
        </w:tc>
        <w:tc>
          <w:tcPr>
            <w:tcW w:w="4511" w:type="dxa"/>
            <w:vAlign w:val="center"/>
          </w:tcPr>
          <w:p w14:paraId="68138984" w14:textId="67EDF787" w:rsidR="00233D57" w:rsidRDefault="00233D57" w:rsidP="00522715">
            <w:pPr>
              <w:jc w:val="center"/>
            </w:pPr>
            <w:r>
              <w:rPr>
                <w:noProof/>
              </w:rPr>
              <w:drawing>
                <wp:inline distT="0" distB="0" distL="0" distR="0" wp14:anchorId="2F3DF559" wp14:editId="76143F83">
                  <wp:extent cx="1716845" cy="1161640"/>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27441" cy="1168809"/>
                          </a:xfrm>
                          <a:prstGeom prst="rect">
                            <a:avLst/>
                          </a:prstGeom>
                        </pic:spPr>
                      </pic:pic>
                    </a:graphicData>
                  </a:graphic>
                </wp:inline>
              </w:drawing>
            </w:r>
          </w:p>
        </w:tc>
      </w:tr>
      <w:tr w:rsidR="00233D57" w14:paraId="788BEC2F" w14:textId="77777777" w:rsidTr="00233D57">
        <w:tc>
          <w:tcPr>
            <w:tcW w:w="355" w:type="dxa"/>
            <w:vAlign w:val="center"/>
          </w:tcPr>
          <w:p w14:paraId="2AD9EF3A" w14:textId="77777777" w:rsidR="00233D57" w:rsidRPr="006D38C5" w:rsidRDefault="00233D57" w:rsidP="00522715">
            <w:pPr>
              <w:jc w:val="center"/>
              <w:rPr>
                <w:rFonts w:asciiTheme="majorBidi" w:hAnsiTheme="majorBidi" w:cstheme="majorBidi"/>
                <w:sz w:val="20"/>
                <w:szCs w:val="20"/>
              </w:rPr>
            </w:pPr>
            <w:r w:rsidRPr="006D38C5">
              <w:rPr>
                <w:rFonts w:asciiTheme="majorBidi" w:hAnsiTheme="majorBidi" w:cstheme="majorBidi"/>
                <w:sz w:val="20"/>
                <w:szCs w:val="20"/>
              </w:rPr>
              <w:t>3</w:t>
            </w:r>
          </w:p>
        </w:tc>
        <w:tc>
          <w:tcPr>
            <w:tcW w:w="2759" w:type="dxa"/>
            <w:vAlign w:val="center"/>
          </w:tcPr>
          <w:p w14:paraId="7D9621C4" w14:textId="287FF23B" w:rsidR="00233D57" w:rsidRDefault="00233D57" w:rsidP="00C758BF">
            <w:pPr>
              <w:jc w:val="center"/>
              <w:rPr>
                <w:noProof/>
              </w:rPr>
            </w:pPr>
            <w:r w:rsidRPr="00D62846">
              <w:rPr>
                <w:rFonts w:asciiTheme="majorBidi" w:hAnsiTheme="majorBidi" w:cstheme="majorBidi"/>
                <w:noProof/>
              </w:rPr>
              <w:t xml:space="preserve">Balloon </w:t>
            </w:r>
            <w:r>
              <w:rPr>
                <w:rFonts w:asciiTheme="majorBidi" w:hAnsiTheme="majorBidi" w:cstheme="majorBidi"/>
                <w:noProof/>
              </w:rPr>
              <w:t>C</w:t>
            </w:r>
            <w:r w:rsidRPr="00D62846">
              <w:rPr>
                <w:rFonts w:asciiTheme="majorBidi" w:hAnsiTheme="majorBidi" w:cstheme="majorBidi"/>
                <w:noProof/>
              </w:rPr>
              <w:t xml:space="preserve">atheter with </w:t>
            </w:r>
            <w:r>
              <w:rPr>
                <w:rFonts w:asciiTheme="majorBidi" w:hAnsiTheme="majorBidi" w:cstheme="majorBidi"/>
                <w:noProof/>
              </w:rPr>
              <w:t>I</w:t>
            </w:r>
            <w:r w:rsidRPr="00D62846">
              <w:rPr>
                <w:rFonts w:asciiTheme="majorBidi" w:hAnsiTheme="majorBidi" w:cstheme="majorBidi"/>
                <w:noProof/>
              </w:rPr>
              <w:t xml:space="preserve">ntegrated </w:t>
            </w:r>
            <w:r>
              <w:rPr>
                <w:rFonts w:asciiTheme="majorBidi" w:hAnsiTheme="majorBidi" w:cstheme="majorBidi"/>
                <w:noProof/>
              </w:rPr>
              <w:t>O</w:t>
            </w:r>
            <w:r w:rsidRPr="00D62846">
              <w:rPr>
                <w:rFonts w:asciiTheme="majorBidi" w:hAnsiTheme="majorBidi" w:cstheme="majorBidi"/>
                <w:noProof/>
              </w:rPr>
              <w:t xml:space="preserve">ptical </w:t>
            </w:r>
            <w:r>
              <w:rPr>
                <w:rFonts w:asciiTheme="majorBidi" w:hAnsiTheme="majorBidi" w:cstheme="majorBidi"/>
                <w:noProof/>
              </w:rPr>
              <w:t>S</w:t>
            </w:r>
            <w:r w:rsidRPr="00D62846">
              <w:rPr>
                <w:rFonts w:asciiTheme="majorBidi" w:hAnsiTheme="majorBidi" w:cstheme="majorBidi"/>
                <w:noProof/>
              </w:rPr>
              <w:t xml:space="preserve">ensor for </w:t>
            </w:r>
            <w:r>
              <w:rPr>
                <w:rFonts w:asciiTheme="majorBidi" w:hAnsiTheme="majorBidi" w:cstheme="majorBidi"/>
                <w:noProof/>
              </w:rPr>
              <w:t>D</w:t>
            </w:r>
            <w:r w:rsidRPr="00D62846">
              <w:rPr>
                <w:rFonts w:asciiTheme="majorBidi" w:hAnsiTheme="majorBidi" w:cstheme="majorBidi"/>
                <w:noProof/>
              </w:rPr>
              <w:t xml:space="preserve">etermining </w:t>
            </w:r>
            <w:r>
              <w:rPr>
                <w:rFonts w:asciiTheme="majorBidi" w:hAnsiTheme="majorBidi" w:cstheme="majorBidi"/>
                <w:noProof/>
              </w:rPr>
              <w:t>B</w:t>
            </w:r>
            <w:r w:rsidRPr="00D62846">
              <w:rPr>
                <w:rFonts w:asciiTheme="majorBidi" w:hAnsiTheme="majorBidi" w:cstheme="majorBidi"/>
                <w:noProof/>
              </w:rPr>
              <w:t xml:space="preserve">alloon </w:t>
            </w:r>
            <w:r>
              <w:rPr>
                <w:rFonts w:asciiTheme="majorBidi" w:hAnsiTheme="majorBidi" w:cstheme="majorBidi"/>
                <w:noProof/>
              </w:rPr>
              <w:t>D</w:t>
            </w:r>
            <w:r w:rsidRPr="00D62846">
              <w:rPr>
                <w:rFonts w:asciiTheme="majorBidi" w:hAnsiTheme="majorBidi" w:cstheme="majorBidi"/>
                <w:noProof/>
              </w:rPr>
              <w:t>iameter</w:t>
            </w:r>
          </w:p>
        </w:tc>
        <w:tc>
          <w:tcPr>
            <w:tcW w:w="6662" w:type="dxa"/>
            <w:vAlign w:val="center"/>
          </w:tcPr>
          <w:p w14:paraId="51AA2C9E" w14:textId="6D1D4B49" w:rsidR="00233D57" w:rsidRPr="00A356F6" w:rsidRDefault="00233D57" w:rsidP="00A356F6">
            <w:pPr>
              <w:jc w:val="both"/>
              <w:rPr>
                <w:rFonts w:ascii="MyriadPro-Regular" w:hAnsi="MyriadPro-Regular" w:cs="MyriadPro-Regular"/>
                <w:color w:val="231F20"/>
                <w:sz w:val="16"/>
                <w:szCs w:val="16"/>
              </w:rPr>
            </w:pPr>
            <w:r w:rsidRPr="00D62846">
              <w:rPr>
                <w:rFonts w:ascii="MyriadPro-Regular" w:hAnsi="MyriadPro-Regular" w:cs="MyriadPro-Regular"/>
                <w:color w:val="231F20"/>
                <w:sz w:val="16"/>
                <w:szCs w:val="16"/>
              </w:rPr>
              <w:t xml:space="preserve">An optical sensor includes an elongated optical fiber with at least one diffraction grating formed in a core of a distal portion thereof. The fiber distal portion is coupled to the inflatable balloon. Broadband light is transmitted to the diffraction grating by an optical interrogator. A portion of the light is reflected from the diffraction grating and is received by a wavelength detector. </w:t>
            </w:r>
          </w:p>
        </w:tc>
        <w:tc>
          <w:tcPr>
            <w:tcW w:w="4511" w:type="dxa"/>
            <w:vAlign w:val="center"/>
          </w:tcPr>
          <w:p w14:paraId="087E839E" w14:textId="77253E00" w:rsidR="00233D57" w:rsidRDefault="00233D57" w:rsidP="00522715">
            <w:pPr>
              <w:jc w:val="center"/>
            </w:pPr>
            <w:r>
              <w:rPr>
                <w:noProof/>
              </w:rPr>
              <w:drawing>
                <wp:inline distT="0" distB="0" distL="0" distR="0" wp14:anchorId="6AC88766" wp14:editId="29E59B5D">
                  <wp:extent cx="2767717" cy="110783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87066" cy="1115576"/>
                          </a:xfrm>
                          <a:prstGeom prst="rect">
                            <a:avLst/>
                          </a:prstGeom>
                        </pic:spPr>
                      </pic:pic>
                    </a:graphicData>
                  </a:graphic>
                </wp:inline>
              </w:drawing>
            </w:r>
          </w:p>
        </w:tc>
      </w:tr>
      <w:tr w:rsidR="00233D57" w14:paraId="5B6DA78B" w14:textId="77777777" w:rsidTr="00233D57">
        <w:tc>
          <w:tcPr>
            <w:tcW w:w="355" w:type="dxa"/>
            <w:vAlign w:val="center"/>
          </w:tcPr>
          <w:p w14:paraId="2AF0B239" w14:textId="77777777" w:rsidR="00233D57" w:rsidRPr="006D38C5" w:rsidRDefault="00233D57" w:rsidP="00522715">
            <w:pPr>
              <w:jc w:val="center"/>
              <w:rPr>
                <w:rFonts w:asciiTheme="majorBidi" w:hAnsiTheme="majorBidi" w:cstheme="majorBidi"/>
                <w:sz w:val="20"/>
                <w:szCs w:val="20"/>
              </w:rPr>
            </w:pPr>
            <w:r w:rsidRPr="006D38C5">
              <w:rPr>
                <w:rFonts w:asciiTheme="majorBidi" w:hAnsiTheme="majorBidi" w:cstheme="majorBidi"/>
                <w:sz w:val="20"/>
                <w:szCs w:val="20"/>
              </w:rPr>
              <w:t>4</w:t>
            </w:r>
          </w:p>
        </w:tc>
        <w:tc>
          <w:tcPr>
            <w:tcW w:w="2759" w:type="dxa"/>
            <w:vAlign w:val="center"/>
          </w:tcPr>
          <w:p w14:paraId="6EF204F4" w14:textId="6AF2FBC6" w:rsidR="00233D57" w:rsidRPr="00D62846" w:rsidRDefault="00233D57" w:rsidP="00D618A4">
            <w:pPr>
              <w:jc w:val="center"/>
              <w:rPr>
                <w:rFonts w:ascii="Times New Roman" w:hAnsi="Times New Roman" w:cs="Times New Roman"/>
                <w:noProof/>
              </w:rPr>
            </w:pPr>
            <w:r w:rsidRPr="00D62846">
              <w:rPr>
                <w:rFonts w:ascii="Times New Roman" w:hAnsi="Times New Roman" w:cs="Times New Roman"/>
                <w:noProof/>
              </w:rPr>
              <w:t xml:space="preserve">Fluid </w:t>
            </w:r>
            <w:r>
              <w:rPr>
                <w:rFonts w:ascii="Times New Roman" w:hAnsi="Times New Roman" w:cs="Times New Roman"/>
                <w:noProof/>
              </w:rPr>
              <w:t>O</w:t>
            </w:r>
            <w:r w:rsidRPr="00D62846">
              <w:rPr>
                <w:rFonts w:ascii="Times New Roman" w:hAnsi="Times New Roman" w:cs="Times New Roman"/>
                <w:noProof/>
              </w:rPr>
              <w:t xml:space="preserve">ccluding </w:t>
            </w:r>
            <w:r>
              <w:rPr>
                <w:rFonts w:ascii="Times New Roman" w:hAnsi="Times New Roman" w:cs="Times New Roman"/>
                <w:noProof/>
              </w:rPr>
              <w:t>D</w:t>
            </w:r>
            <w:r w:rsidRPr="00D62846">
              <w:rPr>
                <w:rFonts w:ascii="Times New Roman" w:hAnsi="Times New Roman" w:cs="Times New Roman"/>
                <w:noProof/>
              </w:rPr>
              <w:t xml:space="preserve">evices and </w:t>
            </w:r>
            <w:r>
              <w:rPr>
                <w:rFonts w:ascii="Times New Roman" w:hAnsi="Times New Roman" w:cs="Times New Roman"/>
                <w:noProof/>
              </w:rPr>
              <w:t>M</w:t>
            </w:r>
            <w:r w:rsidRPr="00D62846">
              <w:rPr>
                <w:rFonts w:ascii="Times New Roman" w:hAnsi="Times New Roman" w:cs="Times New Roman"/>
                <w:noProof/>
              </w:rPr>
              <w:t>ethods</w:t>
            </w:r>
          </w:p>
        </w:tc>
        <w:tc>
          <w:tcPr>
            <w:tcW w:w="6662" w:type="dxa"/>
            <w:vAlign w:val="center"/>
          </w:tcPr>
          <w:p w14:paraId="19DE62F1" w14:textId="2D2870ED" w:rsidR="00233D57" w:rsidRPr="00F11B77" w:rsidRDefault="00233D57" w:rsidP="00F11B77">
            <w:pPr>
              <w:jc w:val="both"/>
              <w:rPr>
                <w:rFonts w:ascii="MyriadPro-Regular" w:hAnsi="MyriadPro-Regular" w:cs="MyriadPro-Regular"/>
                <w:color w:val="231F20"/>
                <w:sz w:val="16"/>
                <w:szCs w:val="16"/>
              </w:rPr>
            </w:pPr>
            <w:r w:rsidRPr="00D62846">
              <w:rPr>
                <w:rFonts w:ascii="MyriadPro-Regular" w:hAnsi="MyriadPro-Regular" w:cs="MyriadPro-Regular"/>
                <w:color w:val="231F20"/>
                <w:sz w:val="16"/>
                <w:szCs w:val="16"/>
              </w:rPr>
              <w:t>The method includes the steps of selecting an inflatable element such that diameter of the inflated inflatable element is greater than the diameter of the blood vessel being imaged, introducing the inflatable element into the blood vessel and underinflating the inflatable element such that the vessel wall is not substantially deformed by the inflatable element, the inflatable element substantially occluding the blood vessel to reduce imaging distortion resulting from vessel fluids.</w:t>
            </w:r>
          </w:p>
        </w:tc>
        <w:tc>
          <w:tcPr>
            <w:tcW w:w="4511" w:type="dxa"/>
            <w:vAlign w:val="center"/>
          </w:tcPr>
          <w:p w14:paraId="03868A20" w14:textId="67AD6C6E" w:rsidR="00233D57" w:rsidRDefault="00233D57" w:rsidP="00522715">
            <w:pPr>
              <w:jc w:val="center"/>
            </w:pPr>
            <w:r>
              <w:rPr>
                <w:noProof/>
              </w:rPr>
              <w:drawing>
                <wp:inline distT="0" distB="0" distL="0" distR="0" wp14:anchorId="0325A510" wp14:editId="4AB0574F">
                  <wp:extent cx="2685045" cy="1066800"/>
                  <wp:effectExtent l="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88172" cy="1068043"/>
                          </a:xfrm>
                          <a:prstGeom prst="rect">
                            <a:avLst/>
                          </a:prstGeom>
                        </pic:spPr>
                      </pic:pic>
                    </a:graphicData>
                  </a:graphic>
                </wp:inline>
              </w:drawing>
            </w:r>
          </w:p>
        </w:tc>
      </w:tr>
      <w:tr w:rsidR="00233D57" w14:paraId="6FE77111" w14:textId="77777777" w:rsidTr="00233D57">
        <w:tc>
          <w:tcPr>
            <w:tcW w:w="355" w:type="dxa"/>
            <w:vAlign w:val="center"/>
          </w:tcPr>
          <w:p w14:paraId="18C168FF" w14:textId="77777777" w:rsidR="00233D57" w:rsidRPr="006D38C5" w:rsidRDefault="00233D57" w:rsidP="00522715">
            <w:pPr>
              <w:jc w:val="center"/>
              <w:rPr>
                <w:rFonts w:asciiTheme="majorBidi" w:hAnsiTheme="majorBidi" w:cstheme="majorBidi"/>
                <w:sz w:val="20"/>
                <w:szCs w:val="20"/>
              </w:rPr>
            </w:pPr>
            <w:r w:rsidRPr="006D38C5">
              <w:rPr>
                <w:rFonts w:asciiTheme="majorBidi" w:hAnsiTheme="majorBidi" w:cstheme="majorBidi"/>
                <w:sz w:val="20"/>
                <w:szCs w:val="20"/>
              </w:rPr>
              <w:lastRenderedPageBreak/>
              <w:t>5</w:t>
            </w:r>
          </w:p>
        </w:tc>
        <w:tc>
          <w:tcPr>
            <w:tcW w:w="2759" w:type="dxa"/>
            <w:vAlign w:val="center"/>
          </w:tcPr>
          <w:p w14:paraId="4EE5CEE2" w14:textId="00588159" w:rsidR="00233D57" w:rsidRPr="00233D57" w:rsidRDefault="00233D57" w:rsidP="00D618A4">
            <w:pPr>
              <w:jc w:val="center"/>
              <w:rPr>
                <w:rFonts w:ascii="Times New Roman" w:hAnsi="Times New Roman" w:cs="Times New Roman"/>
                <w:noProof/>
              </w:rPr>
            </w:pPr>
            <w:r w:rsidRPr="00233D57">
              <w:rPr>
                <w:rFonts w:ascii="Times New Roman" w:hAnsi="Times New Roman" w:cs="Times New Roman"/>
                <w:noProof/>
              </w:rPr>
              <w:t>Two-step heart valve implantation</w:t>
            </w:r>
          </w:p>
        </w:tc>
        <w:tc>
          <w:tcPr>
            <w:tcW w:w="6662" w:type="dxa"/>
            <w:vAlign w:val="center"/>
          </w:tcPr>
          <w:p w14:paraId="3AEEA4A9" w14:textId="042C5ED3" w:rsidR="00233D57" w:rsidRPr="0025692A" w:rsidRDefault="00233D57" w:rsidP="0025692A">
            <w:pPr>
              <w:autoSpaceDE w:val="0"/>
              <w:autoSpaceDN w:val="0"/>
              <w:adjustRightInd w:val="0"/>
              <w:jc w:val="both"/>
              <w:rPr>
                <w:rFonts w:ascii="MyriadPro-Regular" w:hAnsi="MyriadPro-Regular" w:cs="MyriadPro-Regular"/>
                <w:color w:val="231F20"/>
                <w:sz w:val="16"/>
                <w:szCs w:val="16"/>
              </w:rPr>
            </w:pPr>
            <w:r w:rsidRPr="00233D57">
              <w:rPr>
                <w:rFonts w:ascii="MyriadPro-Regular" w:hAnsi="MyriadPro-Regular" w:cs="MyriadPro-Regular"/>
                <w:color w:val="231F20"/>
                <w:sz w:val="16"/>
                <w:szCs w:val="16"/>
              </w:rPr>
              <w:t>A two-part implantable heart valve and procedure are disclosed that allow expansion and positioning of a first part of the implantable heart valve having a temporary or transient valvular structure. A second part of the implantable heart valve is deployed within the first part and attaches thereto. The valvular structure of the second part then acts to function as the heart valve replacement. A tool or system is provided for determining an adequate percutaneous heart valve size for a given stenotic valve. A balloon can be inflated inside the stenotic valve to a desired pressure.</w:t>
            </w:r>
          </w:p>
        </w:tc>
        <w:tc>
          <w:tcPr>
            <w:tcW w:w="4511" w:type="dxa"/>
            <w:vAlign w:val="center"/>
          </w:tcPr>
          <w:p w14:paraId="702FAC07" w14:textId="42B70CC6" w:rsidR="00233D57" w:rsidRDefault="00233D57" w:rsidP="00522715">
            <w:pPr>
              <w:jc w:val="center"/>
            </w:pPr>
            <w:r>
              <w:rPr>
                <w:noProof/>
              </w:rPr>
              <w:drawing>
                <wp:inline distT="0" distB="0" distL="0" distR="0" wp14:anchorId="0371D4BC" wp14:editId="5EAD6867">
                  <wp:extent cx="1330569" cy="2200804"/>
                  <wp:effectExtent l="0" t="0" r="317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46334" cy="2226879"/>
                          </a:xfrm>
                          <a:prstGeom prst="rect">
                            <a:avLst/>
                          </a:prstGeom>
                        </pic:spPr>
                      </pic:pic>
                    </a:graphicData>
                  </a:graphic>
                </wp:inline>
              </w:drawing>
            </w:r>
          </w:p>
        </w:tc>
      </w:tr>
    </w:tbl>
    <w:p w14:paraId="1CE98201" w14:textId="77777777" w:rsidR="00DB0826" w:rsidRDefault="00DB0826"/>
    <w:sectPr w:rsidR="00DB0826" w:rsidSect="00421293">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Trade Gothic LT Std">
    <w:altName w:val="Calibri"/>
    <w:panose1 w:val="00000000000000000000"/>
    <w:charset w:val="00"/>
    <w:family w:val="swiss"/>
    <w:notTrueType/>
    <w:pitch w:val="default"/>
    <w:sig w:usb0="00000003" w:usb1="00000000" w:usb2="00000000" w:usb3="00000000" w:csb0="00000001" w:csb1="00000000"/>
  </w:font>
  <w:font w:name="MyriadPro-Regular">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7QwNDE2MzUxMjA0NLRQ0lEKTi0uzszPAykwrAUAgaMgMiwAAAA="/>
  </w:docVars>
  <w:rsids>
    <w:rsidRoot w:val="0067165E"/>
    <w:rsid w:val="00002381"/>
    <w:rsid w:val="00002B5D"/>
    <w:rsid w:val="00003B2D"/>
    <w:rsid w:val="00021CC0"/>
    <w:rsid w:val="00026610"/>
    <w:rsid w:val="0003690A"/>
    <w:rsid w:val="00051BAA"/>
    <w:rsid w:val="0006016E"/>
    <w:rsid w:val="00071E6B"/>
    <w:rsid w:val="000763BD"/>
    <w:rsid w:val="000818B9"/>
    <w:rsid w:val="000A0091"/>
    <w:rsid w:val="000A28E8"/>
    <w:rsid w:val="000A2DD0"/>
    <w:rsid w:val="000A6F37"/>
    <w:rsid w:val="000D09F8"/>
    <w:rsid w:val="000D1D14"/>
    <w:rsid w:val="000D212B"/>
    <w:rsid w:val="00111563"/>
    <w:rsid w:val="00124D50"/>
    <w:rsid w:val="00140160"/>
    <w:rsid w:val="001608F2"/>
    <w:rsid w:val="00183DE2"/>
    <w:rsid w:val="0018402C"/>
    <w:rsid w:val="00187CC2"/>
    <w:rsid w:val="001A2D8B"/>
    <w:rsid w:val="001C453C"/>
    <w:rsid w:val="001D0774"/>
    <w:rsid w:val="001E0E4F"/>
    <w:rsid w:val="001E7B59"/>
    <w:rsid w:val="001F1717"/>
    <w:rsid w:val="001F2751"/>
    <w:rsid w:val="00223F7C"/>
    <w:rsid w:val="00233D57"/>
    <w:rsid w:val="00246090"/>
    <w:rsid w:val="00247CA7"/>
    <w:rsid w:val="00251834"/>
    <w:rsid w:val="0025692A"/>
    <w:rsid w:val="00281AF0"/>
    <w:rsid w:val="002947E4"/>
    <w:rsid w:val="002D12D6"/>
    <w:rsid w:val="002D18E5"/>
    <w:rsid w:val="002D4053"/>
    <w:rsid w:val="002E25DA"/>
    <w:rsid w:val="002F04EB"/>
    <w:rsid w:val="002F5DDF"/>
    <w:rsid w:val="003025A3"/>
    <w:rsid w:val="0030775B"/>
    <w:rsid w:val="00307941"/>
    <w:rsid w:val="003230F7"/>
    <w:rsid w:val="00336168"/>
    <w:rsid w:val="00344C28"/>
    <w:rsid w:val="00361411"/>
    <w:rsid w:val="00363C20"/>
    <w:rsid w:val="00370BFF"/>
    <w:rsid w:val="00376F3C"/>
    <w:rsid w:val="00377DB4"/>
    <w:rsid w:val="003A7B1D"/>
    <w:rsid w:val="003B29BE"/>
    <w:rsid w:val="003C03A5"/>
    <w:rsid w:val="003C56D0"/>
    <w:rsid w:val="003D3996"/>
    <w:rsid w:val="003E15CC"/>
    <w:rsid w:val="003E7BFC"/>
    <w:rsid w:val="00402BEE"/>
    <w:rsid w:val="00403375"/>
    <w:rsid w:val="00421293"/>
    <w:rsid w:val="00437BB8"/>
    <w:rsid w:val="00456CB1"/>
    <w:rsid w:val="00461A34"/>
    <w:rsid w:val="0046664A"/>
    <w:rsid w:val="00470F4E"/>
    <w:rsid w:val="004727D8"/>
    <w:rsid w:val="00495191"/>
    <w:rsid w:val="004A3B9E"/>
    <w:rsid w:val="004B4BBA"/>
    <w:rsid w:val="004C2145"/>
    <w:rsid w:val="004C6DFA"/>
    <w:rsid w:val="004D7F65"/>
    <w:rsid w:val="004E4325"/>
    <w:rsid w:val="004F1049"/>
    <w:rsid w:val="00501B4F"/>
    <w:rsid w:val="0050602B"/>
    <w:rsid w:val="00516693"/>
    <w:rsid w:val="005179E9"/>
    <w:rsid w:val="00522715"/>
    <w:rsid w:val="005322DF"/>
    <w:rsid w:val="00552541"/>
    <w:rsid w:val="0055272F"/>
    <w:rsid w:val="005567ED"/>
    <w:rsid w:val="00575C14"/>
    <w:rsid w:val="00590ABC"/>
    <w:rsid w:val="005A1164"/>
    <w:rsid w:val="005A4C2C"/>
    <w:rsid w:val="005B39E3"/>
    <w:rsid w:val="005B6600"/>
    <w:rsid w:val="005E6365"/>
    <w:rsid w:val="005F7A96"/>
    <w:rsid w:val="0061711B"/>
    <w:rsid w:val="00625123"/>
    <w:rsid w:val="00634D08"/>
    <w:rsid w:val="0067165E"/>
    <w:rsid w:val="006716FE"/>
    <w:rsid w:val="00680555"/>
    <w:rsid w:val="00684F47"/>
    <w:rsid w:val="00686762"/>
    <w:rsid w:val="006C797D"/>
    <w:rsid w:val="006D1DB1"/>
    <w:rsid w:val="006D38C5"/>
    <w:rsid w:val="006F0AEC"/>
    <w:rsid w:val="00712394"/>
    <w:rsid w:val="00720E6A"/>
    <w:rsid w:val="00722CCD"/>
    <w:rsid w:val="00724E56"/>
    <w:rsid w:val="00730C3F"/>
    <w:rsid w:val="00732933"/>
    <w:rsid w:val="007357A2"/>
    <w:rsid w:val="007475D7"/>
    <w:rsid w:val="00747C92"/>
    <w:rsid w:val="00753BC9"/>
    <w:rsid w:val="00756C59"/>
    <w:rsid w:val="00771FEA"/>
    <w:rsid w:val="00773FFF"/>
    <w:rsid w:val="00792DA4"/>
    <w:rsid w:val="007B1D2A"/>
    <w:rsid w:val="007E6F28"/>
    <w:rsid w:val="007E7978"/>
    <w:rsid w:val="007F6496"/>
    <w:rsid w:val="00802642"/>
    <w:rsid w:val="00813282"/>
    <w:rsid w:val="0081414D"/>
    <w:rsid w:val="00857514"/>
    <w:rsid w:val="0087379B"/>
    <w:rsid w:val="008934A5"/>
    <w:rsid w:val="00893594"/>
    <w:rsid w:val="008A4C65"/>
    <w:rsid w:val="008A7EAE"/>
    <w:rsid w:val="008B7244"/>
    <w:rsid w:val="008B7C1C"/>
    <w:rsid w:val="008C0E2D"/>
    <w:rsid w:val="008D2E43"/>
    <w:rsid w:val="008D6AEC"/>
    <w:rsid w:val="008D6AEE"/>
    <w:rsid w:val="008F3EEF"/>
    <w:rsid w:val="008F66B2"/>
    <w:rsid w:val="00905095"/>
    <w:rsid w:val="00906C60"/>
    <w:rsid w:val="009307FD"/>
    <w:rsid w:val="00936DC5"/>
    <w:rsid w:val="0094247B"/>
    <w:rsid w:val="00954B63"/>
    <w:rsid w:val="0097393B"/>
    <w:rsid w:val="009A50CF"/>
    <w:rsid w:val="009B4522"/>
    <w:rsid w:val="009C3F0D"/>
    <w:rsid w:val="009C66AA"/>
    <w:rsid w:val="009C7EEB"/>
    <w:rsid w:val="009D063C"/>
    <w:rsid w:val="009D0A7E"/>
    <w:rsid w:val="009E0BC0"/>
    <w:rsid w:val="009E4CF1"/>
    <w:rsid w:val="009E52BF"/>
    <w:rsid w:val="009F0316"/>
    <w:rsid w:val="009F22A9"/>
    <w:rsid w:val="009F6C84"/>
    <w:rsid w:val="00A356F6"/>
    <w:rsid w:val="00A601CA"/>
    <w:rsid w:val="00A64246"/>
    <w:rsid w:val="00A66912"/>
    <w:rsid w:val="00A77738"/>
    <w:rsid w:val="00A82CD9"/>
    <w:rsid w:val="00AA5F0A"/>
    <w:rsid w:val="00AB1256"/>
    <w:rsid w:val="00AB549C"/>
    <w:rsid w:val="00AB7773"/>
    <w:rsid w:val="00AC78EB"/>
    <w:rsid w:val="00AC7D71"/>
    <w:rsid w:val="00AD0A26"/>
    <w:rsid w:val="00AD4466"/>
    <w:rsid w:val="00AE16E6"/>
    <w:rsid w:val="00AE6A42"/>
    <w:rsid w:val="00B142A6"/>
    <w:rsid w:val="00B33EAA"/>
    <w:rsid w:val="00B47D2B"/>
    <w:rsid w:val="00B50F58"/>
    <w:rsid w:val="00B65DD0"/>
    <w:rsid w:val="00B9259D"/>
    <w:rsid w:val="00B96790"/>
    <w:rsid w:val="00BA2331"/>
    <w:rsid w:val="00BB0552"/>
    <w:rsid w:val="00BB598E"/>
    <w:rsid w:val="00BC7594"/>
    <w:rsid w:val="00BC7977"/>
    <w:rsid w:val="00BD0ABB"/>
    <w:rsid w:val="00BE01EB"/>
    <w:rsid w:val="00BF75D9"/>
    <w:rsid w:val="00C103F5"/>
    <w:rsid w:val="00C11456"/>
    <w:rsid w:val="00C178C3"/>
    <w:rsid w:val="00C236FC"/>
    <w:rsid w:val="00C43D3F"/>
    <w:rsid w:val="00C5082E"/>
    <w:rsid w:val="00C52FBA"/>
    <w:rsid w:val="00C671D7"/>
    <w:rsid w:val="00C758BF"/>
    <w:rsid w:val="00C77453"/>
    <w:rsid w:val="00C952EE"/>
    <w:rsid w:val="00CA60D5"/>
    <w:rsid w:val="00CB3A9D"/>
    <w:rsid w:val="00CC7219"/>
    <w:rsid w:val="00CD0E0B"/>
    <w:rsid w:val="00CD19F2"/>
    <w:rsid w:val="00CE2045"/>
    <w:rsid w:val="00D127AA"/>
    <w:rsid w:val="00D23036"/>
    <w:rsid w:val="00D25088"/>
    <w:rsid w:val="00D25EDC"/>
    <w:rsid w:val="00D2691E"/>
    <w:rsid w:val="00D35D8C"/>
    <w:rsid w:val="00D42466"/>
    <w:rsid w:val="00D52F86"/>
    <w:rsid w:val="00D6172E"/>
    <w:rsid w:val="00D618A4"/>
    <w:rsid w:val="00D62846"/>
    <w:rsid w:val="00D71F03"/>
    <w:rsid w:val="00D80CAC"/>
    <w:rsid w:val="00D842E9"/>
    <w:rsid w:val="00DB0826"/>
    <w:rsid w:val="00DB1E1F"/>
    <w:rsid w:val="00DB3FA1"/>
    <w:rsid w:val="00DB527C"/>
    <w:rsid w:val="00DC6968"/>
    <w:rsid w:val="00DD1B9E"/>
    <w:rsid w:val="00DD57F7"/>
    <w:rsid w:val="00DE38BD"/>
    <w:rsid w:val="00DE5ADF"/>
    <w:rsid w:val="00DF31AB"/>
    <w:rsid w:val="00DF41FB"/>
    <w:rsid w:val="00E0092D"/>
    <w:rsid w:val="00E01C15"/>
    <w:rsid w:val="00E10B74"/>
    <w:rsid w:val="00E31BDD"/>
    <w:rsid w:val="00E34011"/>
    <w:rsid w:val="00E42402"/>
    <w:rsid w:val="00E459FC"/>
    <w:rsid w:val="00E524F6"/>
    <w:rsid w:val="00E539C2"/>
    <w:rsid w:val="00E77866"/>
    <w:rsid w:val="00E778BD"/>
    <w:rsid w:val="00E77FD8"/>
    <w:rsid w:val="00E908FD"/>
    <w:rsid w:val="00EA223E"/>
    <w:rsid w:val="00EE0266"/>
    <w:rsid w:val="00EE062C"/>
    <w:rsid w:val="00EE07DF"/>
    <w:rsid w:val="00EF1139"/>
    <w:rsid w:val="00EF3D92"/>
    <w:rsid w:val="00EF6C1E"/>
    <w:rsid w:val="00F11B77"/>
    <w:rsid w:val="00F14B3C"/>
    <w:rsid w:val="00F21102"/>
    <w:rsid w:val="00F247C4"/>
    <w:rsid w:val="00F33C04"/>
    <w:rsid w:val="00F82887"/>
    <w:rsid w:val="00F91A31"/>
    <w:rsid w:val="00F97CF1"/>
    <w:rsid w:val="00FA1459"/>
    <w:rsid w:val="00FA351D"/>
    <w:rsid w:val="00FB54DC"/>
    <w:rsid w:val="00FF367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29E96"/>
  <w15:chartTrackingRefBased/>
  <w15:docId w15:val="{C26E0CD4-BDFD-4C4A-BE12-6A8184B08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212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C758BF"/>
    <w:pPr>
      <w:autoSpaceDE w:val="0"/>
      <w:autoSpaceDN w:val="0"/>
      <w:adjustRightInd w:val="0"/>
      <w:spacing w:after="0" w:line="240" w:lineRule="auto"/>
    </w:pPr>
    <w:rPr>
      <w:rFonts w:ascii="Trade Gothic LT Std" w:hAnsi="Trade Gothic LT Std" w:cs="Trade Gothic LT Std"/>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381</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ENCS</Company>
  <LinksUpToDate>false</LinksUpToDate>
  <CharactersWithSpaces>2554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Asal_Bandari</dc:creator>
  <cp:keywords/>
  <dc:description/>
  <cp:lastModifiedBy>kangqingbo</cp:lastModifiedBy>
  <cp:revision>2</cp:revision>
  <dcterms:created xsi:type="dcterms:W3CDTF">2018-01-31T03:05:00Z</dcterms:created>
  <dcterms:modified xsi:type="dcterms:W3CDTF">2018-01-31T03:05:00Z</dcterms:modified>
</cp:coreProperties>
</file>