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Newsletter Personalization：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Clustering of Users by Reading Behavior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Time: 10/27/2019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Author: Ray Liu, David Chen, De Lu, Lily Chou, Kelly Zhao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Dataset：</w:t>
      </w:r>
      <w:r w:rsidDel="00000000" w:rsidR="00000000" w:rsidRPr="00000000">
        <w:rPr>
          <w:rtl w:val="0"/>
        </w:rPr>
        <w:t xml:space="preserve">Users’ reading behavioral data from a newsletter website in San Francisco.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Approach: </w:t>
      </w:r>
      <w:r w:rsidDel="00000000" w:rsidR="00000000" w:rsidRPr="00000000">
        <w:rPr>
          <w:rtl w:val="0"/>
        </w:rPr>
        <w:t xml:space="preserve">Explore data and cluster users based on reading interest.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 : </w:t>
      </w:r>
      <w:r w:rsidDel="00000000" w:rsidR="00000000" w:rsidRPr="00000000">
        <w:rPr>
          <w:rtl w:val="0"/>
        </w:rPr>
        <w:t xml:space="preserve">Use the clusters to personalize a newsletter to readers each day and perhaps develop other specialized newsletters/products.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 and take-away:</w:t>
      </w:r>
      <w:r w:rsidDel="00000000" w:rsidR="00000000" w:rsidRPr="00000000">
        <w:rPr>
          <w:rtl w:val="0"/>
        </w:rPr>
        <w:t xml:space="preserve"> Identified 11 types of users with different reading interests, and respectively 8, 8, 5 types of users for news, sports and food subcategories.Finally provided personalization suggestions accordingly to the types of users and ways of testing the efficiency of the personalization clustering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Explore the data. Understand the variables and identify the most relevant variables. Choose the list of variables to work with.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Data before transformation and aggregation: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62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Pick the variables used in model: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taken into clusters - Overall interests and their corresponding page views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of 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Page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25.11%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15.81%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14.50%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8.57%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entertainment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6.33%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5.82%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trivia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chronicle vault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4.98%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4.85%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3.01%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2.82%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1.81%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biz &amp; 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1.12%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take into clusters - Subclusters related to news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715"/>
        <w:gridCol w:w="1770"/>
        <w:tblGridChange w:id="0">
          <w:tblGrid>
            <w:gridCol w:w="3270"/>
            <w:gridCol w:w="2715"/>
            <w:gridCol w:w="17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of 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Page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news:bay area &amp; 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376349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59.42%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news:crime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92605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14.62%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news:politics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88045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13.90%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news:california wildfires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27196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4.29%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news:us news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16832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2.66%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1.87%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news:world news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8786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1.39%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1.11%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news:houston &amp; texas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0.50%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news:health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0.24%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take into clusters - Subclusters related to sports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2250"/>
        <w:gridCol w:w="1845"/>
        <w:tblGridChange w:id="0">
          <w:tblGrid>
            <w:gridCol w:w="3645"/>
            <w:gridCol w:w="2250"/>
            <w:gridCol w:w="18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of 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Page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sports:golden state warriors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58533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30.74%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sports:giants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25.90%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sports:49ers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13.49%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sports:sports columnists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12.13%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sports:oakland athletics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8.27%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sports:college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4.39%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sports:oakland raiders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3.69%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sports:golf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0.85%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sports:san jose sharks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sports:Pro teams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0.15%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Variables take into clusters - Subclusters related to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655"/>
        <w:gridCol w:w="1905"/>
        <w:tblGridChange w:id="0">
          <w:tblGrid>
            <w:gridCol w:w="3285"/>
            <w:gridCol w:w="2655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 of 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Pages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food:restaurants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56.65%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food:wine &amp; beer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21.64%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food:inside scoop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16.10%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food:recipes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5.60%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Create variables by aggregating and transforming the data.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Aggregation: Based on the raw data, aggregate the variables, grouping by subscription id regarding each customer as an observation: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"news", "business", "sports", "food”, "entertainment", "local", "trivia", "chronicle vault", "travel", "ion", "opinion", "living", "biz &amp; tech"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Transformation: As shown in the Pair plot, number of articles read in each category is right skewed so perform log transformation to all variables of this kind.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Identify clusters based on reading behaviors </w:t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(1) Overall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the best number of clusters: 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Sum variance within clusters VS number of clusters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264924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64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 more clusters there are, the smaller the with-in cluster variance is, with diminishing returns.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We tried cluster numbers 6-12 and found that when cluster number = 11, the characteristics of each cluster is pretty clear to describe. Especially, the original big non-active user cluster is split into two different clusters. This helps us identify some potential marketing strategies towards the non-active user cluster.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clustering means with visualization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As shown in the following image, on the Y axis are our 11 user clusters. On the X axis are our 13 topics. The color of the cells indicate how high or how low a value is. The darker colors, the lower the values.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21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the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415"/>
        <w:gridCol w:w="1740"/>
        <w:gridCol w:w="2265"/>
        <w:tblGridChange w:id="0">
          <w:tblGrid>
            <w:gridCol w:w="2040"/>
            <w:gridCol w:w="2415"/>
            <w:gridCol w:w="1740"/>
            <w:gridCol w:w="226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Numbers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Page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users interested in sports only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interested in business and news with considerably older age (Chronical Vault &gt; News &gt; Business)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36.31%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Inactive users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 active users with broad interests (News &gt; Business &gt; Sports)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active users interested in trivia (Trivia &gt; News &gt; Business)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7.03%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active users (News &gt; Business &gt; Food)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users interested in food only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16.12%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Inactive users with interests in ion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users who are not interested in trivia and chronicle vault (News &gt; Business &gt; Sports)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13.67%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and business oriented (News &gt; Business)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 more attention to local news (News &gt; Local &gt; Business)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(2) Subclusters related to news</w:t>
      </w:r>
    </w:p>
    <w:p w:rsidR="00000000" w:rsidDel="00000000" w:rsidP="00000000" w:rsidRDefault="00000000" w:rsidRPr="00000000" w14:paraId="000000E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clustering means with visualization</w:t>
      </w:r>
    </w:p>
    <w:p w:rsidR="00000000" w:rsidDel="00000000" w:rsidP="00000000" w:rsidRDefault="00000000" w:rsidRPr="00000000" w14:paraId="000000E8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41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the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385"/>
        <w:gridCol w:w="1605"/>
        <w:gridCol w:w="2925"/>
        <w:tblGridChange w:id="0">
          <w:tblGrid>
            <w:gridCol w:w="2040"/>
            <w:gridCol w:w="2385"/>
            <w:gridCol w:w="1605"/>
            <w:gridCol w:w="29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Numbers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Pages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7.66%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 active, bay area &amp; crime </w:t>
            </w:r>
            <w:commentRangeStart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42.70%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Inactive in all kinds of news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2.16%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Active readers with broad interests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8.47%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Active readers; Local+crime+politics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10.29%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Active; Local news and politics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18.02%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Light users, local news only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Active readers; Local+crime+politics+wildfires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5.69%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Active readers focus on local, political and crime news</w:t>
            </w:r>
          </w:p>
        </w:tc>
      </w:tr>
    </w:tbl>
    <w:p w:rsidR="00000000" w:rsidDel="00000000" w:rsidP="00000000" w:rsidRDefault="00000000" w:rsidRPr="00000000" w14:paraId="000001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(3) Subclusters related to sports</w:t>
      </w:r>
    </w:p>
    <w:p w:rsidR="00000000" w:rsidDel="00000000" w:rsidP="00000000" w:rsidRDefault="00000000" w:rsidRPr="00000000" w14:paraId="000001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clustering means with visualization</w:t>
      </w:r>
    </w:p>
    <w:p w:rsidR="00000000" w:rsidDel="00000000" w:rsidP="00000000" w:rsidRDefault="00000000" w:rsidRPr="00000000" w14:paraId="00000113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118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the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60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(4)  Subclusters related to food</w:t>
      </w:r>
    </w:p>
    <w:p w:rsidR="00000000" w:rsidDel="00000000" w:rsidP="00000000" w:rsidRDefault="00000000" w:rsidRPr="00000000" w14:paraId="000001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clustering means with visualization</w:t>
      </w:r>
    </w:p>
    <w:p w:rsidR="00000000" w:rsidDel="00000000" w:rsidP="00000000" w:rsidRDefault="00000000" w:rsidRPr="00000000" w14:paraId="0000011A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9463" cy="380706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807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the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4. Profiling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  <w:t xml:space="preserve">Merge Profiling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by cluster 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Summary to be added…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Personalization strategy and testing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Personalization strategy</w:t>
      </w:r>
    </w:p>
    <w:p w:rsidR="00000000" w:rsidDel="00000000" w:rsidP="00000000" w:rsidRDefault="00000000" w:rsidRPr="00000000" w14:paraId="000001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Add cluster labels to each subscription ID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109913" cy="182375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82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According to each label to adjust the percentage of each kind of news recomended: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interest: adjust the percentage of news recommend on homepage the larger the cluster mean is, the more of this kind of news recommended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News/Sports/Food: adjust the percentage of news shown in each category tab.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the sequence of the tab: put the most interested tab to the left and the least interested one to the right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A/B testing: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  <w:t xml:space="preserve">Hypothesis: The mean reading time and number of sessions will increase after applying the new personalization strategy to San Francisco Chronicle.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The designed experiment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 10,000 users for Group A and 10,000 Users for Group B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 to Day 7: Apply new personalization to Group A only.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mean reading time and number of sessions, between Group A (Day 1 to Day 7) and Group A (Day -6 to Day 0). Related data for the former group is expected to be larger.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 the mean reading time and number of sessions, between Group A (Day 1 to Day 7) and Group B (Day 1 to Day 7). Related data for the former group is expected to be larger.</w:t>
      </w:r>
    </w:p>
    <w:p w:rsidR="00000000" w:rsidDel="00000000" w:rsidP="00000000" w:rsidRDefault="00000000" w:rsidRPr="00000000" w14:paraId="000001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ly Chou" w:id="0" w:date="2019-10-28T03:43:1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we can simply use sum of page view to define its light readers ?  should we consider both PV &amp; Time spent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