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 AI Platform Agents Know When to Ask for Help</w:t>
      </w:r>
    </w:p>
    <w:p>
      <w:pPr>
        <w:pStyle w:val="ProposalSubtitle"/>
        <w:jc w:val="center"/>
      </w:pPr>
      <w:r>
        <w:t>Context Aware Intervention Before State Changing Operations</w:t>
      </w:r>
    </w:p>
    <w:p>
      <w:pPr>
        <w:pStyle w:val="ProposalMetadata"/>
        <w:jc w:val="center"/>
      </w:pPr>
      <w:r>
        <w:t>ARIN 5203 Course Project Proposal</w:t>
      </w:r>
    </w:p>
    <w:p>
      <w:pPr>
        <w:pStyle w:val="ProposalMetadata"/>
        <w:jc w:val="center"/>
      </w:pPr>
      <w:r>
        <w:t>Qingcheng Yu · Siu Kwun Yeung · Qingyin Guo</w:t>
        <w:br/>
        <w:t>Fall 2026</w:t>
      </w:r>
    </w:p>
    <w:p/>
    <w:p>
      <w:pPr>
        <w:spacing w:line="283" w:lineRule="auto" w:after="0"/>
        <w:ind w:firstLine="403"/>
        <w:jc w:val="both"/>
      </w:pPr>
      <w:r>
        <w:t>Tool-using agents can automate consequential operations, but an incorrect write action may interrupt a service, cross an ownership boundary, or create an unrecoverable state. We will study whether a context-aware intervention gate can decide when an agent should Execute, request Confirmation, or Handoff to a human before a state-changing tool call. We will draw on τ-bench and ToolSandbox for stateful evaluation, SABER for mutation-gated verification, and semantic-entropy work for disagreement-based uncertainty. Our controlled dataset will contain 40 base scenarios with three matched context variants each (120 cases) across GPU quota changes, workload preemption, resource transfer, model rollout, and capacity reclamation. Within each family, the proposed operation remains similar while approval evidence, ownership, production status, reversibility, recovery paths, and blast radius change. A deterministic simulator and state-transition oracle will label harmful mutations independently of the routing decision; sibling variants will stay in one split. The method will first block malformed or strictly inadmissible actions, then aggregate repeated critic samples using mean risk, routing disagreement, reason-code agreement, and scoped-approval consistency. An interpretable calibrated classifier will estimate execution risk, with thresholds selected only on the development set to map eligible cases to Execute, Confirm, or Handoff. We will compare ungated execution, verify-every-mutation, static tool tiers, a single prompted critic, and an uncalibrated ensemble. Evaluation will report harmful-mutation rate, safe autonomous completion, coverage, selective risk, Brier score, risk–coverage curves, intervention burden, latency, and token cost, together with ablations and failure analysis. Qingcheng Yu will focus on scenario design, intervention policy, and evaluation, based on prior work in agent products, lifecycle controls, and human-in-the-loop evaluation. Siu Kwun Yeung will focus on enterprise workflow and audit design, drawing on her HSBC internship experience with multi-agent search, verification, analysis, and human review. Qingyin Guo will focus on runtime and tool integration, drawing on his startup experience building a travel agent for multi-source parsing, search, itinerary planning, and map APIs. The study will test whether calibrated three-way intervention improves the safety–autonomy trade-off without treating synthetic results as production guarantees.</w:t>
      </w:r>
    </w:p>
    <w:sectPr w:rsidR="00FC693F" w:rsidRPr="0006063C" w:rsidSect="00034616">
      <w:footerReference w:type="default" r:id="rId9"/>
      <w:pgSz w:w="12240" w:h="15840"/>
      <w:pgMar w:top="1224" w:right="1368" w:bottom="1152"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5F5F"/>
        <w:sz w:val="18"/>
      </w:rPr>
      <w:t>Project proposal   Due 5 October 2026 at 11:59 pm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3" w:lineRule="auto"/>
    </w:pPr>
    <w:rPr>
      <w:rFonts w:ascii="Aptos" w:hAnsi="Aptos"/>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Aptos Display" w:hAnsi="Aptos Display"/>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Subtitle">
    <w:name w:val="Proposal Subtitle"/>
    <w:pPr>
      <w:spacing w:after="260"/>
    </w:pPr>
    <w:rPr>
      <w:rFonts w:ascii="Aptos" w:hAnsi="Aptos"/>
      <w:b/>
      <w:color w:val="000000"/>
      <w:sz w:val="25"/>
    </w:rPr>
  </w:style>
  <w:style w:type="paragraph" w:customStyle="1" w:styleId="ProposalMetadata">
    <w:name w:val="Proposal Metadata"/>
    <w:pPr>
      <w:spacing w:after="60"/>
    </w:pPr>
    <w:rPr>
      <w:rFonts w:ascii="Aptos" w:hAnsi="Aptos"/>
      <w:color w:val="464646"/>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AI Platform Agents Know When to Ask for Help</dc:title>
  <dc:subject>ARIN 5203 Course Project Proposal</dc:subject>
  <dc:creator>Qingcheng Yu; Siu Kwun Yeung; Qingyin Guo</dc:creator>
  <cp:keywords>LLM agents, tool use, uncertainty, human handoff, tau bench</cp:keywords>
  <dc:description>generated by python-docx</dc:description>
  <cp:lastModifiedBy/>
  <cp:revision>1</cp:revision>
  <dcterms:created xsi:type="dcterms:W3CDTF">2013-12-23T23:15:00Z</dcterms:created>
  <dcterms:modified xsi:type="dcterms:W3CDTF">2013-12-23T23:15:00Z</dcterms:modified>
  <cp:category/>
</cp:coreProperties>
</file>