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645FD9" w14:textId="77777777" w:rsidR="00FD0A53" w:rsidRDefault="00000000">
      <w:pPr>
        <w:pStyle w:val="aa"/>
        <w:jc w:val="center"/>
      </w:pPr>
      <w:r>
        <w:t>Do AI Platform Agents Know What They Must Not Forget</w:t>
      </w:r>
    </w:p>
    <w:p w14:paraId="63BDF946" w14:textId="77777777" w:rsidR="00FD0A53" w:rsidRDefault="00000000">
      <w:pPr>
        <w:pStyle w:val="ProposalSubtitle"/>
        <w:jc w:val="center"/>
        <w:rPr>
          <w:rFonts w:hint="eastAsia"/>
        </w:rPr>
      </w:pPr>
      <w:r>
        <w:t>Compaction Aware Intervention Before State Changing Operations</w:t>
      </w:r>
    </w:p>
    <w:p w14:paraId="0A10CC6C" w14:textId="77777777" w:rsidR="00FD0A53" w:rsidRDefault="00000000">
      <w:pPr>
        <w:pStyle w:val="ProposalMetadata"/>
        <w:jc w:val="center"/>
        <w:rPr>
          <w:rFonts w:hint="eastAsia"/>
        </w:rPr>
      </w:pPr>
      <w:r>
        <w:t>ARIN 5203 Course Project Proposal</w:t>
      </w:r>
    </w:p>
    <w:p w14:paraId="417F047B" w14:textId="77777777" w:rsidR="00FD0A53" w:rsidRDefault="00000000">
      <w:pPr>
        <w:pStyle w:val="ProposalMetadata"/>
        <w:jc w:val="center"/>
        <w:rPr>
          <w:rFonts w:hint="eastAsia"/>
        </w:rPr>
      </w:pPr>
      <w:r>
        <w:t>Qingcheng Yu · Siu Kwun Yeung · Qingyin Guo</w:t>
      </w:r>
      <w:r>
        <w:br/>
        <w:t>Fall 2026</w:t>
      </w:r>
    </w:p>
    <w:p w14:paraId="40DBB3D5" w14:textId="77777777" w:rsidR="00FD0A53" w:rsidRDefault="00FD0A53">
      <w:pPr>
        <w:rPr>
          <w:rFonts w:hint="eastAsia"/>
        </w:rPr>
      </w:pPr>
    </w:p>
    <w:p w14:paraId="1EE7C43A" w14:textId="77777777" w:rsidR="004072D5" w:rsidRDefault="00000000">
      <w:pPr>
        <w:ind w:firstLine="403"/>
        <w:jc w:val="both"/>
        <w:rPr>
          <w:lang w:eastAsia="zh-CN"/>
        </w:rPr>
      </w:pPr>
      <w:r>
        <w:t>Long-running tool-using agents must compress histories to control context windows, latency, and cost, yet a summary that drops an approval scope, prohibition, expiry, or rollback condition can change whether a later write action is safe. We will study whether a compaction-aware intervention gate can preserve the right context and decide Execute, request Confirmation, or Handoff before an AI platform agent changes external state. Drawing on τ-bench and ToolSandbox for stateful evaluation, SABER for mutation-gated verification, and ACON and Governance Decay for context compression, we will build a controlled benchmark of 40 base scenarios with three matched variants each (120 cases) across GPU quota changes, workload preemption, resource transfer, model rollout, and capacity reclamation. Each scenario will contain distractor logs plus decision-critical evidence about approval scope, ownership, production status, reversibility, recovery paths, expiry, or blast radius. A deterministic simulator and state-transition oracle will judge harmful mutations independently of the router, while sibling variants remain in one split. We will compare full context, tail truncation, generic summarization, fixed constraint pinning, and a selective human-in-the-loop strategy. Our method will automatically remove recoverable tool noise, pin clearly safety-critical constraints, and ask a short human question only when the importance, validity, or authority of a candidate memory is ambiguous. The compacted context will then feed a hybrid gate that first blocks malformed or strictly forbidden actions, then combines runtime evidence and repeated critic judgments to choose Execute, Confirm, or Handoff. Thresholds will be selected on development data and frozen for test. Evaluation will report harmful-mutation rate, safe autonomous completion, critical-fact retention, context reduction, routing accuracy, human-review burden, latency, and token cost, with ablations and failure analysis. Qingcheng Yu will lead scenario and intervention design using experience in agent products, lifecycle controls, and human-in-the-loop evaluation; Siu Kwun Yeung will lead enterprise workflow and audit design based on work with multi-agent search, verification, analysis, and human review; Qingyin Guo will lead runtime and tool integration based on building a travel agent with multi-source parsing, planning, search, and map APIs. A local five-scenario feasibility pilot motivated this design, but the project will treat synthetic results as controlled evidence rather than production guarantees.</w:t>
      </w:r>
    </w:p>
    <w:sectPr w:rsidR="00FD0A53" w:rsidSect="00034616">
      <w:footerReference w:type="default" r:id="rId8"/>
      <w:pgSz w:w="12240" w:h="15840"/>
      <w:pgMar w:top="1224" w:right="1368" w:bottom="1152"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EE24" w14:textId="77777777" w:rsidR="00E37693" w:rsidRDefault="00E37693">
      <w:pPr>
        <w:spacing w:line="240" w:lineRule="auto"/>
        <w:rPr>
          <w:rFonts w:hint="eastAsia"/>
        </w:rPr>
      </w:pPr>
      <w:r>
        <w:separator/>
      </w:r>
    </w:p>
  </w:endnote>
  <w:endnote w:type="continuationSeparator" w:id="0">
    <w:p w14:paraId="788687F1" w14:textId="77777777" w:rsidR="00E37693" w:rsidRDefault="00E3769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9DC59" w14:textId="77777777" w:rsidR="00FD0A53" w:rsidRDefault="00000000">
    <w:pPr>
      <w:pStyle w:val="a7"/>
      <w:jc w:val="center"/>
      <w:rPr>
        <w:rFonts w:hint="eastAsia"/>
      </w:rPr>
    </w:pPr>
    <w:r>
      <w:rPr>
        <w:color w:val="5F5F5F"/>
        <w:sz w:val="18"/>
      </w:rPr>
      <w:t>Project proposal   Due 5 October 2026 at 11:59 pm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C39F7B" w14:textId="77777777" w:rsidR="00E37693" w:rsidRDefault="00E37693">
      <w:pPr>
        <w:spacing w:line="240" w:lineRule="auto"/>
        <w:rPr>
          <w:rFonts w:hint="eastAsia"/>
        </w:rPr>
      </w:pPr>
      <w:r>
        <w:separator/>
      </w:r>
    </w:p>
  </w:footnote>
  <w:footnote w:type="continuationSeparator" w:id="0">
    <w:p w14:paraId="25A75FAA" w14:textId="77777777" w:rsidR="00E37693" w:rsidRDefault="00E37693">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1933831">
    <w:abstractNumId w:val="8"/>
  </w:num>
  <w:num w:numId="2" w16cid:durableId="95714985">
    <w:abstractNumId w:val="6"/>
  </w:num>
  <w:num w:numId="3" w16cid:durableId="751009733">
    <w:abstractNumId w:val="5"/>
  </w:num>
  <w:num w:numId="4" w16cid:durableId="654183179">
    <w:abstractNumId w:val="4"/>
  </w:num>
  <w:num w:numId="5" w16cid:durableId="1142502659">
    <w:abstractNumId w:val="7"/>
  </w:num>
  <w:num w:numId="6" w16cid:durableId="465467264">
    <w:abstractNumId w:val="3"/>
  </w:num>
  <w:num w:numId="7" w16cid:durableId="1366758875">
    <w:abstractNumId w:val="2"/>
  </w:num>
  <w:num w:numId="8" w16cid:durableId="800348872">
    <w:abstractNumId w:val="1"/>
  </w:num>
  <w:num w:numId="9" w16cid:durableId="20688448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2D5"/>
    <w:rsid w:val="00862CFE"/>
    <w:rsid w:val="00AA1D8D"/>
    <w:rsid w:val="00B47730"/>
    <w:rsid w:val="00CB0664"/>
    <w:rsid w:val="00E37693"/>
    <w:rsid w:val="00FC693F"/>
    <w:rsid w:val="00FD0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3D40F"/>
  <w14:defaultImageDpi w14:val="300"/>
  <w15:docId w15:val="{0D0D5882-2BD2-634E-B8BA-12719588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3" w:lineRule="auto"/>
    </w:pPr>
    <w:rPr>
      <w:rFonts w:ascii="Aptos" w:hAnsi="Aptos"/>
      <w:color w:val="000000"/>
      <w:sz w:val="23"/>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40" w:line="240" w:lineRule="auto"/>
      <w:contextualSpacing/>
    </w:pPr>
    <w:rPr>
      <w:rFonts w:asciiTheme="majorHAnsi" w:eastAsiaTheme="majorEastAsia" w:hAnsiTheme="majorHAnsi" w:cstheme="majorBidi"/>
      <w:b/>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When to Ask for Help</dc:title>
  <dc:subject>ARIN 5203 Course Project Proposal</dc:subject>
  <dc:creator>Qingcheng Yu; Siu Kwun Yeung; Qingyin Guo</dc:creator>
  <cp:keywords>LLM agents, tool use, uncertainty, human handoff, tau bench</cp:keywords>
  <dc:description>generated by python-docx</dc:description>
  <cp:lastModifiedBy>于清程（实习）</cp:lastModifiedBy>
  <cp:revision>2</cp:revision>
  <dcterms:created xsi:type="dcterms:W3CDTF">2013-12-23T23:15:00Z</dcterms:created>
  <dcterms:modified xsi:type="dcterms:W3CDTF">2026-10-01T09:25:00Z</dcterms:modified>
  <cp:category/>
</cp:coreProperties>
</file>