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3A0A" w14:textId="77777777" w:rsidR="00783AA1" w:rsidRDefault="00000000">
      <w:pPr>
        <w:pStyle w:val="a4"/>
        <w:spacing w:before="48" w:line="312" w:lineRule="auto"/>
        <w:rPr>
          <w:rFonts w:ascii="黑体" w:eastAsia="黑体" w:hAnsi="黑体" w:cs="黑体" w:hint="eastAsia"/>
          <w:lang w:eastAsia="zh-CN" w:bidi="zh-CN"/>
        </w:rPr>
      </w:pPr>
      <w:r>
        <w:rPr>
          <w:rFonts w:ascii="黑体" w:eastAsia="黑体" w:hAnsi="黑体" w:cs="黑体" w:hint="eastAsia"/>
          <w:lang w:val="zh-CN" w:eastAsia="zh-CN" w:bidi="zh-CN"/>
        </w:rPr>
        <w:t>附录</w:t>
      </w:r>
      <w:r>
        <w:rPr>
          <w:rFonts w:ascii="黑体" w:eastAsia="黑体" w:hAnsi="黑体" w:cs="黑体" w:hint="eastAsia"/>
          <w:lang w:eastAsia="zh-CN" w:bidi="zh-CN"/>
        </w:rPr>
        <w:t>4</w:t>
      </w:r>
    </w:p>
    <w:p w14:paraId="20E715CA" w14:textId="77777777" w:rsidR="00783AA1" w:rsidRDefault="00000000">
      <w:pPr>
        <w:spacing w:before="37" w:line="227" w:lineRule="auto"/>
        <w:ind w:left="2361"/>
        <w:rPr>
          <w:rFonts w:ascii="黑体" w:eastAsia="黑体" w:hAnsi="黑体" w:cs="黑体" w:hint="eastAsia"/>
          <w:b/>
          <w:bCs/>
          <w:sz w:val="36"/>
          <w:szCs w:val="36"/>
          <w:lang w:eastAsia="zh-CN"/>
        </w:rPr>
      </w:pPr>
      <w:r>
        <w:rPr>
          <w:rFonts w:ascii="黑体" w:eastAsia="黑体" w:hAnsi="黑体" w:cs="黑体"/>
          <w:b/>
          <w:bCs/>
          <w:spacing w:val="9"/>
          <w:sz w:val="36"/>
          <w:szCs w:val="36"/>
          <w:lang w:eastAsia="zh-CN"/>
        </w:rPr>
        <w:t>南京银行基金产品评估报告</w:t>
      </w:r>
    </w:p>
    <w:p w14:paraId="42325F85" w14:textId="77777777" w:rsidR="00783AA1" w:rsidRDefault="00783AA1">
      <w:pPr>
        <w:spacing w:line="438" w:lineRule="auto"/>
        <w:rPr>
          <w:lang w:eastAsia="zh-CN"/>
        </w:rPr>
      </w:pPr>
    </w:p>
    <w:p w14:paraId="6F672402" w14:textId="77777777" w:rsidR="00783AA1" w:rsidRDefault="00000000">
      <w:pPr>
        <w:widowControl w:val="0"/>
        <w:kinsoku/>
        <w:autoSpaceDE/>
        <w:autoSpaceDN/>
        <w:adjustRightInd/>
        <w:snapToGrid/>
        <w:spacing w:line="360" w:lineRule="auto"/>
        <w:ind w:firstLineChars="200" w:firstLine="480"/>
        <w:jc w:val="both"/>
        <w:textAlignment w:val="auto"/>
        <w:rPr>
          <w:rFonts w:ascii="宋体" w:eastAsia="宋体" w:hAnsi="宋体" w:cs="宋体" w:hint="eastAsia"/>
          <w:snapToGrid/>
          <w:kern w:val="2"/>
          <w:sz w:val="24"/>
          <w:szCs w:val="24"/>
          <w:lang w:eastAsia="zh-CN"/>
        </w:rPr>
      </w:pPr>
      <w:r>
        <w:rPr>
          <w:rFonts w:ascii="宋体" w:eastAsia="宋体" w:hAnsi="宋体" w:cs="宋体" w:hint="eastAsia"/>
          <w:snapToGrid/>
          <w:kern w:val="2"/>
          <w:sz w:val="24"/>
          <w:szCs w:val="24"/>
          <w:lang w:eastAsia="zh-CN"/>
        </w:rPr>
        <w:t>根据本行基金业务相关管理规定，对拟上线基金的评估情况如下：</w:t>
      </w:r>
    </w:p>
    <w:p w14:paraId="1A4DBC02" w14:textId="77777777" w:rsidR="00783AA1" w:rsidRDefault="00000000">
      <w:pPr>
        <w:numPr>
          <w:ilvl w:val="0"/>
          <w:numId w:val="1"/>
        </w:numPr>
        <w:spacing w:line="360" w:lineRule="auto"/>
        <w:ind w:firstLineChars="200" w:firstLine="592"/>
        <w:rPr>
          <w:rFonts w:ascii="黑体" w:eastAsia="黑体" w:hAnsi="黑体" w:cs="黑体" w:hint="eastAsia"/>
          <w:spacing w:val="-2"/>
          <w:sz w:val="30"/>
          <w:szCs w:val="30"/>
          <w:lang w:eastAsia="zh-CN"/>
        </w:rPr>
      </w:pPr>
      <w:r>
        <w:rPr>
          <w:rFonts w:ascii="黑体" w:eastAsia="黑体" w:hAnsi="黑体" w:cs="黑体"/>
          <w:spacing w:val="-2"/>
          <w:sz w:val="30"/>
          <w:szCs w:val="30"/>
          <w:lang w:eastAsia="zh-CN"/>
        </w:rPr>
        <w:t>产品基本要素</w:t>
      </w:r>
    </w:p>
    <w:tbl>
      <w:tblPr>
        <w:tblW w:w="80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94"/>
        <w:gridCol w:w="3284"/>
        <w:gridCol w:w="1096"/>
        <w:gridCol w:w="2284"/>
      </w:tblGrid>
      <w:tr w:rsidR="00783AA1" w14:paraId="6D4FEF40" w14:textId="77777777">
        <w:trPr>
          <w:trHeight w:val="995"/>
          <w:jc w:val="center"/>
        </w:trPr>
        <w:tc>
          <w:tcPr>
            <w:tcW w:w="1394" w:type="dxa"/>
            <w:vAlign w:val="center"/>
          </w:tcPr>
          <w:p w14:paraId="6FFDFECF" w14:textId="77777777" w:rsidR="00783AA1" w:rsidRDefault="00000000">
            <w:pPr>
              <w:ind w:leftChars="50" w:left="105"/>
              <w:rPr>
                <w:rFonts w:ascii="仿宋" w:eastAsia="仿宋" w:hAnsi="仿宋" w:cs="宋体" w:hint="eastAsia"/>
                <w:sz w:val="24"/>
                <w:szCs w:val="24"/>
              </w:rPr>
            </w:pPr>
            <w:proofErr w:type="spellStart"/>
            <w:r>
              <w:rPr>
                <w:rFonts w:ascii="仿宋" w:eastAsia="仿宋" w:hAnsi="仿宋" w:cs="宋体" w:hint="eastAsia"/>
                <w:sz w:val="24"/>
                <w:szCs w:val="24"/>
              </w:rPr>
              <w:t>基金全称</w:t>
            </w:r>
            <w:proofErr w:type="spellEnd"/>
          </w:p>
        </w:tc>
        <w:tc>
          <w:tcPr>
            <w:tcW w:w="3284" w:type="dxa"/>
            <w:vAlign w:val="center"/>
          </w:tcPr>
          <w:p w14:paraId="498248C4" w14:textId="7231CA34" w:rsidR="00783AA1" w:rsidRPr="00C63264" w:rsidRDefault="00C63264">
            <w:pPr>
              <w:ind w:leftChars="50" w:left="105"/>
              <w:rPr>
                <w:rFonts w:ascii="仿宋" w:eastAsia="仿宋" w:hAnsi="仿宋" w:cs="宋体" w:hint="eastAsia"/>
                <w:sz w:val="24"/>
                <w:szCs w:val="24"/>
                <w:lang w:eastAsia="zh-CN"/>
              </w:rPr>
            </w:pPr>
            <w:r w:rsidRPr="00C63264">
              <w:rPr>
                <w:rFonts w:ascii="仿宋" w:eastAsia="仿宋" w:hAnsi="仿宋" w:cs="宋体" w:hint="eastAsia"/>
                <w:sz w:val="24"/>
                <w:szCs w:val="24"/>
                <w:lang w:eastAsia="zh-CN"/>
              </w:rPr>
              <w:t>富国中证电池主题交易型开放式指数证券投资基金发起式联接基金</w:t>
            </w:r>
          </w:p>
        </w:tc>
        <w:tc>
          <w:tcPr>
            <w:tcW w:w="1096" w:type="dxa"/>
            <w:vAlign w:val="center"/>
          </w:tcPr>
          <w:p w14:paraId="65C12CEC" w14:textId="77777777" w:rsidR="00783AA1" w:rsidRDefault="00000000">
            <w:pPr>
              <w:ind w:leftChars="50" w:left="105"/>
              <w:rPr>
                <w:rFonts w:ascii="仿宋" w:eastAsia="仿宋" w:hAnsi="仿宋" w:cs="宋体" w:hint="eastAsia"/>
                <w:sz w:val="24"/>
                <w:szCs w:val="24"/>
                <w:lang w:val="zh-CN" w:bidi="zh-CN"/>
              </w:rPr>
            </w:pPr>
            <w:proofErr w:type="spellStart"/>
            <w:r>
              <w:rPr>
                <w:rFonts w:ascii="仿宋" w:eastAsia="仿宋" w:hAnsi="仿宋" w:cs="宋体" w:hint="eastAsia"/>
                <w:sz w:val="24"/>
                <w:szCs w:val="24"/>
              </w:rPr>
              <w:t>基金代码</w:t>
            </w:r>
            <w:proofErr w:type="spellEnd"/>
          </w:p>
        </w:tc>
        <w:tc>
          <w:tcPr>
            <w:tcW w:w="2284" w:type="dxa"/>
            <w:vAlign w:val="center"/>
          </w:tcPr>
          <w:p w14:paraId="0515C73F" w14:textId="4106BEE1" w:rsidR="00783AA1" w:rsidRDefault="00000000">
            <w:pPr>
              <w:ind w:firstLineChars="100" w:firstLine="240"/>
              <w:rPr>
                <w:rFonts w:ascii="仿宋" w:eastAsia="仿宋" w:hAnsi="仿宋" w:cs="宋体" w:hint="eastAsia"/>
                <w:sz w:val="24"/>
                <w:szCs w:val="24"/>
                <w:lang w:eastAsia="zh-CN"/>
              </w:rPr>
            </w:pPr>
            <w:r>
              <w:rPr>
                <w:rFonts w:ascii="仿宋" w:eastAsia="仿宋" w:hAnsi="仿宋" w:cs="宋体" w:hint="eastAsia"/>
                <w:sz w:val="24"/>
                <w:szCs w:val="24"/>
              </w:rPr>
              <w:t>A</w:t>
            </w:r>
            <w:r>
              <w:rPr>
                <w:rFonts w:ascii="仿宋" w:eastAsia="仿宋" w:hAnsi="仿宋" w:cs="宋体" w:hint="eastAsia"/>
                <w:sz w:val="24"/>
                <w:szCs w:val="24"/>
                <w:lang w:eastAsia="zh-CN"/>
              </w:rPr>
              <w:t>：</w:t>
            </w:r>
            <w:r>
              <w:rPr>
                <w:rFonts w:ascii="仿宋" w:eastAsia="仿宋" w:hAnsi="仿宋" w:cs="宋体"/>
                <w:sz w:val="24"/>
                <w:szCs w:val="24"/>
              </w:rPr>
              <w:t>0</w:t>
            </w:r>
            <w:r>
              <w:rPr>
                <w:rFonts w:ascii="仿宋" w:eastAsia="仿宋" w:hAnsi="仿宋" w:cs="宋体" w:hint="eastAsia"/>
                <w:sz w:val="24"/>
                <w:szCs w:val="24"/>
                <w:lang w:eastAsia="zh-CN"/>
              </w:rPr>
              <w:t>1</w:t>
            </w:r>
            <w:r w:rsidR="00C63264">
              <w:rPr>
                <w:rFonts w:ascii="仿宋" w:eastAsia="仿宋" w:hAnsi="仿宋" w:cs="宋体" w:hint="eastAsia"/>
                <w:sz w:val="24"/>
                <w:szCs w:val="24"/>
                <w:lang w:eastAsia="zh-CN"/>
              </w:rPr>
              <w:t>7222</w:t>
            </w:r>
          </w:p>
          <w:p w14:paraId="477F672E" w14:textId="6D05FB40" w:rsidR="00783AA1" w:rsidRDefault="00000000">
            <w:pPr>
              <w:ind w:firstLineChars="100" w:firstLine="240"/>
              <w:rPr>
                <w:rFonts w:ascii="仿宋" w:eastAsia="仿宋" w:hAnsi="仿宋" w:cs="宋体" w:hint="eastAsia"/>
                <w:sz w:val="24"/>
                <w:szCs w:val="24"/>
              </w:rPr>
            </w:pPr>
            <w:r>
              <w:rPr>
                <w:rFonts w:ascii="仿宋" w:eastAsia="仿宋" w:hAnsi="仿宋" w:cs="宋体"/>
                <w:sz w:val="24"/>
                <w:szCs w:val="24"/>
              </w:rPr>
              <w:t>C</w:t>
            </w:r>
            <w:r>
              <w:rPr>
                <w:rFonts w:ascii="仿宋" w:eastAsia="仿宋" w:hAnsi="仿宋" w:cs="宋体" w:hint="eastAsia"/>
                <w:sz w:val="24"/>
                <w:szCs w:val="24"/>
                <w:lang w:eastAsia="zh-CN"/>
              </w:rPr>
              <w:t>：</w:t>
            </w:r>
            <w:r>
              <w:rPr>
                <w:rFonts w:ascii="仿宋" w:eastAsia="仿宋" w:hAnsi="仿宋" w:cs="宋体"/>
                <w:sz w:val="24"/>
                <w:szCs w:val="24"/>
                <w:lang w:eastAsia="zh-CN"/>
              </w:rPr>
              <w:t>01</w:t>
            </w:r>
            <w:r w:rsidR="00C63264">
              <w:rPr>
                <w:rFonts w:ascii="仿宋" w:eastAsia="仿宋" w:hAnsi="仿宋" w:cs="宋体" w:hint="eastAsia"/>
                <w:sz w:val="24"/>
                <w:szCs w:val="24"/>
                <w:lang w:eastAsia="zh-CN"/>
              </w:rPr>
              <w:t>7223</w:t>
            </w:r>
          </w:p>
        </w:tc>
      </w:tr>
      <w:tr w:rsidR="00783AA1" w14:paraId="21EF0F95" w14:textId="77777777">
        <w:trPr>
          <w:trHeight w:val="467"/>
          <w:jc w:val="center"/>
        </w:trPr>
        <w:tc>
          <w:tcPr>
            <w:tcW w:w="1394" w:type="dxa"/>
            <w:vAlign w:val="center"/>
          </w:tcPr>
          <w:p w14:paraId="3538F94C" w14:textId="77777777" w:rsidR="00783AA1" w:rsidRDefault="00000000">
            <w:pPr>
              <w:ind w:leftChars="50" w:left="105"/>
              <w:rPr>
                <w:rFonts w:ascii="仿宋" w:eastAsia="仿宋" w:hAnsi="仿宋" w:cs="宋体" w:hint="eastAsia"/>
                <w:sz w:val="24"/>
                <w:szCs w:val="24"/>
              </w:rPr>
            </w:pPr>
            <w:proofErr w:type="spellStart"/>
            <w:r>
              <w:rPr>
                <w:rFonts w:ascii="仿宋" w:eastAsia="仿宋" w:hAnsi="仿宋" w:cs="宋体" w:hint="eastAsia"/>
                <w:sz w:val="24"/>
                <w:szCs w:val="24"/>
              </w:rPr>
              <w:t>基金简称</w:t>
            </w:r>
            <w:proofErr w:type="spellEnd"/>
          </w:p>
        </w:tc>
        <w:tc>
          <w:tcPr>
            <w:tcW w:w="3284" w:type="dxa"/>
            <w:vAlign w:val="center"/>
          </w:tcPr>
          <w:p w14:paraId="501BBA46" w14:textId="7C71C68D" w:rsidR="00783AA1" w:rsidRPr="00C63264" w:rsidRDefault="00C63264">
            <w:pPr>
              <w:ind w:leftChars="50" w:left="105"/>
              <w:rPr>
                <w:rFonts w:ascii="仿宋" w:eastAsia="仿宋" w:hAnsi="仿宋" w:cs="宋体" w:hint="eastAsia"/>
                <w:sz w:val="24"/>
                <w:szCs w:val="24"/>
                <w:lang w:eastAsia="zh-CN"/>
              </w:rPr>
            </w:pPr>
            <w:r w:rsidRPr="00C63264">
              <w:rPr>
                <w:rFonts w:ascii="仿宋" w:eastAsia="仿宋" w:hAnsi="仿宋" w:cs="宋体" w:hint="eastAsia"/>
                <w:sz w:val="24"/>
                <w:szCs w:val="24"/>
                <w:lang w:eastAsia="zh-CN"/>
              </w:rPr>
              <w:t>富国中证电池主题</w:t>
            </w:r>
            <w:r w:rsidRPr="00C63264">
              <w:rPr>
                <w:rFonts w:ascii="仿宋" w:eastAsia="仿宋" w:hAnsi="仿宋" w:cs="宋体"/>
                <w:sz w:val="24"/>
                <w:szCs w:val="24"/>
                <w:lang w:eastAsia="zh-CN"/>
              </w:rPr>
              <w:t>ETF</w:t>
            </w:r>
            <w:r w:rsidRPr="00C63264">
              <w:rPr>
                <w:rFonts w:ascii="仿宋" w:eastAsia="仿宋" w:hAnsi="仿宋" w:cs="宋体" w:hint="eastAsia"/>
                <w:sz w:val="24"/>
                <w:szCs w:val="24"/>
                <w:lang w:eastAsia="zh-CN"/>
              </w:rPr>
              <w:t>联接</w:t>
            </w:r>
          </w:p>
        </w:tc>
        <w:tc>
          <w:tcPr>
            <w:tcW w:w="1096" w:type="dxa"/>
            <w:vAlign w:val="center"/>
          </w:tcPr>
          <w:p w14:paraId="5F92FBBF" w14:textId="77777777" w:rsidR="00783AA1" w:rsidRDefault="00000000">
            <w:pPr>
              <w:ind w:leftChars="50" w:left="105"/>
              <w:rPr>
                <w:rFonts w:ascii="仿宋" w:eastAsia="仿宋" w:hAnsi="仿宋" w:cs="宋体" w:hint="eastAsia"/>
                <w:sz w:val="24"/>
                <w:szCs w:val="24"/>
                <w:lang w:val="zh-CN" w:bidi="zh-CN"/>
              </w:rPr>
            </w:pPr>
            <w:proofErr w:type="spellStart"/>
            <w:r>
              <w:rPr>
                <w:rFonts w:ascii="仿宋" w:eastAsia="仿宋" w:hAnsi="仿宋" w:cs="宋体"/>
                <w:sz w:val="24"/>
                <w:szCs w:val="24"/>
                <w:lang w:val="zh-CN" w:bidi="zh-CN"/>
              </w:rPr>
              <w:t>基金类型</w:t>
            </w:r>
            <w:proofErr w:type="spellEnd"/>
          </w:p>
        </w:tc>
        <w:tc>
          <w:tcPr>
            <w:tcW w:w="2284" w:type="dxa"/>
            <w:vAlign w:val="center"/>
          </w:tcPr>
          <w:p w14:paraId="55096CE2" w14:textId="77777777" w:rsidR="00783AA1" w:rsidRDefault="00000000">
            <w:pPr>
              <w:ind w:leftChars="50" w:left="105"/>
              <w:rPr>
                <w:rFonts w:ascii="仿宋" w:eastAsia="仿宋" w:hAnsi="仿宋" w:cs="宋体" w:hint="eastAsia"/>
                <w:sz w:val="24"/>
                <w:szCs w:val="24"/>
                <w:lang w:eastAsia="zh-CN" w:bidi="zh-CN"/>
              </w:rPr>
            </w:pPr>
            <w:r>
              <w:rPr>
                <w:rFonts w:ascii="仿宋" w:eastAsia="仿宋" w:hAnsi="仿宋" w:cs="宋体" w:hint="eastAsia"/>
                <w:sz w:val="24"/>
                <w:szCs w:val="24"/>
                <w:lang w:eastAsia="zh-CN" w:bidi="zh-CN"/>
              </w:rPr>
              <w:t>被动指数型基金</w:t>
            </w:r>
          </w:p>
        </w:tc>
      </w:tr>
      <w:tr w:rsidR="00783AA1" w14:paraId="036DB0EB" w14:textId="77777777">
        <w:trPr>
          <w:trHeight w:val="467"/>
          <w:jc w:val="center"/>
        </w:trPr>
        <w:tc>
          <w:tcPr>
            <w:tcW w:w="1394" w:type="dxa"/>
            <w:vAlign w:val="center"/>
          </w:tcPr>
          <w:p w14:paraId="7147B3F0" w14:textId="77777777" w:rsidR="00783AA1" w:rsidRDefault="00000000">
            <w:pPr>
              <w:ind w:leftChars="50" w:left="105"/>
              <w:rPr>
                <w:rFonts w:ascii="仿宋" w:eastAsia="仿宋" w:hAnsi="仿宋" w:cs="宋体" w:hint="eastAsia"/>
                <w:sz w:val="24"/>
                <w:szCs w:val="24"/>
              </w:rPr>
            </w:pPr>
            <w:proofErr w:type="spellStart"/>
            <w:r>
              <w:rPr>
                <w:rFonts w:ascii="仿宋" w:eastAsia="仿宋" w:hAnsi="仿宋" w:cs="宋体" w:hint="eastAsia"/>
                <w:sz w:val="24"/>
                <w:szCs w:val="24"/>
              </w:rPr>
              <w:t>管理人简称</w:t>
            </w:r>
            <w:proofErr w:type="spellEnd"/>
          </w:p>
        </w:tc>
        <w:tc>
          <w:tcPr>
            <w:tcW w:w="3284" w:type="dxa"/>
            <w:vAlign w:val="center"/>
          </w:tcPr>
          <w:p w14:paraId="6416DA8B" w14:textId="77777777" w:rsidR="00783AA1" w:rsidRDefault="00000000">
            <w:pPr>
              <w:ind w:leftChars="50" w:left="105"/>
              <w:rPr>
                <w:rFonts w:ascii="仿宋" w:eastAsia="仿宋" w:hAnsi="仿宋" w:cs="宋体" w:hint="eastAsia"/>
                <w:sz w:val="24"/>
                <w:szCs w:val="24"/>
              </w:rPr>
            </w:pPr>
            <w:r>
              <w:rPr>
                <w:rFonts w:ascii="仿宋" w:eastAsia="仿宋" w:hAnsi="仿宋" w:cs="宋体" w:hint="eastAsia"/>
                <w:sz w:val="24"/>
                <w:szCs w:val="24"/>
                <w:lang w:eastAsia="zh-CN"/>
              </w:rPr>
              <w:t>富国</w:t>
            </w:r>
            <w:proofErr w:type="spellStart"/>
            <w:r>
              <w:rPr>
                <w:rFonts w:ascii="仿宋" w:eastAsia="仿宋" w:hAnsi="仿宋" w:cs="宋体" w:hint="eastAsia"/>
                <w:sz w:val="24"/>
                <w:szCs w:val="24"/>
              </w:rPr>
              <w:t>基金</w:t>
            </w:r>
            <w:proofErr w:type="spellEnd"/>
          </w:p>
        </w:tc>
        <w:tc>
          <w:tcPr>
            <w:tcW w:w="1096" w:type="dxa"/>
            <w:vAlign w:val="center"/>
          </w:tcPr>
          <w:p w14:paraId="078031F1" w14:textId="77777777" w:rsidR="00783AA1" w:rsidRDefault="00000000">
            <w:pPr>
              <w:ind w:leftChars="50" w:left="105"/>
              <w:rPr>
                <w:rFonts w:ascii="仿宋" w:eastAsia="仿宋" w:hAnsi="仿宋" w:cs="宋体" w:hint="eastAsia"/>
                <w:sz w:val="24"/>
                <w:szCs w:val="24"/>
                <w:lang w:val="zh-CN" w:bidi="zh-CN"/>
              </w:rPr>
            </w:pPr>
            <w:proofErr w:type="spellStart"/>
            <w:r>
              <w:rPr>
                <w:rFonts w:ascii="仿宋" w:eastAsia="仿宋" w:hAnsi="仿宋" w:cs="宋体"/>
                <w:sz w:val="24"/>
                <w:szCs w:val="24"/>
                <w:lang w:val="zh-CN" w:bidi="zh-CN"/>
              </w:rPr>
              <w:t>托管银行</w:t>
            </w:r>
            <w:r>
              <w:rPr>
                <w:rFonts w:ascii="仿宋" w:eastAsia="仿宋" w:hAnsi="仿宋" w:cs="宋体" w:hint="eastAsia"/>
                <w:sz w:val="24"/>
                <w:szCs w:val="24"/>
                <w:lang w:val="zh-CN" w:bidi="zh-CN"/>
              </w:rPr>
              <w:t>简称</w:t>
            </w:r>
            <w:proofErr w:type="spellEnd"/>
          </w:p>
        </w:tc>
        <w:tc>
          <w:tcPr>
            <w:tcW w:w="2284" w:type="dxa"/>
            <w:vAlign w:val="center"/>
          </w:tcPr>
          <w:p w14:paraId="704E9D65" w14:textId="41383379" w:rsidR="00783AA1" w:rsidRDefault="00C63264">
            <w:pPr>
              <w:ind w:leftChars="50" w:left="105"/>
              <w:rPr>
                <w:rFonts w:ascii="仿宋" w:eastAsia="仿宋" w:hAnsi="仿宋" w:cs="宋体" w:hint="eastAsia"/>
                <w:sz w:val="24"/>
                <w:szCs w:val="24"/>
                <w:lang w:val="zh-CN" w:eastAsia="zh-CN" w:bidi="zh-CN"/>
              </w:rPr>
            </w:pPr>
            <w:r w:rsidRPr="00C63264">
              <w:rPr>
                <w:rFonts w:ascii="仿宋" w:eastAsia="仿宋" w:hAnsi="仿宋" w:cs="宋体" w:hint="eastAsia"/>
                <w:sz w:val="24"/>
                <w:szCs w:val="24"/>
                <w:lang w:eastAsia="zh-CN"/>
              </w:rPr>
              <w:t>中国农业银行</w:t>
            </w:r>
          </w:p>
        </w:tc>
      </w:tr>
      <w:tr w:rsidR="00783AA1" w14:paraId="61986D8F" w14:textId="77777777">
        <w:trPr>
          <w:trHeight w:val="680"/>
          <w:jc w:val="center"/>
        </w:trPr>
        <w:tc>
          <w:tcPr>
            <w:tcW w:w="1394" w:type="dxa"/>
            <w:vAlign w:val="center"/>
          </w:tcPr>
          <w:p w14:paraId="2C2FC627" w14:textId="77777777" w:rsidR="00783AA1" w:rsidRDefault="00000000">
            <w:pPr>
              <w:ind w:leftChars="50" w:left="105"/>
              <w:rPr>
                <w:rFonts w:ascii="仿宋" w:eastAsia="仿宋" w:hAnsi="仿宋" w:cs="宋体" w:hint="eastAsia"/>
                <w:sz w:val="24"/>
                <w:szCs w:val="24"/>
              </w:rPr>
            </w:pPr>
            <w:proofErr w:type="spellStart"/>
            <w:r>
              <w:rPr>
                <w:rFonts w:ascii="仿宋" w:eastAsia="仿宋" w:hAnsi="仿宋" w:cs="宋体" w:hint="eastAsia"/>
                <w:sz w:val="24"/>
                <w:szCs w:val="24"/>
              </w:rPr>
              <w:t>基金募集期</w:t>
            </w:r>
            <w:proofErr w:type="spellEnd"/>
          </w:p>
        </w:tc>
        <w:tc>
          <w:tcPr>
            <w:tcW w:w="6664" w:type="dxa"/>
            <w:gridSpan w:val="3"/>
            <w:vAlign w:val="center"/>
          </w:tcPr>
          <w:p w14:paraId="1BD67786" w14:textId="2FB63E4D" w:rsidR="00783AA1" w:rsidRDefault="00000000">
            <w:pPr>
              <w:ind w:leftChars="50" w:left="105"/>
              <w:rPr>
                <w:rFonts w:ascii="仿宋" w:eastAsia="仿宋" w:hAnsi="仿宋" w:cs="宋体" w:hint="eastAsia"/>
                <w:sz w:val="24"/>
                <w:szCs w:val="24"/>
                <w:lang w:eastAsia="zh-CN"/>
              </w:rPr>
            </w:pPr>
            <w:r>
              <w:rPr>
                <w:rFonts w:ascii="仿宋" w:eastAsia="仿宋" w:hAnsi="仿宋" w:cs="宋体" w:hint="eastAsia"/>
                <w:sz w:val="24"/>
                <w:szCs w:val="24"/>
                <w:lang w:eastAsia="zh-CN"/>
              </w:rPr>
              <w:t>持营基金，产品成立于</w:t>
            </w:r>
            <w:r>
              <w:rPr>
                <w:rFonts w:ascii="仿宋" w:eastAsia="仿宋" w:hAnsi="仿宋" w:cs="宋体"/>
                <w:sz w:val="24"/>
                <w:szCs w:val="24"/>
                <w:lang w:eastAsia="zh-CN"/>
              </w:rPr>
              <w:t>20</w:t>
            </w:r>
            <w:r w:rsidR="00283185">
              <w:rPr>
                <w:rFonts w:ascii="仿宋" w:eastAsia="仿宋" w:hAnsi="仿宋" w:cs="宋体" w:hint="eastAsia"/>
                <w:sz w:val="24"/>
                <w:szCs w:val="24"/>
                <w:lang w:eastAsia="zh-CN"/>
              </w:rPr>
              <w:t>22</w:t>
            </w:r>
            <w:r>
              <w:rPr>
                <w:rFonts w:ascii="仿宋" w:eastAsia="仿宋" w:hAnsi="仿宋" w:cs="宋体" w:hint="eastAsia"/>
                <w:sz w:val="24"/>
                <w:szCs w:val="24"/>
                <w:lang w:eastAsia="zh-CN"/>
              </w:rPr>
              <w:t>年</w:t>
            </w:r>
            <w:r w:rsidR="00283185">
              <w:rPr>
                <w:rFonts w:ascii="仿宋" w:eastAsia="仿宋" w:hAnsi="仿宋" w:cs="宋体" w:hint="eastAsia"/>
                <w:sz w:val="24"/>
                <w:szCs w:val="24"/>
                <w:lang w:eastAsia="zh-CN"/>
              </w:rPr>
              <w:t>11</w:t>
            </w:r>
            <w:r>
              <w:rPr>
                <w:rFonts w:ascii="仿宋" w:eastAsia="仿宋" w:hAnsi="仿宋" w:cs="宋体" w:hint="eastAsia"/>
                <w:sz w:val="24"/>
                <w:szCs w:val="24"/>
                <w:lang w:eastAsia="zh-CN"/>
              </w:rPr>
              <w:t>月</w:t>
            </w:r>
            <w:r>
              <w:rPr>
                <w:rFonts w:ascii="仿宋" w:eastAsia="仿宋" w:hAnsi="仿宋" w:cs="宋体"/>
                <w:sz w:val="24"/>
                <w:szCs w:val="24"/>
                <w:lang w:eastAsia="zh-CN"/>
              </w:rPr>
              <w:t>2</w:t>
            </w:r>
            <w:r w:rsidR="00283185">
              <w:rPr>
                <w:rFonts w:ascii="仿宋" w:eastAsia="仿宋" w:hAnsi="仿宋" w:cs="宋体" w:hint="eastAsia"/>
                <w:sz w:val="24"/>
                <w:szCs w:val="24"/>
                <w:lang w:eastAsia="zh-CN"/>
              </w:rPr>
              <w:t>9</w:t>
            </w:r>
            <w:r>
              <w:rPr>
                <w:rFonts w:ascii="仿宋" w:eastAsia="仿宋" w:hAnsi="仿宋" w:cs="宋体" w:hint="eastAsia"/>
                <w:sz w:val="24"/>
                <w:szCs w:val="24"/>
                <w:lang w:eastAsia="zh-CN"/>
              </w:rPr>
              <w:t>日</w:t>
            </w:r>
          </w:p>
        </w:tc>
      </w:tr>
    </w:tbl>
    <w:p w14:paraId="211180F1" w14:textId="77777777" w:rsidR="00783AA1" w:rsidRDefault="00783AA1">
      <w:pPr>
        <w:spacing w:line="21" w:lineRule="auto"/>
        <w:rPr>
          <w:sz w:val="2"/>
          <w:lang w:eastAsia="zh-CN"/>
        </w:rPr>
      </w:pPr>
    </w:p>
    <w:p w14:paraId="16392F19" w14:textId="77777777" w:rsidR="00783AA1" w:rsidRDefault="00000000">
      <w:pPr>
        <w:rPr>
          <w:lang w:eastAsia="zh-CN"/>
        </w:rPr>
      </w:pPr>
      <w:r>
        <w:rPr>
          <w:rFonts w:eastAsiaTheme="minorEastAsia"/>
          <w:lang w:eastAsia="zh-CN"/>
        </w:rPr>
        <w:tab/>
      </w:r>
      <w:r>
        <w:rPr>
          <w:rFonts w:hint="eastAsia"/>
          <w:lang w:eastAsia="zh-CN"/>
        </w:rPr>
        <w:t>（</w:t>
      </w:r>
      <w:r>
        <w:rPr>
          <w:lang w:eastAsia="zh-CN"/>
        </w:rPr>
        <w:t>注：后续该产品若新增份额</w:t>
      </w:r>
      <w:r>
        <w:rPr>
          <w:rFonts w:hint="eastAsia"/>
          <w:lang w:eastAsia="zh-CN"/>
        </w:rPr>
        <w:t>亦适用本评估报告）</w:t>
      </w:r>
    </w:p>
    <w:p w14:paraId="556C4790" w14:textId="77777777" w:rsidR="00783AA1" w:rsidRDefault="00000000">
      <w:pPr>
        <w:adjustRightInd/>
        <w:snapToGrid/>
        <w:spacing w:line="360" w:lineRule="auto"/>
        <w:ind w:firstLineChars="200" w:firstLine="592"/>
        <w:rPr>
          <w:rFonts w:ascii="宋体" w:eastAsia="宋体" w:hAnsi="宋体" w:cs="宋体" w:hint="eastAsia"/>
          <w:sz w:val="24"/>
          <w:szCs w:val="24"/>
          <w:highlight w:val="yellow"/>
          <w:lang w:eastAsia="zh-CN" w:bidi="zh-CN"/>
        </w:rPr>
      </w:pPr>
      <w:r>
        <w:rPr>
          <w:rFonts w:ascii="黑体" w:eastAsia="黑体" w:hAnsi="黑体" w:cs="黑体"/>
          <w:spacing w:val="-2"/>
          <w:sz w:val="30"/>
          <w:szCs w:val="30"/>
          <w:lang w:eastAsia="zh-CN"/>
        </w:rPr>
        <w:t>二、</w:t>
      </w:r>
      <w:r>
        <w:rPr>
          <w:rFonts w:ascii="黑体" w:eastAsia="黑体" w:hAnsi="黑体" w:cs="黑体"/>
          <w:spacing w:val="-2"/>
          <w:sz w:val="30"/>
          <w:szCs w:val="30"/>
          <w:lang w:eastAsia="zh-CN" w:bidi="zh-CN"/>
        </w:rPr>
        <w:t>产品投资</w:t>
      </w:r>
    </w:p>
    <w:p w14:paraId="6228E66F"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1、投资目标、投资范围及投资组合比例</w:t>
      </w:r>
    </w:p>
    <w:p w14:paraId="26803E50" w14:textId="05C7307E"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投资目标：</w:t>
      </w:r>
      <w:r w:rsidR="00283185" w:rsidRPr="00283185">
        <w:rPr>
          <w:rFonts w:ascii="宋体" w:eastAsia="宋体" w:hAnsi="宋体" w:cs="宋体"/>
          <w:sz w:val="24"/>
          <w:szCs w:val="24"/>
          <w:lang w:eastAsia="zh-CN" w:bidi="zh-CN"/>
        </w:rPr>
        <w:t>本基金通过投资于目标ETF，紧密跟踪标的指数，追求与业绩比较基准相似的回报。</w:t>
      </w:r>
    </w:p>
    <w:p w14:paraId="1E8D6666" w14:textId="77777777" w:rsidR="00283185" w:rsidRDefault="00000000" w:rsidP="00283185">
      <w:pPr>
        <w:adjustRightInd/>
        <w:snapToGrid/>
        <w:spacing w:line="360" w:lineRule="auto"/>
        <w:ind w:firstLineChars="200" w:firstLine="480"/>
        <w:rPr>
          <w:rFonts w:ascii="宋体" w:eastAsia="宋体" w:hAnsi="宋体" w:cs="宋体"/>
          <w:sz w:val="24"/>
          <w:szCs w:val="24"/>
          <w:lang w:eastAsia="zh-CN" w:bidi="zh-CN"/>
        </w:rPr>
      </w:pPr>
      <w:r>
        <w:rPr>
          <w:rFonts w:ascii="宋体" w:eastAsia="宋体" w:hAnsi="宋体" w:cs="宋体" w:hint="eastAsia"/>
          <w:sz w:val="24"/>
          <w:szCs w:val="24"/>
          <w:lang w:eastAsia="zh-CN" w:bidi="zh-CN"/>
        </w:rPr>
        <w:t>投资范围：</w:t>
      </w:r>
      <w:r w:rsidR="00283185" w:rsidRPr="00283185">
        <w:rPr>
          <w:rFonts w:ascii="宋体" w:eastAsia="宋体" w:hAnsi="宋体" w:cs="宋体"/>
          <w:sz w:val="24"/>
          <w:szCs w:val="24"/>
          <w:lang w:eastAsia="zh-CN" w:bidi="zh-CN"/>
        </w:rPr>
        <w:t xml:space="preserve">本基金的投资范围主要为目标ETF基金份额、标的指数成份股及备选成份股（均含存托凭证）。为更好地实现投资目标，本基金可少量投资于部分非成份股（包含主板、科创板、创业板及其他经中国证监会允许发行的股票）、存托凭证、债券（包含国债、央行票据、地方政府债券、政府支持机构债券、政府支持债券、金融债券、企业债券、公司债券、次级债券、可转换债券、可交换债券、可分离交易可转债、短期融资券（含超短期融资券）、中期票据等）、资产支持证券、债券回购、银行存款、同业存单、衍生工具（股指期货、国债期货、股票期权等）、货币市场工具以及中国证监会允许基金投资的其他金融工具（但须符合中国证监会相关规定）。 本基金可根据法律法规的规定参与融资及转融通证券出借业务。 如法律法规或监管机构以后允许基金投资其他品种，基金管理人在履行适当程序后，可以将其纳入投资范围。 </w:t>
      </w:r>
    </w:p>
    <w:p w14:paraId="05976F53" w14:textId="4B7D3CAC" w:rsidR="00783AA1" w:rsidRDefault="00283185" w:rsidP="00283185">
      <w:pPr>
        <w:adjustRightInd/>
        <w:snapToGrid/>
        <w:spacing w:line="360" w:lineRule="auto"/>
        <w:ind w:firstLineChars="200" w:firstLine="480"/>
        <w:rPr>
          <w:rFonts w:ascii="宋体" w:eastAsia="宋体" w:hAnsi="宋体" w:cs="宋体" w:hint="eastAsia"/>
          <w:sz w:val="24"/>
          <w:szCs w:val="24"/>
          <w:lang w:eastAsia="zh-CN" w:bidi="zh-CN"/>
        </w:rPr>
      </w:pPr>
      <w:r w:rsidRPr="00283185">
        <w:rPr>
          <w:rFonts w:ascii="宋体" w:eastAsia="宋体" w:hAnsi="宋体" w:cs="宋体"/>
          <w:sz w:val="24"/>
          <w:szCs w:val="24"/>
          <w:lang w:eastAsia="zh-CN" w:bidi="zh-CN"/>
        </w:rPr>
        <w:t>基金的投资组合比例为：本基金投资于目标ETF的比例不得低于基金资产净值的90%，因法律法规的规定而受限制的情形除外。每个交易日日终，在扣除股</w:t>
      </w:r>
      <w:r w:rsidRPr="00283185">
        <w:rPr>
          <w:rFonts w:ascii="宋体" w:eastAsia="宋体" w:hAnsi="宋体" w:cs="宋体"/>
          <w:sz w:val="24"/>
          <w:szCs w:val="24"/>
          <w:lang w:eastAsia="zh-CN" w:bidi="zh-CN"/>
        </w:rPr>
        <w:lastRenderedPageBreak/>
        <w:t>指期货合约、国债期货合约和股票期权合约需缴纳的交易保证金后，现金或者到期日在一年以内的政府债券不低于基金资产净值的5%，其中现金不包括结算备付金、存出保证金、应收申购款等。 如法律法规对该比例要求有变更的，在履行适当程序后，以变更后的比例为准，本基金的投资比例会做相应调整</w:t>
      </w:r>
      <w:r w:rsidR="00000000">
        <w:rPr>
          <w:rFonts w:ascii="宋体" w:eastAsia="宋体" w:hAnsi="宋体" w:cs="宋体" w:hint="eastAsia"/>
          <w:sz w:val="24"/>
          <w:szCs w:val="24"/>
          <w:lang w:eastAsia="zh-CN" w:bidi="zh-CN"/>
        </w:rPr>
        <w:t>。</w:t>
      </w:r>
    </w:p>
    <w:p w14:paraId="1F2677D3" w14:textId="77777777" w:rsidR="00783AA1" w:rsidRDefault="00000000">
      <w:pPr>
        <w:numPr>
          <w:ilvl w:val="0"/>
          <w:numId w:val="2"/>
        </w:num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投资策略</w:t>
      </w:r>
    </w:p>
    <w:p w14:paraId="1257D03A" w14:textId="77777777"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以目标ETF为主要投资标的，方便投资者通过本基金投资目标ETF。本基金并不参与目标ETF的管理。在正常市场情况下，本基金力争净值增长率与业绩比较基准之间的日均跟踪偏离度的绝对值不超过0.35%，年跟踪误差不超过4%。如因标的指数编制规则调整或其他因素导致跟踪偏离度和跟踪误差超过正常范围的，基金管理人将采取合理措施避免跟踪误差进一步扩大。当标的指数成份股发生明显负面事件面临退市风险，且指数编制机构暂未作出调整的，基金管理人应当按照持有人利益优先的原则，履行内部决策程序后及时对相关成份股进行调整。</w:t>
      </w:r>
    </w:p>
    <w:p w14:paraId="0D8E8A83" w14:textId="7101EEF9"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（1）</w:t>
      </w:r>
      <w:r w:rsidRPr="00283185">
        <w:rPr>
          <w:rFonts w:ascii="宋体" w:eastAsia="宋体" w:hAnsi="宋体" w:cs="宋体"/>
          <w:sz w:val="24"/>
          <w:szCs w:val="24"/>
          <w:lang w:eastAsia="zh-CN" w:bidi="zh-CN"/>
        </w:rPr>
        <w:t>资产配置策略</w:t>
      </w:r>
    </w:p>
    <w:p w14:paraId="4CE4B02F" w14:textId="4DDC0A93"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为实现紧密跟踪标的指数的投资目标，本基金将以不低于基金资产净值90%的资产投资于目标ETF。为更好地实现投资目标，本基金可少量投资于非成份股、存托凭证、债券、资产支持证券、债券回购、银行存款、货币市场工具、衍生工具以及经中国证监会允许基金投资的其他金融工具，但需符合中国证监会的相关规定。</w:t>
      </w:r>
    </w:p>
    <w:p w14:paraId="68C5FD70" w14:textId="0BBADD39"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2</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目标ETF投资策略</w:t>
      </w:r>
    </w:p>
    <w:p w14:paraId="0F0FE634" w14:textId="65B2FE8E"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本基金投资目标ETF的方式如下：</w:t>
      </w:r>
      <w:r>
        <w:rPr>
          <w:rFonts w:ascii="宋体" w:eastAsia="宋体" w:hAnsi="宋体" w:cs="宋体" w:hint="eastAsia"/>
          <w:sz w:val="24"/>
          <w:szCs w:val="24"/>
          <w:lang w:eastAsia="zh-CN" w:bidi="zh-CN"/>
        </w:rPr>
        <w:t>①</w:t>
      </w:r>
      <w:r w:rsidRPr="00283185">
        <w:rPr>
          <w:rFonts w:ascii="宋体" w:eastAsia="宋体" w:hAnsi="宋体" w:cs="宋体"/>
          <w:sz w:val="24"/>
          <w:szCs w:val="24"/>
          <w:lang w:eastAsia="zh-CN" w:bidi="zh-CN"/>
        </w:rPr>
        <w:t>申购和赎回：目标ETF开放申购赎回后，以股票组合进行申购赎回或者按照目标ETF法律文件的约定以其他方式申赎目标ETF。</w:t>
      </w:r>
      <w:r>
        <w:rPr>
          <w:rFonts w:ascii="宋体" w:eastAsia="宋体" w:hAnsi="宋体" w:cs="宋体" w:hint="eastAsia"/>
          <w:sz w:val="24"/>
          <w:szCs w:val="24"/>
          <w:lang w:eastAsia="zh-CN" w:bidi="zh-CN"/>
        </w:rPr>
        <w:t>②</w:t>
      </w:r>
      <w:r w:rsidRPr="00283185">
        <w:rPr>
          <w:rFonts w:ascii="宋体" w:eastAsia="宋体" w:hAnsi="宋体" w:cs="宋体"/>
          <w:sz w:val="24"/>
          <w:szCs w:val="24"/>
          <w:lang w:eastAsia="zh-CN" w:bidi="zh-CN"/>
        </w:rPr>
        <w:t>二级市场方式：目标ETF上市交易后，在二级市场进行目标ETF基金份额的交易。当目标ETF申购、赎回或交易模式进行了变更或调整，本基金也将作相应的变更或调整，无须召开基金份额持有人大会。</w:t>
      </w:r>
    </w:p>
    <w:p w14:paraId="2608E9A4" w14:textId="51891CAC"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（3）</w:t>
      </w:r>
      <w:r w:rsidRPr="00283185">
        <w:rPr>
          <w:rFonts w:ascii="宋体" w:eastAsia="宋体" w:hAnsi="宋体" w:cs="宋体"/>
          <w:sz w:val="24"/>
          <w:szCs w:val="24"/>
          <w:lang w:eastAsia="zh-CN" w:bidi="zh-CN"/>
        </w:rPr>
        <w:t>成份股、备选成份股(均含存托凭证)投资策略</w:t>
      </w:r>
    </w:p>
    <w:p w14:paraId="299E67B4" w14:textId="6FFF08FE"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对成份股、备选成份股(均含存托凭证)的投资目的是为准备构建股票组合以申购目标ETF。因此对可投资于成份股、备选成份股(均含存托凭证)的资金头寸，主要采取复制法，即按照标的指数的成份股组成及其权重构建基金</w:t>
      </w:r>
      <w:r w:rsidRPr="00283185">
        <w:rPr>
          <w:rFonts w:ascii="宋体" w:eastAsia="宋体" w:hAnsi="宋体" w:cs="宋体"/>
          <w:sz w:val="24"/>
          <w:szCs w:val="24"/>
          <w:lang w:eastAsia="zh-CN" w:bidi="zh-CN"/>
        </w:rPr>
        <w:lastRenderedPageBreak/>
        <w:t>股票投资组合，并根据标的指数成份股及其权重的变动而进行相应调整。但在因特殊情况(如流动性不足等)导致无法获得足够数量的股票时，基金管理人将搭配使用其他合理方法进行适当的替代。</w:t>
      </w:r>
    </w:p>
    <w:p w14:paraId="559A8509" w14:textId="669171D5"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4</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存托凭证投资策略</w:t>
      </w:r>
    </w:p>
    <w:p w14:paraId="30A59967" w14:textId="3CFD1EFC"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本基金在综合考虑预期收益、风险、流动性等因素的基础上，根据审慎原则合理参与存托凭证的投资，以更好地跟踪标的指数，追求跟踪偏离度和跟踪误差的最小化。</w:t>
      </w:r>
    </w:p>
    <w:p w14:paraId="3FC91732" w14:textId="630939CB"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5</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债券投资策略</w:t>
      </w:r>
    </w:p>
    <w:p w14:paraId="6B162114" w14:textId="5BFACE4C"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管理人将基于对国内外宏观经济形势的深入分析、国内财政政策与货币市场政策等因素对债券市场的影响，进行合理的利率预期，判断债券市场的基本走势，制定久期控制下的资产类属配置策略。在债券投资组合构建和管理过程中，本基金管理人将具体采用期限结构配置、市场转换、信用利差和相对价值判断、信用风险评估、现金管理等管理手段进行个券选择。本基金债券投资的目的是在保证基金资产流动性的基础上，降低跟踪误差。</w:t>
      </w:r>
    </w:p>
    <w:p w14:paraId="54835305" w14:textId="115C629A"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（6）</w:t>
      </w:r>
      <w:r w:rsidRPr="00283185">
        <w:rPr>
          <w:rFonts w:ascii="宋体" w:eastAsia="宋体" w:hAnsi="宋体" w:cs="宋体"/>
          <w:sz w:val="24"/>
          <w:szCs w:val="24"/>
          <w:lang w:eastAsia="zh-CN" w:bidi="zh-CN"/>
        </w:rPr>
        <w:t>可转换债券(含分离交易可转债)及可交换债券投资策略</w:t>
      </w:r>
    </w:p>
    <w:p w14:paraId="7E14A689" w14:textId="4AFFDB0D"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对于可转换债券的投资，本基金将在评估其偿债能力的同时兼顾公司的成长性，以期通过转换条款分享因股价上升带来的高收益；本基金将重点关注可转换债券的转换价值、市场价值与其转换价值的比较、转换期限、公司经营业绩、公司当前股票价格、相关的赎回条件、回售条件等。可交换债券是一种风险收益特性与可转换债券相类似的债券品种。两者相同点在于都可以以特定价格转换成公司的股票。两者均一方面有票息、期限、到期还本付息等债性的特征，另一方面有与转股标的相关联的股性特征，且都带有一定的回售和赎回条款。区别在于同一转股标的的可交换债券和可转换债券的发行主体是不同的。可交换债券的转股标的是发行人所持有的其他公司股票，而可转换债券的转股标的为发行人自身股票。因此，在条款博弈、债性分析属性等方面，两者还存在着差异。本基金将通过对目标公司股票的投资价值分析和可交换债券的纯债部分价值分析综合开展投资决策。</w:t>
      </w:r>
    </w:p>
    <w:p w14:paraId="07D81BA7" w14:textId="70086CA9"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7</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资产支持证券投资策略</w:t>
      </w:r>
    </w:p>
    <w:p w14:paraId="77963924" w14:textId="7945DA64"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lastRenderedPageBreak/>
        <w:t>本基金将在宏观经济和基本面分析的基础上，对资产支持证券标的资产的质量和构成、利率风险、信用风险、流动性风险和提前偿付风险等进行分析，评估其相对投资价值并作出相应的投资决策。</w:t>
      </w:r>
    </w:p>
    <w:p w14:paraId="7C1D3852" w14:textId="17F69248"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8</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股指期货投资策略</w:t>
      </w:r>
    </w:p>
    <w:p w14:paraId="37D902FC" w14:textId="591B01B4"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本基金投资股指期货将根据风险管理的原则，以套期保值为目的，主要选择流动性好、交易活跃的股指期货合约，以降低交易成本，提高投资效率，从而更好地跟踪标的指数。</w:t>
      </w:r>
    </w:p>
    <w:p w14:paraId="0DB1E241" w14:textId="583AFFCB"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9</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国债期货投资策略</w:t>
      </w:r>
    </w:p>
    <w:p w14:paraId="11ABD2CA" w14:textId="1B54579D"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投资国债期货将根据风险管理的原则，以套期保值为目的，结合对宏观经济形势和政策趋势的判断、对债券市场定性和定量的分析，对国债期货和现货基差、国债期货的流动性、波动水平等指标进行跟踪监控，主要选择流动性好、交易活跃的国债期货合约，以降低交易成本，提高投资效率，从而更好地跟踪标的指数。</w:t>
      </w:r>
    </w:p>
    <w:p w14:paraId="4146F235" w14:textId="6F4BC932"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10</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股票期权投资策略</w:t>
      </w:r>
    </w:p>
    <w:p w14:paraId="016526E2" w14:textId="07C23A65" w:rsidR="00283185" w:rsidRDefault="00283185" w:rsidP="00283185">
      <w:pPr>
        <w:adjustRightInd/>
        <w:snapToGrid/>
        <w:spacing w:line="360" w:lineRule="auto"/>
        <w:ind w:firstLine="420"/>
        <w:rPr>
          <w:rFonts w:ascii="宋体" w:eastAsia="宋体" w:hAnsi="宋体" w:cs="宋体"/>
          <w:sz w:val="24"/>
          <w:szCs w:val="24"/>
          <w:lang w:eastAsia="zh-CN" w:bidi="zh-CN"/>
        </w:rPr>
      </w:pPr>
      <w:r w:rsidRPr="00283185">
        <w:rPr>
          <w:rFonts w:ascii="宋体" w:eastAsia="宋体" w:hAnsi="宋体" w:cs="宋体"/>
          <w:sz w:val="24"/>
          <w:szCs w:val="24"/>
          <w:lang w:eastAsia="zh-CN" w:bidi="zh-CN"/>
        </w:rPr>
        <w:t>本基金投资股票期权将根据风险管理的原则，以套期保值为目的，主要选择流动性好、交易活跃的股票期权合约，以降低交易成本，提高投资效率，从而更好地跟踪标的指数。</w:t>
      </w:r>
    </w:p>
    <w:p w14:paraId="03012E78" w14:textId="7E91753B" w:rsidR="00283185" w:rsidRDefault="00283185" w:rsidP="00283185">
      <w:pPr>
        <w:adjustRightInd/>
        <w:snapToGrid/>
        <w:spacing w:line="360" w:lineRule="auto"/>
        <w:ind w:firstLine="420"/>
        <w:rPr>
          <w:rFonts w:ascii="宋体" w:eastAsia="宋体" w:hAnsi="宋体" w:cs="宋体"/>
          <w:sz w:val="24"/>
          <w:szCs w:val="24"/>
          <w:lang w:eastAsia="zh-CN" w:bidi="zh-CN"/>
        </w:rPr>
      </w:pP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11</w:t>
      </w:r>
      <w:r>
        <w:rPr>
          <w:rFonts w:ascii="宋体" w:eastAsia="宋体" w:hAnsi="宋体" w:cs="宋体" w:hint="eastAsia"/>
          <w:sz w:val="24"/>
          <w:szCs w:val="24"/>
          <w:lang w:eastAsia="zh-CN" w:bidi="zh-CN"/>
        </w:rPr>
        <w:t>）</w:t>
      </w:r>
      <w:r w:rsidRPr="00283185">
        <w:rPr>
          <w:rFonts w:ascii="宋体" w:eastAsia="宋体" w:hAnsi="宋体" w:cs="宋体"/>
          <w:sz w:val="24"/>
          <w:szCs w:val="24"/>
          <w:lang w:eastAsia="zh-CN" w:bidi="zh-CN"/>
        </w:rPr>
        <w:t>参与融资及转融通证券出借业务策略</w:t>
      </w:r>
    </w:p>
    <w:p w14:paraId="74C5E41B" w14:textId="2091589C" w:rsidR="00783AA1" w:rsidRDefault="00283185" w:rsidP="00283185">
      <w:pPr>
        <w:adjustRightInd/>
        <w:snapToGrid/>
        <w:spacing w:line="360" w:lineRule="auto"/>
        <w:ind w:firstLine="420"/>
        <w:rPr>
          <w:sz w:val="24"/>
          <w:szCs w:val="24"/>
          <w:lang w:eastAsia="zh-CN" w:bidi="zh-CN"/>
        </w:rPr>
      </w:pPr>
      <w:r w:rsidRPr="00283185">
        <w:rPr>
          <w:rFonts w:ascii="宋体" w:eastAsia="宋体" w:hAnsi="宋体" w:cs="宋体"/>
          <w:sz w:val="24"/>
          <w:szCs w:val="24"/>
          <w:lang w:eastAsia="zh-CN" w:bidi="zh-CN"/>
        </w:rPr>
        <w:t>本基金可在综合考虑预期收益、风险、流动性等因素基础上，参与融资业务。为更好地实现投资目标，在加强风险防范并遵守审慎经营原则的前提下，本基金可根据投资管理的需要参与转融通证券出借业务。本基金将在分析市场环境、投资者类型与结构、基金历史申赎情况、出借证券流动性情况等因素的基础上，合理确定出借证券的范围、期限和比例。未来，随着证券市场投资工具的发展和丰富，在履行适当程序后，本基金可相应调整和更新相关投资策略，并在招募说明书更新中公告</w:t>
      </w:r>
      <w:r w:rsidR="00000000">
        <w:rPr>
          <w:rFonts w:hint="eastAsia"/>
          <w:sz w:val="24"/>
          <w:szCs w:val="24"/>
          <w:lang w:eastAsia="zh-CN" w:bidi="zh-CN"/>
        </w:rPr>
        <w:t>。</w:t>
      </w:r>
    </w:p>
    <w:p w14:paraId="6F55FB3C"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3</w:t>
      </w:r>
      <w:r>
        <w:rPr>
          <w:rFonts w:ascii="宋体" w:eastAsia="宋体" w:hAnsi="宋体" w:cs="宋体"/>
          <w:sz w:val="24"/>
          <w:szCs w:val="24"/>
          <w:lang w:eastAsia="zh-CN" w:bidi="zh-CN"/>
        </w:rPr>
        <w:t>、</w:t>
      </w:r>
      <w:r>
        <w:rPr>
          <w:rFonts w:ascii="宋体" w:eastAsia="宋体" w:hAnsi="宋体" w:cs="宋体" w:hint="eastAsia"/>
          <w:sz w:val="24"/>
          <w:szCs w:val="24"/>
          <w:lang w:eastAsia="zh-CN" w:bidi="zh-CN"/>
        </w:rPr>
        <w:t>业绩比较基准</w:t>
      </w:r>
    </w:p>
    <w:p w14:paraId="6CD5E66C" w14:textId="77777777" w:rsidR="009E049B" w:rsidRDefault="009E049B">
      <w:pPr>
        <w:adjustRightInd/>
        <w:snapToGrid/>
        <w:spacing w:line="360" w:lineRule="auto"/>
        <w:ind w:firstLineChars="200" w:firstLine="480"/>
        <w:rPr>
          <w:rFonts w:ascii="宋体" w:eastAsia="宋体" w:hAnsi="宋体" w:cs="宋体"/>
          <w:sz w:val="24"/>
          <w:szCs w:val="24"/>
          <w:lang w:eastAsia="zh-CN" w:bidi="zh-CN"/>
        </w:rPr>
      </w:pPr>
      <w:r w:rsidRPr="009E049B">
        <w:rPr>
          <w:rFonts w:ascii="宋体" w:eastAsia="宋体" w:hAnsi="宋体" w:cs="宋体"/>
          <w:sz w:val="24"/>
          <w:szCs w:val="24"/>
          <w:lang w:eastAsia="zh-CN" w:bidi="zh-CN"/>
        </w:rPr>
        <w:t>中证电池主题指数收益率*95%+银行活期存款利率(税后)*5%</w:t>
      </w:r>
    </w:p>
    <w:p w14:paraId="09DFBA4D" w14:textId="24F1D71B"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4</w:t>
      </w:r>
      <w:r>
        <w:rPr>
          <w:rFonts w:ascii="宋体" w:eastAsia="宋体" w:hAnsi="宋体" w:cs="宋体"/>
          <w:sz w:val="24"/>
          <w:szCs w:val="24"/>
          <w:lang w:eastAsia="zh-CN" w:bidi="zh-CN"/>
        </w:rPr>
        <w:t>、</w:t>
      </w:r>
      <w:r>
        <w:rPr>
          <w:rFonts w:ascii="宋体" w:eastAsia="宋体" w:hAnsi="宋体" w:cs="宋体" w:hint="eastAsia"/>
          <w:sz w:val="24"/>
          <w:szCs w:val="24"/>
          <w:lang w:eastAsia="zh-CN" w:bidi="zh-CN"/>
        </w:rPr>
        <w:t>风险收益特征</w:t>
      </w:r>
    </w:p>
    <w:p w14:paraId="1B651D15" w14:textId="6E5F7AEE" w:rsidR="00783AA1" w:rsidRDefault="009E049B">
      <w:pPr>
        <w:adjustRightInd/>
        <w:snapToGrid/>
        <w:spacing w:line="360" w:lineRule="auto"/>
        <w:ind w:firstLine="420"/>
        <w:rPr>
          <w:rFonts w:ascii="宋体" w:eastAsia="宋体" w:hAnsi="宋体" w:cs="宋体" w:hint="eastAsia"/>
          <w:sz w:val="24"/>
          <w:szCs w:val="24"/>
          <w:lang w:eastAsia="zh-CN" w:bidi="zh-CN"/>
        </w:rPr>
      </w:pPr>
      <w:r w:rsidRPr="009E049B">
        <w:rPr>
          <w:rFonts w:ascii="宋体" w:eastAsia="宋体" w:hAnsi="宋体" w:cs="宋体"/>
          <w:sz w:val="24"/>
          <w:szCs w:val="24"/>
          <w:lang w:eastAsia="zh-CN" w:bidi="zh-CN"/>
        </w:rPr>
        <w:lastRenderedPageBreak/>
        <w:t>本基金为ETF联接基金，预期风险与预期收益高于混合型基金、债券型基金与货币市场基金。本基金为指数基金，具有与标的指数、以及标的指数所代表的股票市场相似的风险收益特征</w:t>
      </w:r>
      <w:r w:rsidR="00000000">
        <w:rPr>
          <w:rFonts w:ascii="宋体" w:eastAsia="宋体" w:hAnsi="宋体" w:cs="宋体" w:hint="eastAsia"/>
          <w:sz w:val="24"/>
          <w:szCs w:val="24"/>
          <w:lang w:eastAsia="zh-CN" w:bidi="zh-CN"/>
        </w:rPr>
        <w:t>。</w:t>
      </w:r>
    </w:p>
    <w:p w14:paraId="49A5B27A" w14:textId="77777777" w:rsidR="00783AA1" w:rsidRDefault="00000000">
      <w:pPr>
        <w:adjustRightInd/>
        <w:snapToGrid/>
        <w:spacing w:line="360" w:lineRule="auto"/>
        <w:rPr>
          <w:rFonts w:ascii="黑体" w:eastAsia="黑体" w:hAnsi="黑体" w:cs="黑体" w:hint="eastAsia"/>
          <w:spacing w:val="-2"/>
          <w:sz w:val="30"/>
          <w:szCs w:val="30"/>
          <w:lang w:eastAsia="zh-CN" w:bidi="zh-CN"/>
        </w:rPr>
      </w:pPr>
      <w:r>
        <w:rPr>
          <w:rFonts w:ascii="宋体" w:eastAsia="宋体" w:hAnsi="宋体" w:cs="宋体" w:hint="eastAsia"/>
          <w:sz w:val="24"/>
          <w:szCs w:val="24"/>
          <w:lang w:eastAsia="zh-CN" w:bidi="zh-CN"/>
        </w:rPr>
        <w:tab/>
      </w:r>
      <w:r>
        <w:rPr>
          <w:rFonts w:ascii="黑体" w:eastAsia="黑体" w:hAnsi="黑体" w:cs="黑体" w:hint="eastAsia"/>
          <w:spacing w:val="-2"/>
          <w:sz w:val="30"/>
          <w:szCs w:val="30"/>
          <w:lang w:eastAsia="zh-CN" w:bidi="zh-CN"/>
        </w:rPr>
        <w:t>三、</w:t>
      </w:r>
      <w:r>
        <w:rPr>
          <w:rFonts w:ascii="黑体" w:eastAsia="黑体" w:hAnsi="黑体" w:cs="黑体"/>
          <w:spacing w:val="-2"/>
          <w:sz w:val="30"/>
          <w:szCs w:val="30"/>
          <w:lang w:eastAsia="zh-CN" w:bidi="zh-CN"/>
        </w:rPr>
        <w:t>投资管理团队</w:t>
      </w:r>
    </w:p>
    <w:p w14:paraId="2EDFDA9C" w14:textId="5FFBED60" w:rsidR="00783AA1" w:rsidRDefault="009B081D" w:rsidP="009B081D">
      <w:pPr>
        <w:adjustRightInd/>
        <w:snapToGrid/>
        <w:spacing w:line="360" w:lineRule="auto"/>
        <w:ind w:firstLineChars="200" w:firstLine="480"/>
        <w:rPr>
          <w:rFonts w:ascii="宋体" w:eastAsia="宋体" w:hAnsi="宋体" w:cs="宋体" w:hint="eastAsia"/>
          <w:sz w:val="24"/>
          <w:szCs w:val="24"/>
          <w:lang w:eastAsia="zh-CN" w:bidi="zh-CN"/>
        </w:rPr>
      </w:pPr>
      <w:r w:rsidRPr="009B081D">
        <w:rPr>
          <w:rFonts w:ascii="宋体" w:eastAsia="宋体" w:hAnsi="宋体" w:cs="宋体" w:hint="eastAsia"/>
          <w:sz w:val="24"/>
          <w:szCs w:val="24"/>
          <w:lang w:eastAsia="zh-CN" w:bidi="zh-CN"/>
        </w:rPr>
        <w:t>基金经理：曹璐迪，硕士，</w:t>
      </w:r>
      <w:r w:rsidRPr="009B081D">
        <w:rPr>
          <w:rFonts w:ascii="宋体" w:eastAsia="宋体" w:hAnsi="宋体" w:cs="宋体"/>
          <w:sz w:val="24"/>
          <w:szCs w:val="24"/>
          <w:lang w:eastAsia="zh-CN" w:bidi="zh-CN"/>
        </w:rPr>
        <w:t>9</w:t>
      </w:r>
      <w:r w:rsidRPr="009B081D">
        <w:rPr>
          <w:rFonts w:ascii="宋体" w:eastAsia="宋体" w:hAnsi="宋体" w:cs="宋体" w:hint="eastAsia"/>
          <w:sz w:val="24"/>
          <w:szCs w:val="24"/>
          <w:lang w:eastAsia="zh-CN" w:bidi="zh-CN"/>
        </w:rPr>
        <w:t>年证券从业经历，</w:t>
      </w:r>
      <w:r w:rsidRPr="009B081D">
        <w:rPr>
          <w:rFonts w:ascii="宋体" w:eastAsia="宋体" w:hAnsi="宋体" w:cs="宋体"/>
          <w:sz w:val="24"/>
          <w:szCs w:val="24"/>
          <w:lang w:eastAsia="zh-CN" w:bidi="zh-CN"/>
        </w:rPr>
        <w:t>5</w:t>
      </w:r>
      <w:r w:rsidRPr="009B081D">
        <w:rPr>
          <w:rFonts w:ascii="宋体" w:eastAsia="宋体" w:hAnsi="宋体" w:cs="宋体" w:hint="eastAsia"/>
          <w:sz w:val="24"/>
          <w:szCs w:val="24"/>
          <w:lang w:eastAsia="zh-CN" w:bidi="zh-CN"/>
        </w:rPr>
        <w:t>年投资管理经历，自</w:t>
      </w:r>
      <w:r w:rsidRPr="009B081D">
        <w:rPr>
          <w:rFonts w:ascii="宋体" w:eastAsia="宋体" w:hAnsi="宋体" w:cs="宋体"/>
          <w:sz w:val="24"/>
          <w:szCs w:val="24"/>
          <w:lang w:eastAsia="zh-CN" w:bidi="zh-CN"/>
        </w:rPr>
        <w:t>2016</w:t>
      </w:r>
      <w:r w:rsidRPr="009B081D">
        <w:rPr>
          <w:rFonts w:ascii="宋体" w:eastAsia="宋体" w:hAnsi="宋体" w:cs="宋体" w:hint="eastAsia"/>
          <w:sz w:val="24"/>
          <w:szCs w:val="24"/>
          <w:lang w:eastAsia="zh-CN" w:bidi="zh-CN"/>
        </w:rPr>
        <w:t>年</w:t>
      </w:r>
      <w:r w:rsidRPr="009B081D">
        <w:rPr>
          <w:rFonts w:ascii="宋体" w:eastAsia="宋体" w:hAnsi="宋体" w:cs="宋体"/>
          <w:sz w:val="24"/>
          <w:szCs w:val="24"/>
          <w:lang w:eastAsia="zh-CN" w:bidi="zh-CN"/>
        </w:rPr>
        <w:t>7</w:t>
      </w:r>
      <w:r w:rsidRPr="009B081D">
        <w:rPr>
          <w:rFonts w:ascii="宋体" w:eastAsia="宋体" w:hAnsi="宋体" w:cs="宋体" w:hint="eastAsia"/>
          <w:sz w:val="24"/>
          <w:szCs w:val="24"/>
          <w:lang w:eastAsia="zh-CN" w:bidi="zh-CN"/>
        </w:rPr>
        <w:t>月加入富国基金管理有限公司，历任助理定量研究员、定量研究员；现任富国基金量化投资部定量基金经理。目前在管产品包括富国中证价值</w:t>
      </w:r>
      <w:r w:rsidRPr="009B081D">
        <w:rPr>
          <w:rFonts w:ascii="宋体" w:eastAsia="宋体" w:hAnsi="宋体" w:cs="宋体"/>
          <w:sz w:val="24"/>
          <w:szCs w:val="24"/>
          <w:lang w:eastAsia="zh-CN" w:bidi="zh-CN"/>
        </w:rPr>
        <w:t>ETF</w:t>
      </w:r>
      <w:r w:rsidRPr="009B081D">
        <w:rPr>
          <w:rFonts w:ascii="宋体" w:eastAsia="宋体" w:hAnsi="宋体" w:cs="宋体" w:hint="eastAsia"/>
          <w:sz w:val="24"/>
          <w:szCs w:val="24"/>
          <w:lang w:eastAsia="zh-CN" w:bidi="zh-CN"/>
        </w:rPr>
        <w:t>及联接基金、富国创业板</w:t>
      </w:r>
      <w:r w:rsidRPr="009B081D">
        <w:rPr>
          <w:rFonts w:ascii="宋体" w:eastAsia="宋体" w:hAnsi="宋体" w:cs="宋体"/>
          <w:sz w:val="24"/>
          <w:szCs w:val="24"/>
          <w:lang w:eastAsia="zh-CN" w:bidi="zh-CN"/>
        </w:rPr>
        <w:t>ETF</w:t>
      </w:r>
      <w:r w:rsidRPr="009B081D">
        <w:rPr>
          <w:rFonts w:ascii="宋体" w:eastAsia="宋体" w:hAnsi="宋体" w:cs="宋体" w:hint="eastAsia"/>
          <w:sz w:val="24"/>
          <w:szCs w:val="24"/>
          <w:lang w:eastAsia="zh-CN" w:bidi="zh-CN"/>
        </w:rPr>
        <w:t>及联接基金、富国中证科创创业</w:t>
      </w:r>
      <w:r w:rsidRPr="009B081D">
        <w:rPr>
          <w:rFonts w:ascii="宋体" w:eastAsia="宋体" w:hAnsi="宋体" w:cs="宋体"/>
          <w:sz w:val="24"/>
          <w:szCs w:val="24"/>
          <w:lang w:eastAsia="zh-CN" w:bidi="zh-CN"/>
        </w:rPr>
        <w:t>50ETF</w:t>
      </w:r>
      <w:r w:rsidRPr="009B081D">
        <w:rPr>
          <w:rFonts w:ascii="宋体" w:eastAsia="宋体" w:hAnsi="宋体" w:cs="宋体" w:hint="eastAsia"/>
          <w:sz w:val="24"/>
          <w:szCs w:val="24"/>
          <w:lang w:eastAsia="zh-CN" w:bidi="zh-CN"/>
        </w:rPr>
        <w:t>及联接基金、富国中证电池主题</w:t>
      </w:r>
      <w:r w:rsidRPr="009B081D">
        <w:rPr>
          <w:rFonts w:ascii="宋体" w:eastAsia="宋体" w:hAnsi="宋体" w:cs="宋体"/>
          <w:sz w:val="24"/>
          <w:szCs w:val="24"/>
          <w:lang w:eastAsia="zh-CN" w:bidi="zh-CN"/>
        </w:rPr>
        <w:t>ETF</w:t>
      </w:r>
      <w:r w:rsidRPr="009B081D">
        <w:rPr>
          <w:rFonts w:ascii="宋体" w:eastAsia="宋体" w:hAnsi="宋体" w:cs="宋体" w:hint="eastAsia"/>
          <w:sz w:val="24"/>
          <w:szCs w:val="24"/>
          <w:lang w:eastAsia="zh-CN" w:bidi="zh-CN"/>
        </w:rPr>
        <w:t>及联接基金、富国上证科创板</w:t>
      </w:r>
      <w:r w:rsidRPr="009B081D">
        <w:rPr>
          <w:rFonts w:ascii="宋体" w:eastAsia="宋体" w:hAnsi="宋体" w:cs="宋体"/>
          <w:sz w:val="24"/>
          <w:szCs w:val="24"/>
          <w:lang w:eastAsia="zh-CN" w:bidi="zh-CN"/>
        </w:rPr>
        <w:t>100ETF</w:t>
      </w:r>
      <w:r w:rsidRPr="009B081D">
        <w:rPr>
          <w:rFonts w:ascii="宋体" w:eastAsia="宋体" w:hAnsi="宋体" w:cs="宋体" w:hint="eastAsia"/>
          <w:sz w:val="24"/>
          <w:szCs w:val="24"/>
          <w:lang w:eastAsia="zh-CN" w:bidi="zh-CN"/>
        </w:rPr>
        <w:t>及联接基金</w:t>
      </w:r>
      <w:r w:rsidR="00000000">
        <w:rPr>
          <w:rFonts w:ascii="宋体" w:eastAsia="宋体" w:hAnsi="宋体" w:cs="宋体" w:hint="eastAsia"/>
          <w:sz w:val="24"/>
          <w:szCs w:val="24"/>
          <w:lang w:eastAsia="zh-CN" w:bidi="zh-CN"/>
        </w:rPr>
        <w:t>。</w:t>
      </w:r>
    </w:p>
    <w:p w14:paraId="2B6F4095"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sz w:val="24"/>
          <w:szCs w:val="24"/>
          <w:lang w:eastAsia="zh-CN" w:bidi="zh-CN"/>
        </w:rPr>
        <w:t>所在部门</w:t>
      </w:r>
      <w:r>
        <w:rPr>
          <w:rFonts w:ascii="宋体" w:eastAsia="宋体" w:hAnsi="宋体" w:cs="宋体" w:hint="eastAsia"/>
          <w:sz w:val="24"/>
          <w:szCs w:val="24"/>
          <w:lang w:eastAsia="zh-CN" w:bidi="zh-CN"/>
        </w:rPr>
        <w:t>：量化投资部。富国量化投资团队于2009年成立，至今17年。目前团队人数34人，团队由李笑薇（副总经理）、王保合（总经理助理、量化投资部总经理）、徐幼华（量化投资部副总经理）等资深老将领衔，平均从业时间超20年，整体背景卓越、专业基础扎实、投资经验深厚。截至25年三季度末管理规模超3600亿，α收益保持稳定，β业务不断扩容。客户范围广泛，囊括银行、社保、保险、财务、海外主权基金、大型央企等。多次获权威奖项，包括《中国证券报》第17届“金牛奖”之“量化投资金牛基金公司”奖、《中国基金报》优秀ETF管理人、中国公募基金英华奖之“2022年度优秀主动量化基金公司”等。</w:t>
      </w:r>
    </w:p>
    <w:p w14:paraId="39765EBB" w14:textId="77777777" w:rsidR="00783AA1" w:rsidRDefault="00000000">
      <w:pPr>
        <w:adjustRightInd/>
        <w:snapToGrid/>
        <w:spacing w:line="360" w:lineRule="auto"/>
        <w:ind w:firstLineChars="200" w:firstLine="592"/>
        <w:rPr>
          <w:rFonts w:ascii="宋体" w:eastAsia="宋体" w:hAnsi="宋体" w:cs="宋体" w:hint="eastAsia"/>
          <w:sz w:val="24"/>
          <w:szCs w:val="24"/>
          <w:lang w:eastAsia="zh-CN" w:bidi="zh-CN"/>
        </w:rPr>
      </w:pPr>
      <w:r>
        <w:rPr>
          <w:rFonts w:ascii="黑体" w:eastAsia="黑体" w:hAnsi="黑体" w:cs="黑体"/>
          <w:spacing w:val="-2"/>
          <w:sz w:val="30"/>
          <w:szCs w:val="30"/>
          <w:lang w:eastAsia="zh-CN" w:bidi="zh-CN"/>
        </w:rPr>
        <w:t>四、风险管控措施</w:t>
      </w:r>
    </w:p>
    <w:p w14:paraId="5CE298FF"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富国基金建立了以风险识别、风险评估、风险应对、风险报告和监控及风险管理作为主要环节的风险管理体系。公司将这些主要环节与公司的战略规划、投资决策、运营和财务管理等业务活动进行有机结合，通过完善的风险管理组织架构、自动化的风险监控手段和闭环的风险管理流程进行全面风险管理。同时，公司对投资过程中面临的市场风险、信用风险、流动性风险等重点予以关注：</w:t>
      </w:r>
    </w:p>
    <w:p w14:paraId="228E2D53"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研究过程：通过独立、专业化的权益、量化、固定收益研究团队，对投资标的基本面、市场环境、信用分析等深入提供研究支持；通过构建模拟组合与规范的投资备选库管理，为投资决策提供充分依据；</w:t>
      </w:r>
    </w:p>
    <w:p w14:paraId="68D26CF2"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lastRenderedPageBreak/>
        <w:t>决策过程：投资经理提交组合建仓计划给投资决策委员会，并在投资决策委员会的指导和授权下进行资产配置和投资决策；</w:t>
      </w:r>
    </w:p>
    <w:p w14:paraId="69A08C5E"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组合构建：在高度系统自动化的合规与风控框架内，组合经理独立开展组合投资运作；</w:t>
      </w:r>
    </w:p>
    <w:p w14:paraId="00BD7F09"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交易过程：公司建立了分级的交易对手库，集中交易部与固定收益交易部负责独立的交易执行，根据市场情况及时向投资进行反馈；</w:t>
      </w:r>
    </w:p>
    <w:p w14:paraId="3C39BC01"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事后分析：独立的金工团队对投资结果进行绩效评估和归因分析；风险管理部对组合的合规与风险指标进行多维度的监测和分析，对投资研究进行提示与监督。</w:t>
      </w:r>
    </w:p>
    <w:p w14:paraId="39CAF8FF"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公司通过不断整合交易系统、估值系统以及外部数据源等投资和市场数据，构建数据仓库与投资研究数据集市，利用监控系统对投资、交易、估值等数据进行量化分析，对投资风险进行监控管理；通过电子化流程控制手段，固化操作规范，提升操作规范化和内控有效性，防范操作风险和合规风险。</w:t>
      </w:r>
    </w:p>
    <w:p w14:paraId="735B9935" w14:textId="77777777" w:rsidR="00783AA1" w:rsidRDefault="00000000">
      <w:pPr>
        <w:numPr>
          <w:ilvl w:val="0"/>
          <w:numId w:val="3"/>
        </w:numPr>
        <w:adjustRightInd/>
        <w:snapToGrid/>
        <w:spacing w:line="360" w:lineRule="auto"/>
        <w:ind w:firstLineChars="200" w:firstLine="592"/>
        <w:rPr>
          <w:rFonts w:ascii="黑体" w:eastAsia="黑体" w:hAnsi="黑体" w:cs="黑体" w:hint="eastAsia"/>
          <w:spacing w:val="-2"/>
          <w:sz w:val="30"/>
          <w:szCs w:val="30"/>
          <w:lang w:eastAsia="zh-CN" w:bidi="zh-CN"/>
        </w:rPr>
      </w:pPr>
      <w:r>
        <w:rPr>
          <w:rFonts w:ascii="黑体" w:eastAsia="黑体" w:hAnsi="黑体" w:cs="黑体"/>
          <w:spacing w:val="-2"/>
          <w:sz w:val="30"/>
          <w:szCs w:val="30"/>
          <w:lang w:eastAsia="zh-CN" w:bidi="zh-CN"/>
        </w:rPr>
        <w:t>近年规模变动及底层资产持仓比例</w:t>
      </w:r>
    </w:p>
    <w:p w14:paraId="70DDDDD2"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本基金近年规模变动及底层持仓如下：</w:t>
      </w:r>
    </w:p>
    <w:tbl>
      <w:tblPr>
        <w:tblW w:w="9960" w:type="dxa"/>
        <w:tblInd w:w="-832" w:type="dxa"/>
        <w:tblLook w:val="04A0" w:firstRow="1" w:lastRow="0" w:firstColumn="1" w:lastColumn="0" w:noHBand="0" w:noVBand="1"/>
      </w:tblPr>
      <w:tblGrid>
        <w:gridCol w:w="1460"/>
        <w:gridCol w:w="1280"/>
        <w:gridCol w:w="1500"/>
        <w:gridCol w:w="1920"/>
        <w:gridCol w:w="1300"/>
        <w:gridCol w:w="1280"/>
        <w:gridCol w:w="1220"/>
      </w:tblGrid>
      <w:tr w:rsidR="00783AA1" w14:paraId="013CFF93" w14:textId="77777777">
        <w:trPr>
          <w:trHeight w:val="560"/>
        </w:trPr>
        <w:tc>
          <w:tcPr>
            <w:tcW w:w="1460" w:type="dxa"/>
            <w:tcBorders>
              <w:top w:val="single" w:sz="4" w:space="0" w:color="auto"/>
              <w:left w:val="single" w:sz="4" w:space="0" w:color="auto"/>
              <w:bottom w:val="single" w:sz="4" w:space="0" w:color="auto"/>
              <w:right w:val="single" w:sz="4" w:space="0" w:color="auto"/>
            </w:tcBorders>
            <w:noWrap/>
            <w:vAlign w:val="center"/>
          </w:tcPr>
          <w:p w14:paraId="7F0B32BE"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报告期</w:t>
            </w:r>
          </w:p>
        </w:tc>
        <w:tc>
          <w:tcPr>
            <w:tcW w:w="1280" w:type="dxa"/>
            <w:tcBorders>
              <w:top w:val="single" w:sz="4" w:space="0" w:color="auto"/>
              <w:left w:val="nil"/>
              <w:bottom w:val="single" w:sz="4" w:space="0" w:color="auto"/>
              <w:right w:val="single" w:sz="4" w:space="0" w:color="auto"/>
            </w:tcBorders>
            <w:vAlign w:val="center"/>
          </w:tcPr>
          <w:p w14:paraId="614AEEF9"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基金资产</w:t>
            </w:r>
            <w:r>
              <w:rPr>
                <w:rFonts w:ascii="仿宋" w:eastAsia="仿宋" w:hAnsi="仿宋" w:cs="仿宋" w:hint="eastAsia"/>
                <w:sz w:val="22"/>
                <w:szCs w:val="22"/>
                <w:lang w:eastAsia="zh-CN" w:bidi="ar"/>
              </w:rPr>
              <w:br/>
              <w:t>总值</w:t>
            </w:r>
          </w:p>
        </w:tc>
        <w:tc>
          <w:tcPr>
            <w:tcW w:w="1500" w:type="dxa"/>
            <w:tcBorders>
              <w:top w:val="single" w:sz="4" w:space="0" w:color="auto"/>
              <w:left w:val="nil"/>
              <w:bottom w:val="single" w:sz="4" w:space="0" w:color="auto"/>
              <w:right w:val="single" w:sz="4" w:space="0" w:color="auto"/>
            </w:tcBorders>
            <w:vAlign w:val="center"/>
          </w:tcPr>
          <w:p w14:paraId="30C81BA6"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基金资产</w:t>
            </w:r>
            <w:r>
              <w:rPr>
                <w:rFonts w:ascii="仿宋" w:eastAsia="仿宋" w:hAnsi="仿宋" w:cs="仿宋" w:hint="eastAsia"/>
                <w:sz w:val="22"/>
                <w:szCs w:val="22"/>
                <w:lang w:eastAsia="zh-CN" w:bidi="ar"/>
              </w:rPr>
              <w:br/>
              <w:t>净值</w:t>
            </w:r>
          </w:p>
        </w:tc>
        <w:tc>
          <w:tcPr>
            <w:tcW w:w="1920" w:type="dxa"/>
            <w:tcBorders>
              <w:top w:val="single" w:sz="4" w:space="0" w:color="auto"/>
              <w:left w:val="nil"/>
              <w:bottom w:val="single" w:sz="4" w:space="0" w:color="auto"/>
              <w:right w:val="single" w:sz="4" w:space="0" w:color="auto"/>
            </w:tcBorders>
            <w:vAlign w:val="center"/>
          </w:tcPr>
          <w:p w14:paraId="525D34BA"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股票投资</w:t>
            </w:r>
            <w:r>
              <w:rPr>
                <w:rFonts w:ascii="仿宋" w:eastAsia="仿宋" w:hAnsi="仿宋" w:cs="仿宋" w:hint="eastAsia"/>
                <w:sz w:val="22"/>
                <w:szCs w:val="22"/>
                <w:lang w:eastAsia="zh-CN" w:bidi="ar"/>
              </w:rPr>
              <w:br/>
              <w:t>市值占比</w:t>
            </w:r>
          </w:p>
        </w:tc>
        <w:tc>
          <w:tcPr>
            <w:tcW w:w="1300" w:type="dxa"/>
            <w:tcBorders>
              <w:top w:val="single" w:sz="4" w:space="0" w:color="auto"/>
              <w:left w:val="nil"/>
              <w:bottom w:val="single" w:sz="4" w:space="0" w:color="auto"/>
              <w:right w:val="single" w:sz="4" w:space="0" w:color="auto"/>
            </w:tcBorders>
            <w:vAlign w:val="center"/>
          </w:tcPr>
          <w:p w14:paraId="3315694A"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债券投资</w:t>
            </w:r>
            <w:r>
              <w:rPr>
                <w:rFonts w:ascii="仿宋" w:eastAsia="仿宋" w:hAnsi="仿宋" w:cs="仿宋" w:hint="eastAsia"/>
                <w:sz w:val="22"/>
                <w:szCs w:val="22"/>
                <w:lang w:eastAsia="zh-CN" w:bidi="ar"/>
              </w:rPr>
              <w:br/>
              <w:t>市值占比</w:t>
            </w:r>
          </w:p>
        </w:tc>
        <w:tc>
          <w:tcPr>
            <w:tcW w:w="1280" w:type="dxa"/>
            <w:tcBorders>
              <w:top w:val="single" w:sz="4" w:space="0" w:color="auto"/>
              <w:left w:val="nil"/>
              <w:bottom w:val="single" w:sz="4" w:space="0" w:color="auto"/>
              <w:right w:val="single" w:sz="4" w:space="0" w:color="auto"/>
            </w:tcBorders>
            <w:vAlign w:val="center"/>
          </w:tcPr>
          <w:p w14:paraId="6E24652D"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基金投资</w:t>
            </w:r>
            <w:r>
              <w:rPr>
                <w:rFonts w:ascii="仿宋" w:eastAsia="仿宋" w:hAnsi="仿宋" w:cs="仿宋" w:hint="eastAsia"/>
                <w:sz w:val="22"/>
                <w:szCs w:val="22"/>
                <w:lang w:eastAsia="zh-CN" w:bidi="ar"/>
              </w:rPr>
              <w:br/>
              <w:t>市值占比</w:t>
            </w:r>
          </w:p>
        </w:tc>
        <w:tc>
          <w:tcPr>
            <w:tcW w:w="1220" w:type="dxa"/>
            <w:tcBorders>
              <w:top w:val="single" w:sz="4" w:space="0" w:color="auto"/>
              <w:left w:val="nil"/>
              <w:bottom w:val="single" w:sz="4" w:space="0" w:color="auto"/>
              <w:right w:val="single" w:sz="4" w:space="0" w:color="auto"/>
            </w:tcBorders>
            <w:vAlign w:val="center"/>
          </w:tcPr>
          <w:p w14:paraId="034BBE7F"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其他投资</w:t>
            </w:r>
            <w:r>
              <w:rPr>
                <w:rFonts w:ascii="仿宋" w:eastAsia="仿宋" w:hAnsi="仿宋" w:cs="仿宋" w:hint="eastAsia"/>
                <w:sz w:val="22"/>
                <w:szCs w:val="22"/>
                <w:lang w:eastAsia="zh-CN" w:bidi="ar"/>
              </w:rPr>
              <w:br/>
              <w:t>市值占比</w:t>
            </w:r>
          </w:p>
        </w:tc>
      </w:tr>
      <w:tr w:rsidR="007C783A" w14:paraId="76FB885F" w14:textId="77777777">
        <w:trPr>
          <w:trHeight w:val="290"/>
        </w:trPr>
        <w:tc>
          <w:tcPr>
            <w:tcW w:w="1460" w:type="dxa"/>
            <w:tcBorders>
              <w:top w:val="nil"/>
              <w:left w:val="single" w:sz="4" w:space="0" w:color="auto"/>
              <w:bottom w:val="single" w:sz="4" w:space="0" w:color="auto"/>
              <w:right w:val="single" w:sz="4" w:space="0" w:color="auto"/>
            </w:tcBorders>
            <w:noWrap/>
            <w:vAlign w:val="center"/>
          </w:tcPr>
          <w:p w14:paraId="79BE2495" w14:textId="374869B6" w:rsidR="007C783A" w:rsidRDefault="007C783A" w:rsidP="007C783A">
            <w:pPr>
              <w:jc w:val="center"/>
              <w:textAlignment w:val="center"/>
              <w:rPr>
                <w:rFonts w:ascii="仿宋" w:eastAsia="仿宋" w:hAnsi="仿宋" w:cs="宋体" w:hint="eastAsia"/>
                <w:snapToGrid/>
                <w:sz w:val="22"/>
                <w:szCs w:val="22"/>
                <w:lang w:eastAsia="zh-CN"/>
              </w:rPr>
            </w:pPr>
            <w:r w:rsidRPr="007C783A">
              <w:rPr>
                <w:rFonts w:ascii="仿宋" w:eastAsia="仿宋" w:hAnsi="仿宋" w:hint="eastAsia"/>
                <w:color w:val="000000" w:themeColor="text1"/>
                <w:sz w:val="22"/>
                <w:szCs w:val="22"/>
              </w:rPr>
              <w:t>2025/12/31</w:t>
            </w:r>
          </w:p>
        </w:tc>
        <w:tc>
          <w:tcPr>
            <w:tcW w:w="1280" w:type="dxa"/>
            <w:tcBorders>
              <w:top w:val="nil"/>
              <w:left w:val="nil"/>
              <w:bottom w:val="single" w:sz="4" w:space="0" w:color="auto"/>
              <w:right w:val="single" w:sz="4" w:space="0" w:color="auto"/>
            </w:tcBorders>
            <w:noWrap/>
            <w:vAlign w:val="center"/>
          </w:tcPr>
          <w:p w14:paraId="74A3B4EF" w14:textId="20906A42"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 xml:space="preserve">85035.18 </w:t>
            </w:r>
          </w:p>
        </w:tc>
        <w:tc>
          <w:tcPr>
            <w:tcW w:w="1500" w:type="dxa"/>
            <w:tcBorders>
              <w:top w:val="nil"/>
              <w:left w:val="nil"/>
              <w:bottom w:val="single" w:sz="4" w:space="0" w:color="auto"/>
              <w:right w:val="single" w:sz="4" w:space="0" w:color="auto"/>
            </w:tcBorders>
            <w:noWrap/>
            <w:vAlign w:val="bottom"/>
          </w:tcPr>
          <w:p w14:paraId="25C75EB2" w14:textId="13EEF6F8" w:rsidR="007C783A" w:rsidRDefault="007C783A" w:rsidP="007C783A">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 xml:space="preserve">80007.89 </w:t>
            </w:r>
          </w:p>
        </w:tc>
        <w:tc>
          <w:tcPr>
            <w:tcW w:w="1920" w:type="dxa"/>
            <w:tcBorders>
              <w:top w:val="nil"/>
              <w:left w:val="nil"/>
              <w:bottom w:val="single" w:sz="4" w:space="0" w:color="auto"/>
              <w:right w:val="single" w:sz="4" w:space="0" w:color="auto"/>
            </w:tcBorders>
            <w:noWrap/>
            <w:vAlign w:val="center"/>
          </w:tcPr>
          <w:p w14:paraId="14380ABB" w14:textId="003C96DA"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300" w:type="dxa"/>
            <w:tcBorders>
              <w:top w:val="nil"/>
              <w:left w:val="nil"/>
              <w:bottom w:val="single" w:sz="4" w:space="0" w:color="auto"/>
              <w:right w:val="single" w:sz="4" w:space="0" w:color="auto"/>
            </w:tcBorders>
            <w:noWrap/>
            <w:vAlign w:val="center"/>
          </w:tcPr>
          <w:p w14:paraId="46B03656" w14:textId="0AB1C67D"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3.78%</w:t>
            </w:r>
          </w:p>
        </w:tc>
        <w:tc>
          <w:tcPr>
            <w:tcW w:w="1280" w:type="dxa"/>
            <w:tcBorders>
              <w:top w:val="nil"/>
              <w:left w:val="nil"/>
              <w:bottom w:val="single" w:sz="4" w:space="0" w:color="auto"/>
              <w:right w:val="single" w:sz="4" w:space="0" w:color="auto"/>
            </w:tcBorders>
            <w:noWrap/>
            <w:vAlign w:val="center"/>
          </w:tcPr>
          <w:p w14:paraId="21F25EB3" w14:textId="00652E7C"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95.66%</w:t>
            </w:r>
          </w:p>
        </w:tc>
        <w:tc>
          <w:tcPr>
            <w:tcW w:w="1220" w:type="dxa"/>
            <w:tcBorders>
              <w:top w:val="nil"/>
              <w:left w:val="nil"/>
              <w:bottom w:val="single" w:sz="4" w:space="0" w:color="auto"/>
              <w:right w:val="single" w:sz="4" w:space="0" w:color="auto"/>
            </w:tcBorders>
            <w:noWrap/>
            <w:vAlign w:val="center"/>
          </w:tcPr>
          <w:p w14:paraId="3EA31DC5" w14:textId="6CA102DA"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0.56%</w:t>
            </w:r>
          </w:p>
        </w:tc>
      </w:tr>
      <w:tr w:rsidR="007C783A" w14:paraId="125B8369" w14:textId="77777777">
        <w:trPr>
          <w:trHeight w:val="290"/>
        </w:trPr>
        <w:tc>
          <w:tcPr>
            <w:tcW w:w="1460" w:type="dxa"/>
            <w:tcBorders>
              <w:top w:val="nil"/>
              <w:left w:val="single" w:sz="4" w:space="0" w:color="auto"/>
              <w:bottom w:val="single" w:sz="4" w:space="0" w:color="auto"/>
              <w:right w:val="single" w:sz="4" w:space="0" w:color="auto"/>
            </w:tcBorders>
            <w:noWrap/>
            <w:vAlign w:val="center"/>
          </w:tcPr>
          <w:p w14:paraId="3FAAB6C7" w14:textId="694A482E"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2024/12/31</w:t>
            </w:r>
          </w:p>
        </w:tc>
        <w:tc>
          <w:tcPr>
            <w:tcW w:w="1280" w:type="dxa"/>
            <w:tcBorders>
              <w:top w:val="nil"/>
              <w:left w:val="nil"/>
              <w:bottom w:val="single" w:sz="4" w:space="0" w:color="auto"/>
              <w:right w:val="single" w:sz="4" w:space="0" w:color="auto"/>
            </w:tcBorders>
            <w:noWrap/>
            <w:vAlign w:val="center"/>
          </w:tcPr>
          <w:p w14:paraId="01225EB3" w14:textId="1AEDF609"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 xml:space="preserve">16485.19 </w:t>
            </w:r>
          </w:p>
        </w:tc>
        <w:tc>
          <w:tcPr>
            <w:tcW w:w="1500" w:type="dxa"/>
            <w:tcBorders>
              <w:top w:val="nil"/>
              <w:left w:val="nil"/>
              <w:bottom w:val="single" w:sz="4" w:space="0" w:color="auto"/>
              <w:right w:val="single" w:sz="4" w:space="0" w:color="auto"/>
            </w:tcBorders>
            <w:noWrap/>
            <w:vAlign w:val="bottom"/>
          </w:tcPr>
          <w:p w14:paraId="3AB14E10" w14:textId="624C3562" w:rsidR="007C783A" w:rsidRDefault="007C783A" w:rsidP="007C783A">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 xml:space="preserve">16228.08 </w:t>
            </w:r>
          </w:p>
        </w:tc>
        <w:tc>
          <w:tcPr>
            <w:tcW w:w="1920" w:type="dxa"/>
            <w:tcBorders>
              <w:top w:val="nil"/>
              <w:left w:val="nil"/>
              <w:bottom w:val="single" w:sz="4" w:space="0" w:color="auto"/>
              <w:right w:val="single" w:sz="4" w:space="0" w:color="auto"/>
            </w:tcBorders>
            <w:noWrap/>
            <w:vAlign w:val="center"/>
          </w:tcPr>
          <w:p w14:paraId="58648730" w14:textId="0BB7E5AF"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300" w:type="dxa"/>
            <w:tcBorders>
              <w:top w:val="nil"/>
              <w:left w:val="nil"/>
              <w:bottom w:val="single" w:sz="4" w:space="0" w:color="auto"/>
              <w:right w:val="single" w:sz="4" w:space="0" w:color="auto"/>
            </w:tcBorders>
            <w:noWrap/>
            <w:vAlign w:val="center"/>
          </w:tcPr>
          <w:p w14:paraId="23FD54BA" w14:textId="13785784"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0.69%</w:t>
            </w:r>
          </w:p>
        </w:tc>
        <w:tc>
          <w:tcPr>
            <w:tcW w:w="1280" w:type="dxa"/>
            <w:tcBorders>
              <w:top w:val="nil"/>
              <w:left w:val="nil"/>
              <w:bottom w:val="single" w:sz="4" w:space="0" w:color="auto"/>
              <w:right w:val="single" w:sz="4" w:space="0" w:color="auto"/>
            </w:tcBorders>
            <w:noWrap/>
            <w:vAlign w:val="center"/>
          </w:tcPr>
          <w:p w14:paraId="31439762" w14:textId="54A3B775"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94.36%</w:t>
            </w:r>
          </w:p>
        </w:tc>
        <w:tc>
          <w:tcPr>
            <w:tcW w:w="1220" w:type="dxa"/>
            <w:tcBorders>
              <w:top w:val="nil"/>
              <w:left w:val="nil"/>
              <w:bottom w:val="single" w:sz="4" w:space="0" w:color="auto"/>
              <w:right w:val="single" w:sz="4" w:space="0" w:color="auto"/>
            </w:tcBorders>
            <w:noWrap/>
            <w:vAlign w:val="center"/>
          </w:tcPr>
          <w:p w14:paraId="4BA1E978" w14:textId="54A87B61"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4.95%</w:t>
            </w:r>
          </w:p>
        </w:tc>
      </w:tr>
      <w:tr w:rsidR="007C783A" w14:paraId="32968C82" w14:textId="77777777">
        <w:trPr>
          <w:trHeight w:val="290"/>
        </w:trPr>
        <w:tc>
          <w:tcPr>
            <w:tcW w:w="1460" w:type="dxa"/>
            <w:tcBorders>
              <w:top w:val="nil"/>
              <w:left w:val="single" w:sz="4" w:space="0" w:color="auto"/>
              <w:bottom w:val="single" w:sz="4" w:space="0" w:color="auto"/>
              <w:right w:val="single" w:sz="4" w:space="0" w:color="auto"/>
            </w:tcBorders>
            <w:noWrap/>
            <w:vAlign w:val="center"/>
          </w:tcPr>
          <w:p w14:paraId="3938A142" w14:textId="2698463F"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2023/12/31</w:t>
            </w:r>
          </w:p>
        </w:tc>
        <w:tc>
          <w:tcPr>
            <w:tcW w:w="1280" w:type="dxa"/>
            <w:tcBorders>
              <w:top w:val="nil"/>
              <w:left w:val="nil"/>
              <w:bottom w:val="single" w:sz="4" w:space="0" w:color="auto"/>
              <w:right w:val="single" w:sz="4" w:space="0" w:color="auto"/>
            </w:tcBorders>
            <w:noWrap/>
            <w:vAlign w:val="center"/>
          </w:tcPr>
          <w:p w14:paraId="5AF18170" w14:textId="3355566F"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 xml:space="preserve">25169.87 </w:t>
            </w:r>
          </w:p>
        </w:tc>
        <w:tc>
          <w:tcPr>
            <w:tcW w:w="1500" w:type="dxa"/>
            <w:tcBorders>
              <w:top w:val="nil"/>
              <w:left w:val="nil"/>
              <w:bottom w:val="single" w:sz="4" w:space="0" w:color="auto"/>
              <w:right w:val="single" w:sz="4" w:space="0" w:color="auto"/>
            </w:tcBorders>
            <w:noWrap/>
            <w:vAlign w:val="bottom"/>
          </w:tcPr>
          <w:p w14:paraId="0ACAA693" w14:textId="4D5F328D" w:rsidR="007C783A" w:rsidRDefault="007C783A" w:rsidP="007C783A">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 xml:space="preserve">24009.89 </w:t>
            </w:r>
          </w:p>
        </w:tc>
        <w:tc>
          <w:tcPr>
            <w:tcW w:w="1920" w:type="dxa"/>
            <w:tcBorders>
              <w:top w:val="nil"/>
              <w:left w:val="nil"/>
              <w:bottom w:val="single" w:sz="4" w:space="0" w:color="auto"/>
              <w:right w:val="single" w:sz="4" w:space="0" w:color="auto"/>
            </w:tcBorders>
            <w:noWrap/>
            <w:vAlign w:val="center"/>
          </w:tcPr>
          <w:p w14:paraId="40277AF6" w14:textId="5751A87C"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300" w:type="dxa"/>
            <w:tcBorders>
              <w:top w:val="nil"/>
              <w:left w:val="nil"/>
              <w:bottom w:val="single" w:sz="4" w:space="0" w:color="auto"/>
              <w:right w:val="single" w:sz="4" w:space="0" w:color="auto"/>
            </w:tcBorders>
            <w:noWrap/>
            <w:vAlign w:val="center"/>
          </w:tcPr>
          <w:p w14:paraId="16C4F8AD" w14:textId="500174E9"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1.65%</w:t>
            </w:r>
          </w:p>
        </w:tc>
        <w:tc>
          <w:tcPr>
            <w:tcW w:w="1280" w:type="dxa"/>
            <w:tcBorders>
              <w:top w:val="nil"/>
              <w:left w:val="nil"/>
              <w:bottom w:val="single" w:sz="4" w:space="0" w:color="auto"/>
              <w:right w:val="single" w:sz="4" w:space="0" w:color="auto"/>
            </w:tcBorders>
            <w:noWrap/>
            <w:vAlign w:val="center"/>
          </w:tcPr>
          <w:p w14:paraId="55985135" w14:textId="05FD04D2"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94.06%</w:t>
            </w:r>
          </w:p>
        </w:tc>
        <w:tc>
          <w:tcPr>
            <w:tcW w:w="1220" w:type="dxa"/>
            <w:tcBorders>
              <w:top w:val="nil"/>
              <w:left w:val="nil"/>
              <w:bottom w:val="single" w:sz="4" w:space="0" w:color="auto"/>
              <w:right w:val="single" w:sz="4" w:space="0" w:color="auto"/>
            </w:tcBorders>
            <w:noWrap/>
            <w:vAlign w:val="center"/>
          </w:tcPr>
          <w:p w14:paraId="535FF570" w14:textId="054227B9"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4.29%</w:t>
            </w:r>
          </w:p>
        </w:tc>
      </w:tr>
      <w:tr w:rsidR="007C783A" w14:paraId="2AECA68D" w14:textId="77777777">
        <w:trPr>
          <w:trHeight w:val="290"/>
        </w:trPr>
        <w:tc>
          <w:tcPr>
            <w:tcW w:w="1460" w:type="dxa"/>
            <w:tcBorders>
              <w:top w:val="nil"/>
              <w:left w:val="single" w:sz="4" w:space="0" w:color="auto"/>
              <w:bottom w:val="single" w:sz="4" w:space="0" w:color="auto"/>
              <w:right w:val="single" w:sz="4" w:space="0" w:color="auto"/>
            </w:tcBorders>
            <w:noWrap/>
            <w:vAlign w:val="center"/>
          </w:tcPr>
          <w:p w14:paraId="6CAF6706" w14:textId="08F8ED7E"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2022/12/31</w:t>
            </w:r>
          </w:p>
        </w:tc>
        <w:tc>
          <w:tcPr>
            <w:tcW w:w="1280" w:type="dxa"/>
            <w:tcBorders>
              <w:top w:val="nil"/>
              <w:left w:val="nil"/>
              <w:bottom w:val="single" w:sz="4" w:space="0" w:color="auto"/>
              <w:right w:val="single" w:sz="4" w:space="0" w:color="auto"/>
            </w:tcBorders>
            <w:noWrap/>
            <w:vAlign w:val="center"/>
          </w:tcPr>
          <w:p w14:paraId="43CA8BDC" w14:textId="4B1E5EAA"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 xml:space="preserve">0.00 </w:t>
            </w:r>
          </w:p>
        </w:tc>
        <w:tc>
          <w:tcPr>
            <w:tcW w:w="1500" w:type="dxa"/>
            <w:tcBorders>
              <w:top w:val="nil"/>
              <w:left w:val="nil"/>
              <w:bottom w:val="single" w:sz="4" w:space="0" w:color="auto"/>
              <w:right w:val="single" w:sz="4" w:space="0" w:color="auto"/>
            </w:tcBorders>
            <w:noWrap/>
            <w:vAlign w:val="bottom"/>
          </w:tcPr>
          <w:p w14:paraId="0A96543C" w14:textId="2F524342" w:rsidR="007C783A" w:rsidRDefault="007C783A" w:rsidP="007C783A">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 xml:space="preserve">1125.63 </w:t>
            </w:r>
          </w:p>
        </w:tc>
        <w:tc>
          <w:tcPr>
            <w:tcW w:w="1920" w:type="dxa"/>
            <w:tcBorders>
              <w:top w:val="nil"/>
              <w:left w:val="nil"/>
              <w:bottom w:val="single" w:sz="4" w:space="0" w:color="auto"/>
              <w:right w:val="single" w:sz="4" w:space="0" w:color="auto"/>
            </w:tcBorders>
            <w:noWrap/>
            <w:vAlign w:val="center"/>
          </w:tcPr>
          <w:p w14:paraId="2A8919A2" w14:textId="2F5FCC12"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300" w:type="dxa"/>
            <w:tcBorders>
              <w:top w:val="nil"/>
              <w:left w:val="nil"/>
              <w:bottom w:val="single" w:sz="4" w:space="0" w:color="auto"/>
              <w:right w:val="single" w:sz="4" w:space="0" w:color="auto"/>
            </w:tcBorders>
            <w:noWrap/>
            <w:vAlign w:val="center"/>
          </w:tcPr>
          <w:p w14:paraId="103D3D66" w14:textId="5A3AA981"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280" w:type="dxa"/>
            <w:tcBorders>
              <w:top w:val="nil"/>
              <w:left w:val="nil"/>
              <w:bottom w:val="single" w:sz="4" w:space="0" w:color="auto"/>
              <w:right w:val="single" w:sz="4" w:space="0" w:color="auto"/>
            </w:tcBorders>
            <w:noWrap/>
            <w:vAlign w:val="center"/>
          </w:tcPr>
          <w:p w14:paraId="1F31AA39" w14:textId="7C20FF4F"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0.00%</w:t>
            </w:r>
          </w:p>
        </w:tc>
        <w:tc>
          <w:tcPr>
            <w:tcW w:w="1220" w:type="dxa"/>
            <w:tcBorders>
              <w:top w:val="nil"/>
              <w:left w:val="nil"/>
              <w:bottom w:val="single" w:sz="4" w:space="0" w:color="auto"/>
              <w:right w:val="single" w:sz="4" w:space="0" w:color="auto"/>
            </w:tcBorders>
            <w:noWrap/>
            <w:vAlign w:val="center"/>
          </w:tcPr>
          <w:p w14:paraId="0741CC70" w14:textId="32C32BAB" w:rsidR="007C783A" w:rsidRDefault="007C783A" w:rsidP="007C783A">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100.00%</w:t>
            </w:r>
          </w:p>
        </w:tc>
      </w:tr>
    </w:tbl>
    <w:p w14:paraId="7AD935BD" w14:textId="77777777" w:rsidR="00783AA1" w:rsidRDefault="00783AA1">
      <w:pPr>
        <w:adjustRightInd/>
        <w:snapToGrid/>
        <w:spacing w:line="360" w:lineRule="auto"/>
        <w:ind w:firstLineChars="200" w:firstLine="480"/>
        <w:rPr>
          <w:rFonts w:ascii="宋体" w:eastAsia="宋体" w:hAnsi="宋体" w:cs="宋体" w:hint="eastAsia"/>
          <w:sz w:val="24"/>
          <w:szCs w:val="24"/>
          <w:lang w:eastAsia="zh-CN" w:bidi="zh-CN"/>
        </w:rPr>
      </w:pPr>
    </w:p>
    <w:p w14:paraId="703DF32A"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本基金最新十大重仓基金如下：</w:t>
      </w:r>
    </w:p>
    <w:tbl>
      <w:tblPr>
        <w:tblW w:w="8921" w:type="dxa"/>
        <w:tblInd w:w="-5"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Look w:val="04A0" w:firstRow="1" w:lastRow="0" w:firstColumn="1" w:lastColumn="0" w:noHBand="0" w:noVBand="1"/>
      </w:tblPr>
      <w:tblGrid>
        <w:gridCol w:w="1460"/>
        <w:gridCol w:w="1280"/>
        <w:gridCol w:w="1963"/>
        <w:gridCol w:w="1264"/>
        <w:gridCol w:w="1091"/>
        <w:gridCol w:w="1863"/>
      </w:tblGrid>
      <w:tr w:rsidR="00783AA1" w14:paraId="72CF1F05" w14:textId="77777777">
        <w:trPr>
          <w:trHeight w:val="280"/>
        </w:trPr>
        <w:tc>
          <w:tcPr>
            <w:tcW w:w="1460" w:type="dxa"/>
            <w:tcBorders>
              <w:bottom w:val="single" w:sz="4" w:space="0" w:color="auto"/>
              <w:right w:val="single" w:sz="4" w:space="0" w:color="auto"/>
            </w:tcBorders>
            <w:noWrap/>
            <w:vAlign w:val="bottom"/>
          </w:tcPr>
          <w:p w14:paraId="7A5EDEFC"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序号</w:t>
            </w:r>
          </w:p>
        </w:tc>
        <w:tc>
          <w:tcPr>
            <w:tcW w:w="1280" w:type="dxa"/>
            <w:tcBorders>
              <w:left w:val="nil"/>
              <w:bottom w:val="single" w:sz="4" w:space="0" w:color="auto"/>
              <w:right w:val="single" w:sz="4" w:space="0" w:color="auto"/>
            </w:tcBorders>
            <w:noWrap/>
            <w:vAlign w:val="bottom"/>
          </w:tcPr>
          <w:p w14:paraId="256C6241"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基金代码</w:t>
            </w:r>
          </w:p>
        </w:tc>
        <w:tc>
          <w:tcPr>
            <w:tcW w:w="1963" w:type="dxa"/>
            <w:tcBorders>
              <w:left w:val="nil"/>
              <w:bottom w:val="single" w:sz="4" w:space="0" w:color="auto"/>
              <w:right w:val="single" w:sz="4" w:space="0" w:color="auto"/>
            </w:tcBorders>
            <w:noWrap/>
            <w:vAlign w:val="bottom"/>
          </w:tcPr>
          <w:p w14:paraId="5ABCFBC2"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基金名称</w:t>
            </w:r>
          </w:p>
        </w:tc>
        <w:tc>
          <w:tcPr>
            <w:tcW w:w="1264" w:type="dxa"/>
            <w:tcBorders>
              <w:left w:val="nil"/>
              <w:bottom w:val="single" w:sz="4" w:space="0" w:color="auto"/>
              <w:right w:val="single" w:sz="4" w:space="0" w:color="auto"/>
            </w:tcBorders>
            <w:noWrap/>
            <w:vAlign w:val="bottom"/>
          </w:tcPr>
          <w:p w14:paraId="298419E6"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持仓市值</w:t>
            </w:r>
          </w:p>
        </w:tc>
        <w:tc>
          <w:tcPr>
            <w:tcW w:w="1091" w:type="dxa"/>
            <w:tcBorders>
              <w:left w:val="nil"/>
              <w:bottom w:val="single" w:sz="4" w:space="0" w:color="auto"/>
              <w:right w:val="single" w:sz="4" w:space="0" w:color="auto"/>
            </w:tcBorders>
            <w:noWrap/>
            <w:vAlign w:val="bottom"/>
          </w:tcPr>
          <w:p w14:paraId="1DC2353E"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占FOF净值比</w:t>
            </w:r>
          </w:p>
        </w:tc>
        <w:tc>
          <w:tcPr>
            <w:tcW w:w="1863" w:type="dxa"/>
            <w:tcBorders>
              <w:left w:val="nil"/>
              <w:bottom w:val="single" w:sz="4" w:space="0" w:color="auto"/>
            </w:tcBorders>
            <w:noWrap/>
            <w:vAlign w:val="bottom"/>
          </w:tcPr>
          <w:p w14:paraId="15881E17" w14:textId="77777777" w:rsidR="00783AA1" w:rsidRDefault="00000000">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基金类型-二级分类</w:t>
            </w:r>
          </w:p>
        </w:tc>
      </w:tr>
      <w:tr w:rsidR="00F67D69" w14:paraId="05B5A028" w14:textId="77777777">
        <w:trPr>
          <w:trHeight w:val="280"/>
        </w:trPr>
        <w:tc>
          <w:tcPr>
            <w:tcW w:w="1460" w:type="dxa"/>
            <w:tcBorders>
              <w:top w:val="nil"/>
              <w:bottom w:val="single" w:sz="4" w:space="0" w:color="auto"/>
              <w:right w:val="single" w:sz="4" w:space="0" w:color="auto"/>
            </w:tcBorders>
            <w:noWrap/>
            <w:vAlign w:val="bottom"/>
          </w:tcPr>
          <w:p w14:paraId="19046A3B" w14:textId="673A1B3A"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1</w:t>
            </w:r>
          </w:p>
        </w:tc>
        <w:tc>
          <w:tcPr>
            <w:tcW w:w="1280" w:type="dxa"/>
            <w:tcBorders>
              <w:top w:val="nil"/>
              <w:left w:val="nil"/>
              <w:bottom w:val="single" w:sz="4" w:space="0" w:color="auto"/>
              <w:right w:val="single" w:sz="4" w:space="0" w:color="auto"/>
            </w:tcBorders>
            <w:noWrap/>
            <w:vAlign w:val="bottom"/>
          </w:tcPr>
          <w:p w14:paraId="4CAFE46A" w14:textId="3E51B731"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561160</w:t>
            </w:r>
          </w:p>
        </w:tc>
        <w:tc>
          <w:tcPr>
            <w:tcW w:w="1963" w:type="dxa"/>
            <w:tcBorders>
              <w:top w:val="nil"/>
              <w:left w:val="nil"/>
              <w:bottom w:val="single" w:sz="4" w:space="0" w:color="auto"/>
              <w:right w:val="single" w:sz="4" w:space="0" w:color="auto"/>
            </w:tcBorders>
            <w:noWrap/>
            <w:vAlign w:val="bottom"/>
          </w:tcPr>
          <w:p w14:paraId="28108FB2" w14:textId="3DAE4E1C" w:rsidR="00F67D69" w:rsidRDefault="00F67D69" w:rsidP="00F67D69">
            <w:pPr>
              <w:jc w:val="center"/>
              <w:textAlignment w:val="center"/>
              <w:rPr>
                <w:rFonts w:ascii="仿宋" w:eastAsia="仿宋" w:hAnsi="仿宋" w:cs="仿宋" w:hint="eastAsia"/>
                <w:sz w:val="22"/>
                <w:szCs w:val="22"/>
                <w:lang w:eastAsia="zh-CN" w:bidi="ar"/>
              </w:rPr>
            </w:pPr>
            <w:proofErr w:type="spellStart"/>
            <w:r>
              <w:rPr>
                <w:rFonts w:ascii="仿宋" w:eastAsia="仿宋" w:hAnsi="仿宋" w:hint="eastAsia"/>
                <w:sz w:val="22"/>
                <w:szCs w:val="22"/>
              </w:rPr>
              <w:t>电池ETF富国</w:t>
            </w:r>
            <w:proofErr w:type="spellEnd"/>
          </w:p>
        </w:tc>
        <w:tc>
          <w:tcPr>
            <w:tcW w:w="1264" w:type="dxa"/>
            <w:tcBorders>
              <w:top w:val="nil"/>
              <w:left w:val="nil"/>
              <w:bottom w:val="single" w:sz="4" w:space="0" w:color="auto"/>
              <w:right w:val="single" w:sz="4" w:space="0" w:color="auto"/>
            </w:tcBorders>
            <w:noWrap/>
            <w:vAlign w:val="bottom"/>
          </w:tcPr>
          <w:p w14:paraId="0F245F34" w14:textId="47FC18D0"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 xml:space="preserve">76538.78 </w:t>
            </w:r>
          </w:p>
        </w:tc>
        <w:tc>
          <w:tcPr>
            <w:tcW w:w="1091" w:type="dxa"/>
            <w:tcBorders>
              <w:top w:val="nil"/>
              <w:left w:val="nil"/>
              <w:bottom w:val="single" w:sz="4" w:space="0" w:color="auto"/>
              <w:right w:val="single" w:sz="4" w:space="0" w:color="auto"/>
            </w:tcBorders>
            <w:noWrap/>
            <w:vAlign w:val="bottom"/>
          </w:tcPr>
          <w:p w14:paraId="71A427F5" w14:textId="0DC3E6FD"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95.66%</w:t>
            </w:r>
          </w:p>
        </w:tc>
        <w:tc>
          <w:tcPr>
            <w:tcW w:w="1863" w:type="dxa"/>
            <w:tcBorders>
              <w:top w:val="nil"/>
              <w:left w:val="nil"/>
              <w:bottom w:val="single" w:sz="4" w:space="0" w:color="auto"/>
            </w:tcBorders>
            <w:noWrap/>
            <w:vAlign w:val="bottom"/>
          </w:tcPr>
          <w:p w14:paraId="5F2B8515" w14:textId="0BC5EB7B" w:rsidR="00F67D69" w:rsidRDefault="00F67D69" w:rsidP="00F67D69">
            <w:pPr>
              <w:jc w:val="center"/>
              <w:textAlignment w:val="center"/>
              <w:rPr>
                <w:rFonts w:ascii="仿宋" w:eastAsia="仿宋" w:hAnsi="仿宋" w:cs="仿宋" w:hint="eastAsia"/>
                <w:sz w:val="22"/>
                <w:szCs w:val="22"/>
                <w:lang w:eastAsia="zh-CN" w:bidi="ar"/>
              </w:rPr>
            </w:pPr>
            <w:proofErr w:type="spellStart"/>
            <w:r>
              <w:rPr>
                <w:rFonts w:ascii="仿宋" w:eastAsia="仿宋" w:hAnsi="仿宋" w:hint="eastAsia"/>
                <w:sz w:val="22"/>
                <w:szCs w:val="22"/>
              </w:rPr>
              <w:t>被动指数型基金</w:t>
            </w:r>
            <w:proofErr w:type="spellEnd"/>
          </w:p>
        </w:tc>
      </w:tr>
      <w:tr w:rsidR="00F67D69" w14:paraId="13C951CC" w14:textId="77777777">
        <w:trPr>
          <w:trHeight w:val="280"/>
        </w:trPr>
        <w:tc>
          <w:tcPr>
            <w:tcW w:w="1460" w:type="dxa"/>
            <w:tcBorders>
              <w:top w:val="nil"/>
              <w:right w:val="single" w:sz="4" w:space="0" w:color="auto"/>
            </w:tcBorders>
            <w:noWrap/>
            <w:vAlign w:val="bottom"/>
          </w:tcPr>
          <w:p w14:paraId="269EA0DB" w14:textId="77777777"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 xml:space="preserve">　</w:t>
            </w:r>
          </w:p>
        </w:tc>
        <w:tc>
          <w:tcPr>
            <w:tcW w:w="1280" w:type="dxa"/>
            <w:tcBorders>
              <w:top w:val="nil"/>
              <w:left w:val="nil"/>
              <w:right w:val="single" w:sz="4" w:space="0" w:color="auto"/>
            </w:tcBorders>
            <w:noWrap/>
            <w:vAlign w:val="bottom"/>
          </w:tcPr>
          <w:p w14:paraId="3021632F" w14:textId="77777777"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 xml:space="preserve">　</w:t>
            </w:r>
          </w:p>
        </w:tc>
        <w:tc>
          <w:tcPr>
            <w:tcW w:w="1963" w:type="dxa"/>
            <w:tcBorders>
              <w:top w:val="nil"/>
              <w:left w:val="nil"/>
              <w:right w:val="single" w:sz="4" w:space="0" w:color="auto"/>
            </w:tcBorders>
            <w:noWrap/>
            <w:vAlign w:val="bottom"/>
          </w:tcPr>
          <w:p w14:paraId="642575E5" w14:textId="77777777"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合计</w:t>
            </w:r>
          </w:p>
        </w:tc>
        <w:tc>
          <w:tcPr>
            <w:tcW w:w="1264" w:type="dxa"/>
            <w:tcBorders>
              <w:top w:val="nil"/>
              <w:left w:val="nil"/>
              <w:right w:val="single" w:sz="4" w:space="0" w:color="auto"/>
            </w:tcBorders>
            <w:noWrap/>
            <w:vAlign w:val="bottom"/>
          </w:tcPr>
          <w:p w14:paraId="6271FE6C" w14:textId="3B84FBEA"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 xml:space="preserve">76538.78 </w:t>
            </w:r>
          </w:p>
        </w:tc>
        <w:tc>
          <w:tcPr>
            <w:tcW w:w="1091" w:type="dxa"/>
            <w:tcBorders>
              <w:top w:val="nil"/>
              <w:left w:val="nil"/>
              <w:right w:val="single" w:sz="4" w:space="0" w:color="auto"/>
            </w:tcBorders>
            <w:noWrap/>
            <w:vAlign w:val="bottom"/>
          </w:tcPr>
          <w:p w14:paraId="41F61E4C" w14:textId="461D8A99"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hint="eastAsia"/>
                <w:sz w:val="22"/>
                <w:szCs w:val="22"/>
              </w:rPr>
              <w:t>95.66%</w:t>
            </w:r>
          </w:p>
        </w:tc>
        <w:tc>
          <w:tcPr>
            <w:tcW w:w="1863" w:type="dxa"/>
            <w:tcBorders>
              <w:top w:val="nil"/>
              <w:left w:val="nil"/>
            </w:tcBorders>
            <w:noWrap/>
            <w:vAlign w:val="bottom"/>
          </w:tcPr>
          <w:p w14:paraId="337895E8" w14:textId="77777777" w:rsidR="00F67D69" w:rsidRDefault="00F67D69" w:rsidP="00F67D69">
            <w:pPr>
              <w:jc w:val="center"/>
              <w:textAlignment w:val="center"/>
              <w:rPr>
                <w:rFonts w:ascii="仿宋" w:eastAsia="仿宋" w:hAnsi="仿宋" w:cs="仿宋" w:hint="eastAsia"/>
                <w:sz w:val="22"/>
                <w:szCs w:val="22"/>
                <w:lang w:eastAsia="zh-CN" w:bidi="ar"/>
              </w:rPr>
            </w:pPr>
            <w:r>
              <w:rPr>
                <w:rFonts w:ascii="仿宋" w:eastAsia="仿宋" w:hAnsi="仿宋" w:cs="仿宋" w:hint="eastAsia"/>
                <w:sz w:val="22"/>
                <w:szCs w:val="22"/>
                <w:lang w:eastAsia="zh-CN" w:bidi="ar"/>
              </w:rPr>
              <w:t xml:space="preserve">　</w:t>
            </w:r>
          </w:p>
        </w:tc>
      </w:tr>
    </w:tbl>
    <w:p w14:paraId="3BEE216F" w14:textId="0C1ABE0B" w:rsidR="00783AA1" w:rsidRDefault="00000000">
      <w:pPr>
        <w:adjustRightInd/>
        <w:snapToGrid/>
        <w:spacing w:line="360" w:lineRule="auto"/>
        <w:rPr>
          <w:rFonts w:ascii="宋体" w:eastAsia="宋体" w:hAnsi="宋体" w:cs="宋体" w:hint="eastAsia"/>
          <w:sz w:val="24"/>
          <w:szCs w:val="24"/>
          <w:lang w:eastAsia="zh-CN" w:bidi="zh-CN"/>
        </w:rPr>
      </w:pPr>
      <w:r>
        <w:rPr>
          <w:rFonts w:ascii="宋体" w:eastAsia="宋体" w:hAnsi="宋体" w:cs="宋体"/>
          <w:sz w:val="24"/>
          <w:szCs w:val="24"/>
          <w:lang w:eastAsia="zh-CN" w:bidi="zh-CN"/>
        </w:rPr>
        <w:tab/>
      </w:r>
      <w:r>
        <w:rPr>
          <w:rFonts w:ascii="宋体" w:eastAsia="宋体" w:hAnsi="宋体" w:cs="宋体" w:hint="eastAsia"/>
          <w:sz w:val="24"/>
          <w:szCs w:val="24"/>
          <w:lang w:eastAsia="zh-CN" w:bidi="zh-CN"/>
        </w:rPr>
        <w:t>（数据来源：wind，</w:t>
      </w:r>
      <w:r w:rsidR="0079634C" w:rsidRPr="0079634C">
        <w:rPr>
          <w:rFonts w:ascii="宋体" w:eastAsia="宋体" w:hAnsi="宋体" w:cs="宋体" w:hint="eastAsia"/>
          <w:sz w:val="24"/>
          <w:szCs w:val="24"/>
          <w:lang w:eastAsia="zh-CN" w:bidi="zh-CN"/>
        </w:rPr>
        <w:t>富国中证电池主题</w:t>
      </w:r>
      <w:r w:rsidR="0079634C" w:rsidRPr="0079634C">
        <w:rPr>
          <w:rFonts w:ascii="宋体" w:eastAsia="宋体" w:hAnsi="宋体" w:cs="宋体"/>
          <w:sz w:val="24"/>
          <w:szCs w:val="24"/>
          <w:lang w:eastAsia="zh-CN" w:bidi="zh-CN"/>
        </w:rPr>
        <w:t>ETF</w:t>
      </w:r>
      <w:r w:rsidR="0079634C" w:rsidRPr="0079634C">
        <w:rPr>
          <w:rFonts w:ascii="宋体" w:eastAsia="宋体" w:hAnsi="宋体" w:cs="宋体" w:hint="eastAsia"/>
          <w:sz w:val="24"/>
          <w:szCs w:val="24"/>
          <w:lang w:eastAsia="zh-CN" w:bidi="zh-CN"/>
        </w:rPr>
        <w:t>联接</w:t>
      </w:r>
      <w:r>
        <w:rPr>
          <w:rFonts w:ascii="宋体" w:eastAsia="宋体" w:hAnsi="宋体" w:cs="宋体" w:hint="eastAsia"/>
          <w:sz w:val="24"/>
          <w:szCs w:val="24"/>
          <w:lang w:eastAsia="zh-CN" w:bidi="zh-CN"/>
        </w:rPr>
        <w:t>，2025-12-31【最新季报】，单位：万元）</w:t>
      </w:r>
    </w:p>
    <w:p w14:paraId="4524CFB1" w14:textId="77777777" w:rsidR="00783AA1" w:rsidRDefault="00000000">
      <w:pPr>
        <w:numPr>
          <w:ilvl w:val="0"/>
          <w:numId w:val="3"/>
        </w:numPr>
        <w:adjustRightInd/>
        <w:snapToGrid/>
        <w:spacing w:line="360" w:lineRule="auto"/>
        <w:ind w:firstLineChars="200" w:firstLine="592"/>
        <w:rPr>
          <w:rFonts w:ascii="黑体" w:eastAsia="黑体" w:hAnsi="黑体" w:cs="黑体" w:hint="eastAsia"/>
          <w:spacing w:val="-2"/>
          <w:sz w:val="30"/>
          <w:szCs w:val="30"/>
          <w:lang w:eastAsia="zh-CN" w:bidi="zh-CN"/>
        </w:rPr>
      </w:pPr>
      <w:r>
        <w:rPr>
          <w:rFonts w:ascii="黑体" w:eastAsia="黑体" w:hAnsi="黑体" w:cs="黑体"/>
          <w:spacing w:val="-2"/>
          <w:sz w:val="30"/>
          <w:szCs w:val="30"/>
          <w:lang w:eastAsia="zh-CN" w:bidi="zh-CN"/>
        </w:rPr>
        <w:t>近年业绩及波动情况</w:t>
      </w:r>
    </w:p>
    <w:p w14:paraId="391E6642"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业绩情况：</w:t>
      </w:r>
    </w:p>
    <w:tbl>
      <w:tblPr>
        <w:tblW w:w="4080" w:type="dxa"/>
        <w:tblInd w:w="-5" w:type="dxa"/>
        <w:tblLook w:val="04A0" w:firstRow="1" w:lastRow="0" w:firstColumn="1" w:lastColumn="0" w:noHBand="0" w:noVBand="1"/>
      </w:tblPr>
      <w:tblGrid>
        <w:gridCol w:w="1340"/>
        <w:gridCol w:w="1420"/>
        <w:gridCol w:w="1320"/>
      </w:tblGrid>
      <w:tr w:rsidR="00783AA1" w14:paraId="5AD9A232" w14:textId="77777777">
        <w:trPr>
          <w:trHeight w:val="280"/>
        </w:trPr>
        <w:tc>
          <w:tcPr>
            <w:tcW w:w="1340" w:type="dxa"/>
            <w:tcBorders>
              <w:top w:val="single" w:sz="4" w:space="0" w:color="auto"/>
              <w:left w:val="single" w:sz="4" w:space="0" w:color="auto"/>
              <w:bottom w:val="single" w:sz="4" w:space="0" w:color="auto"/>
              <w:right w:val="single" w:sz="4" w:space="0" w:color="auto"/>
            </w:tcBorders>
            <w:noWrap/>
            <w:vAlign w:val="center"/>
          </w:tcPr>
          <w:p w14:paraId="00A87D88" w14:textId="77777777" w:rsidR="00783AA1" w:rsidRDefault="00000000">
            <w:pPr>
              <w:jc w:val="center"/>
              <w:textAlignment w:val="center"/>
              <w:rPr>
                <w:rFonts w:ascii="仿宋" w:eastAsia="仿宋" w:hAnsi="仿宋" w:cs="宋体" w:hint="eastAsia"/>
                <w:snapToGrid/>
                <w:color w:val="auto"/>
                <w:sz w:val="22"/>
                <w:szCs w:val="22"/>
                <w:lang w:eastAsia="zh-CN"/>
              </w:rPr>
            </w:pPr>
            <w:r>
              <w:rPr>
                <w:rFonts w:ascii="仿宋" w:eastAsia="仿宋" w:hAnsi="仿宋" w:cs="仿宋" w:hint="eastAsia"/>
                <w:sz w:val="22"/>
                <w:szCs w:val="22"/>
                <w:lang w:eastAsia="zh-CN" w:bidi="ar"/>
              </w:rPr>
              <w:t>时间</w:t>
            </w:r>
          </w:p>
        </w:tc>
        <w:tc>
          <w:tcPr>
            <w:tcW w:w="1420" w:type="dxa"/>
            <w:tcBorders>
              <w:top w:val="single" w:sz="4" w:space="0" w:color="auto"/>
              <w:left w:val="nil"/>
              <w:bottom w:val="single" w:sz="4" w:space="0" w:color="auto"/>
              <w:right w:val="single" w:sz="4" w:space="0" w:color="auto"/>
            </w:tcBorders>
            <w:vAlign w:val="center"/>
          </w:tcPr>
          <w:p w14:paraId="7A9C4371" w14:textId="77777777" w:rsidR="00783AA1" w:rsidRDefault="00000000">
            <w:pPr>
              <w:jc w:val="center"/>
              <w:textAlignment w:val="center"/>
              <w:rPr>
                <w:rFonts w:ascii="仿宋" w:eastAsia="仿宋" w:hAnsi="仿宋" w:cs="宋体" w:hint="eastAsia"/>
                <w:snapToGrid/>
                <w:color w:val="auto"/>
                <w:sz w:val="22"/>
                <w:szCs w:val="22"/>
                <w:lang w:eastAsia="zh-CN"/>
              </w:rPr>
            </w:pPr>
            <w:r>
              <w:rPr>
                <w:rFonts w:ascii="仿宋" w:eastAsia="仿宋" w:hAnsi="仿宋" w:cs="仿宋" w:hint="eastAsia"/>
                <w:sz w:val="22"/>
                <w:szCs w:val="22"/>
                <w:lang w:eastAsia="zh-CN" w:bidi="ar"/>
              </w:rPr>
              <w:t>收益</w:t>
            </w:r>
          </w:p>
        </w:tc>
        <w:tc>
          <w:tcPr>
            <w:tcW w:w="1320" w:type="dxa"/>
            <w:tcBorders>
              <w:top w:val="single" w:sz="4" w:space="0" w:color="auto"/>
              <w:left w:val="nil"/>
              <w:bottom w:val="single" w:sz="4" w:space="0" w:color="auto"/>
              <w:right w:val="single" w:sz="4" w:space="0" w:color="auto"/>
            </w:tcBorders>
            <w:vAlign w:val="center"/>
          </w:tcPr>
          <w:p w14:paraId="5A48AC3A" w14:textId="77777777" w:rsidR="00783AA1" w:rsidRDefault="00000000">
            <w:pPr>
              <w:jc w:val="center"/>
              <w:textAlignment w:val="center"/>
              <w:rPr>
                <w:rFonts w:ascii="仿宋" w:eastAsia="仿宋" w:hAnsi="仿宋" w:cs="宋体" w:hint="eastAsia"/>
                <w:snapToGrid/>
                <w:color w:val="auto"/>
                <w:sz w:val="22"/>
                <w:szCs w:val="22"/>
                <w:lang w:eastAsia="zh-CN"/>
              </w:rPr>
            </w:pPr>
            <w:r>
              <w:rPr>
                <w:rFonts w:ascii="仿宋" w:eastAsia="仿宋" w:hAnsi="仿宋" w:cs="仿宋" w:hint="eastAsia"/>
                <w:sz w:val="22"/>
                <w:szCs w:val="22"/>
                <w:lang w:eastAsia="zh-CN" w:bidi="ar"/>
              </w:rPr>
              <w:t>同类排名</w:t>
            </w:r>
          </w:p>
        </w:tc>
      </w:tr>
      <w:tr w:rsidR="00F67D69" w14:paraId="1C05F1C4" w14:textId="77777777">
        <w:trPr>
          <w:trHeight w:val="280"/>
        </w:trPr>
        <w:tc>
          <w:tcPr>
            <w:tcW w:w="1340" w:type="dxa"/>
            <w:tcBorders>
              <w:top w:val="nil"/>
              <w:left w:val="single" w:sz="4" w:space="0" w:color="auto"/>
              <w:bottom w:val="single" w:sz="4" w:space="0" w:color="auto"/>
              <w:right w:val="single" w:sz="4" w:space="0" w:color="auto"/>
            </w:tcBorders>
            <w:vAlign w:val="center"/>
          </w:tcPr>
          <w:p w14:paraId="72981235" w14:textId="71C247CC" w:rsidR="00F67D69" w:rsidRDefault="00F67D69" w:rsidP="00F67D69">
            <w:pPr>
              <w:jc w:val="center"/>
              <w:textAlignment w:val="center"/>
              <w:rPr>
                <w:rFonts w:ascii="仿宋" w:eastAsia="仿宋" w:hAnsi="仿宋" w:cs="宋体" w:hint="eastAsia"/>
                <w:snapToGrid/>
                <w:color w:val="auto"/>
                <w:sz w:val="22"/>
                <w:szCs w:val="22"/>
                <w:lang w:eastAsia="zh-CN"/>
              </w:rPr>
            </w:pPr>
            <w:proofErr w:type="spellStart"/>
            <w:r>
              <w:rPr>
                <w:rFonts w:ascii="仿宋" w:eastAsia="仿宋" w:hAnsi="仿宋" w:hint="eastAsia"/>
                <w:sz w:val="22"/>
                <w:szCs w:val="22"/>
              </w:rPr>
              <w:t>成立以来</w:t>
            </w:r>
            <w:proofErr w:type="spellEnd"/>
          </w:p>
        </w:tc>
        <w:tc>
          <w:tcPr>
            <w:tcW w:w="1420" w:type="dxa"/>
            <w:tcBorders>
              <w:top w:val="nil"/>
              <w:left w:val="nil"/>
              <w:bottom w:val="single" w:sz="4" w:space="0" w:color="auto"/>
              <w:right w:val="single" w:sz="4" w:space="0" w:color="auto"/>
            </w:tcBorders>
            <w:noWrap/>
            <w:vAlign w:val="center"/>
          </w:tcPr>
          <w:p w14:paraId="79F80CDC" w14:textId="27C4B7E2"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7.74%</w:t>
            </w:r>
          </w:p>
        </w:tc>
        <w:tc>
          <w:tcPr>
            <w:tcW w:w="1320" w:type="dxa"/>
            <w:tcBorders>
              <w:top w:val="nil"/>
              <w:left w:val="nil"/>
              <w:bottom w:val="single" w:sz="4" w:space="0" w:color="auto"/>
              <w:right w:val="single" w:sz="4" w:space="0" w:color="auto"/>
            </w:tcBorders>
            <w:noWrap/>
            <w:vAlign w:val="center"/>
          </w:tcPr>
          <w:p w14:paraId="757EB600" w14:textId="66CB45C4"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1261/1587</w:t>
            </w:r>
          </w:p>
        </w:tc>
      </w:tr>
      <w:tr w:rsidR="00F67D69" w14:paraId="7116A16C" w14:textId="77777777">
        <w:trPr>
          <w:trHeight w:val="280"/>
        </w:trPr>
        <w:tc>
          <w:tcPr>
            <w:tcW w:w="1340" w:type="dxa"/>
            <w:tcBorders>
              <w:top w:val="nil"/>
              <w:left w:val="single" w:sz="4" w:space="0" w:color="auto"/>
              <w:bottom w:val="single" w:sz="4" w:space="0" w:color="auto"/>
              <w:right w:val="single" w:sz="4" w:space="0" w:color="auto"/>
            </w:tcBorders>
            <w:noWrap/>
            <w:vAlign w:val="bottom"/>
          </w:tcPr>
          <w:p w14:paraId="3D641764" w14:textId="02BE1EA5" w:rsidR="00F67D69" w:rsidRDefault="00F67D69" w:rsidP="00F67D69">
            <w:pPr>
              <w:jc w:val="center"/>
              <w:textAlignment w:val="bottom"/>
              <w:rPr>
                <w:rFonts w:ascii="仿宋" w:eastAsia="仿宋" w:hAnsi="仿宋" w:cs="宋体" w:hint="eastAsia"/>
                <w:snapToGrid/>
                <w:color w:val="auto"/>
                <w:sz w:val="22"/>
                <w:szCs w:val="22"/>
                <w:lang w:eastAsia="zh-CN"/>
              </w:rPr>
            </w:pPr>
            <w:r>
              <w:rPr>
                <w:rFonts w:ascii="仿宋" w:eastAsia="仿宋" w:hAnsi="仿宋" w:hint="eastAsia"/>
                <w:sz w:val="22"/>
                <w:szCs w:val="22"/>
              </w:rPr>
              <w:lastRenderedPageBreak/>
              <w:t>近5年</w:t>
            </w:r>
          </w:p>
        </w:tc>
        <w:tc>
          <w:tcPr>
            <w:tcW w:w="1420" w:type="dxa"/>
            <w:tcBorders>
              <w:top w:val="nil"/>
              <w:left w:val="nil"/>
              <w:bottom w:val="single" w:sz="4" w:space="0" w:color="auto"/>
              <w:right w:val="single" w:sz="4" w:space="0" w:color="auto"/>
            </w:tcBorders>
            <w:noWrap/>
            <w:vAlign w:val="center"/>
          </w:tcPr>
          <w:p w14:paraId="594F9DF4" w14:textId="68A5C031"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w:t>
            </w:r>
          </w:p>
        </w:tc>
        <w:tc>
          <w:tcPr>
            <w:tcW w:w="1320" w:type="dxa"/>
            <w:tcBorders>
              <w:top w:val="nil"/>
              <w:left w:val="nil"/>
              <w:bottom w:val="single" w:sz="4" w:space="0" w:color="auto"/>
              <w:right w:val="single" w:sz="4" w:space="0" w:color="auto"/>
            </w:tcBorders>
            <w:noWrap/>
            <w:vAlign w:val="bottom"/>
          </w:tcPr>
          <w:p w14:paraId="1728E931" w14:textId="3FA9ACEF" w:rsidR="00F67D69" w:rsidRDefault="00F67D69" w:rsidP="00F67D69">
            <w:pPr>
              <w:jc w:val="center"/>
              <w:textAlignment w:val="bottom"/>
              <w:rPr>
                <w:rFonts w:ascii="仿宋" w:eastAsia="仿宋" w:hAnsi="仿宋" w:cs="宋体" w:hint="eastAsia"/>
                <w:snapToGrid/>
                <w:color w:val="auto"/>
                <w:sz w:val="22"/>
                <w:szCs w:val="22"/>
                <w:lang w:eastAsia="zh-CN"/>
              </w:rPr>
            </w:pPr>
            <w:r>
              <w:rPr>
                <w:rFonts w:ascii="仿宋" w:eastAsia="仿宋" w:hAnsi="仿宋" w:hint="eastAsia"/>
                <w:sz w:val="22"/>
                <w:szCs w:val="22"/>
              </w:rPr>
              <w:t>/</w:t>
            </w:r>
          </w:p>
        </w:tc>
      </w:tr>
      <w:tr w:rsidR="00F67D69" w14:paraId="65579F68" w14:textId="77777777">
        <w:trPr>
          <w:trHeight w:val="280"/>
        </w:trPr>
        <w:tc>
          <w:tcPr>
            <w:tcW w:w="1340" w:type="dxa"/>
            <w:tcBorders>
              <w:top w:val="nil"/>
              <w:left w:val="single" w:sz="4" w:space="0" w:color="auto"/>
              <w:bottom w:val="single" w:sz="4" w:space="0" w:color="auto"/>
              <w:right w:val="single" w:sz="4" w:space="0" w:color="auto"/>
            </w:tcBorders>
            <w:noWrap/>
            <w:vAlign w:val="bottom"/>
          </w:tcPr>
          <w:p w14:paraId="340E40A8" w14:textId="45E0007C" w:rsidR="00F67D69" w:rsidRDefault="00F67D69" w:rsidP="00F67D69">
            <w:pPr>
              <w:jc w:val="center"/>
              <w:textAlignment w:val="bottom"/>
              <w:rPr>
                <w:rFonts w:ascii="仿宋" w:eastAsia="仿宋" w:hAnsi="仿宋" w:cs="宋体" w:hint="eastAsia"/>
                <w:snapToGrid/>
                <w:color w:val="auto"/>
                <w:sz w:val="22"/>
                <w:szCs w:val="22"/>
                <w:lang w:eastAsia="zh-CN"/>
              </w:rPr>
            </w:pPr>
            <w:r>
              <w:rPr>
                <w:rFonts w:ascii="仿宋" w:eastAsia="仿宋" w:hAnsi="仿宋" w:hint="eastAsia"/>
                <w:sz w:val="22"/>
                <w:szCs w:val="22"/>
              </w:rPr>
              <w:t>近3年</w:t>
            </w:r>
          </w:p>
        </w:tc>
        <w:tc>
          <w:tcPr>
            <w:tcW w:w="1420" w:type="dxa"/>
            <w:tcBorders>
              <w:top w:val="nil"/>
              <w:left w:val="nil"/>
              <w:bottom w:val="single" w:sz="4" w:space="0" w:color="auto"/>
              <w:right w:val="single" w:sz="4" w:space="0" w:color="auto"/>
            </w:tcBorders>
            <w:noWrap/>
            <w:vAlign w:val="bottom"/>
          </w:tcPr>
          <w:p w14:paraId="54D2DE16" w14:textId="5F462FAF" w:rsidR="00F67D69" w:rsidRDefault="00F67D69" w:rsidP="00F67D69">
            <w:pPr>
              <w:jc w:val="center"/>
              <w:textAlignment w:val="bottom"/>
              <w:rPr>
                <w:rFonts w:ascii="仿宋" w:eastAsia="仿宋" w:hAnsi="仿宋" w:cs="宋体" w:hint="eastAsia"/>
                <w:snapToGrid/>
                <w:color w:val="auto"/>
                <w:sz w:val="22"/>
                <w:szCs w:val="22"/>
                <w:lang w:eastAsia="zh-CN"/>
              </w:rPr>
            </w:pPr>
            <w:r>
              <w:rPr>
                <w:rFonts w:ascii="仿宋" w:eastAsia="仿宋" w:hAnsi="仿宋" w:hint="eastAsia"/>
                <w:sz w:val="22"/>
                <w:szCs w:val="22"/>
              </w:rPr>
              <w:t>21.64%</w:t>
            </w:r>
          </w:p>
        </w:tc>
        <w:tc>
          <w:tcPr>
            <w:tcW w:w="1320" w:type="dxa"/>
            <w:tcBorders>
              <w:top w:val="nil"/>
              <w:left w:val="nil"/>
              <w:bottom w:val="single" w:sz="4" w:space="0" w:color="auto"/>
              <w:right w:val="single" w:sz="4" w:space="0" w:color="auto"/>
            </w:tcBorders>
            <w:noWrap/>
            <w:vAlign w:val="bottom"/>
          </w:tcPr>
          <w:p w14:paraId="6AFECB39" w14:textId="76F9AAA4" w:rsidR="00F67D69" w:rsidRDefault="00F67D69" w:rsidP="00F67D69">
            <w:pPr>
              <w:jc w:val="center"/>
              <w:textAlignment w:val="bottom"/>
              <w:rPr>
                <w:rFonts w:ascii="仿宋" w:eastAsia="仿宋" w:hAnsi="仿宋" w:cs="宋体" w:hint="eastAsia"/>
                <w:snapToGrid/>
                <w:color w:val="auto"/>
                <w:sz w:val="22"/>
                <w:szCs w:val="22"/>
                <w:lang w:eastAsia="zh-CN"/>
              </w:rPr>
            </w:pPr>
            <w:r>
              <w:rPr>
                <w:rFonts w:ascii="仿宋" w:eastAsia="仿宋" w:hAnsi="仿宋" w:hint="eastAsia"/>
                <w:sz w:val="22"/>
                <w:szCs w:val="22"/>
              </w:rPr>
              <w:t>1002/1669</w:t>
            </w:r>
          </w:p>
        </w:tc>
      </w:tr>
      <w:tr w:rsidR="00F67D69" w14:paraId="34660767" w14:textId="77777777">
        <w:trPr>
          <w:trHeight w:val="280"/>
        </w:trPr>
        <w:tc>
          <w:tcPr>
            <w:tcW w:w="1340" w:type="dxa"/>
            <w:tcBorders>
              <w:top w:val="nil"/>
              <w:left w:val="single" w:sz="4" w:space="0" w:color="auto"/>
              <w:bottom w:val="single" w:sz="4" w:space="0" w:color="auto"/>
              <w:right w:val="single" w:sz="4" w:space="0" w:color="auto"/>
            </w:tcBorders>
            <w:noWrap/>
            <w:vAlign w:val="center"/>
          </w:tcPr>
          <w:p w14:paraId="2715900E" w14:textId="1AEFD0A7"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近1年</w:t>
            </w:r>
          </w:p>
        </w:tc>
        <w:tc>
          <w:tcPr>
            <w:tcW w:w="1420" w:type="dxa"/>
            <w:tcBorders>
              <w:top w:val="nil"/>
              <w:left w:val="nil"/>
              <w:bottom w:val="single" w:sz="4" w:space="0" w:color="auto"/>
              <w:right w:val="single" w:sz="4" w:space="0" w:color="auto"/>
            </w:tcBorders>
            <w:noWrap/>
            <w:vAlign w:val="center"/>
          </w:tcPr>
          <w:p w14:paraId="36488121" w14:textId="74DB57FF"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51.90%</w:t>
            </w:r>
          </w:p>
        </w:tc>
        <w:tc>
          <w:tcPr>
            <w:tcW w:w="1320" w:type="dxa"/>
            <w:tcBorders>
              <w:top w:val="nil"/>
              <w:left w:val="nil"/>
              <w:bottom w:val="single" w:sz="4" w:space="0" w:color="auto"/>
              <w:right w:val="single" w:sz="4" w:space="0" w:color="auto"/>
            </w:tcBorders>
            <w:noWrap/>
            <w:vAlign w:val="center"/>
          </w:tcPr>
          <w:p w14:paraId="7CFDD101" w14:textId="2FB6B16C"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317/2998</w:t>
            </w:r>
          </w:p>
        </w:tc>
      </w:tr>
      <w:tr w:rsidR="00F67D69" w14:paraId="6695BCD1" w14:textId="77777777">
        <w:trPr>
          <w:trHeight w:val="280"/>
        </w:trPr>
        <w:tc>
          <w:tcPr>
            <w:tcW w:w="1340" w:type="dxa"/>
            <w:tcBorders>
              <w:top w:val="nil"/>
              <w:left w:val="single" w:sz="4" w:space="0" w:color="auto"/>
              <w:bottom w:val="single" w:sz="4" w:space="0" w:color="auto"/>
              <w:right w:val="single" w:sz="4" w:space="0" w:color="auto"/>
            </w:tcBorders>
            <w:noWrap/>
            <w:vAlign w:val="center"/>
          </w:tcPr>
          <w:p w14:paraId="3BCB1425" w14:textId="2818DF35"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近6月</w:t>
            </w:r>
          </w:p>
        </w:tc>
        <w:tc>
          <w:tcPr>
            <w:tcW w:w="1420" w:type="dxa"/>
            <w:tcBorders>
              <w:top w:val="nil"/>
              <w:left w:val="nil"/>
              <w:bottom w:val="single" w:sz="4" w:space="0" w:color="auto"/>
              <w:right w:val="single" w:sz="4" w:space="0" w:color="auto"/>
            </w:tcBorders>
            <w:noWrap/>
            <w:vAlign w:val="center"/>
          </w:tcPr>
          <w:p w14:paraId="4FC568DB" w14:textId="3FB0EE7D"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12.77%</w:t>
            </w:r>
          </w:p>
        </w:tc>
        <w:tc>
          <w:tcPr>
            <w:tcW w:w="1320" w:type="dxa"/>
            <w:tcBorders>
              <w:top w:val="nil"/>
              <w:left w:val="nil"/>
              <w:bottom w:val="single" w:sz="4" w:space="0" w:color="auto"/>
              <w:right w:val="single" w:sz="4" w:space="0" w:color="auto"/>
            </w:tcBorders>
            <w:noWrap/>
            <w:vAlign w:val="center"/>
          </w:tcPr>
          <w:p w14:paraId="5060B065" w14:textId="5790DBF7" w:rsidR="00F67D69" w:rsidRDefault="00F67D69" w:rsidP="00F67D69">
            <w:pPr>
              <w:jc w:val="center"/>
              <w:textAlignment w:val="center"/>
              <w:rPr>
                <w:rFonts w:ascii="仿宋" w:eastAsia="仿宋" w:hAnsi="仿宋" w:cs="宋体" w:hint="eastAsia"/>
                <w:snapToGrid/>
                <w:color w:val="auto"/>
                <w:sz w:val="22"/>
                <w:szCs w:val="22"/>
                <w:lang w:eastAsia="zh-CN"/>
              </w:rPr>
            </w:pPr>
            <w:r>
              <w:rPr>
                <w:rFonts w:ascii="仿宋" w:eastAsia="仿宋" w:hAnsi="仿宋" w:hint="eastAsia"/>
                <w:sz w:val="22"/>
                <w:szCs w:val="22"/>
              </w:rPr>
              <w:t>543/3608</w:t>
            </w:r>
          </w:p>
        </w:tc>
      </w:tr>
    </w:tbl>
    <w:p w14:paraId="3C7963EA" w14:textId="77777777" w:rsidR="00783AA1" w:rsidRDefault="00783AA1">
      <w:pPr>
        <w:adjustRightInd/>
        <w:snapToGrid/>
        <w:spacing w:line="360" w:lineRule="auto"/>
        <w:ind w:firstLineChars="200" w:firstLine="480"/>
        <w:rPr>
          <w:rFonts w:ascii="宋体" w:eastAsia="宋体" w:hAnsi="宋体" w:cs="宋体" w:hint="eastAsia"/>
          <w:sz w:val="24"/>
          <w:szCs w:val="24"/>
          <w:lang w:eastAsia="zh-CN" w:bidi="zh-CN"/>
        </w:rPr>
      </w:pPr>
    </w:p>
    <w:p w14:paraId="32092BB9"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波动情况：</w:t>
      </w:r>
    </w:p>
    <w:tbl>
      <w:tblPr>
        <w:tblW w:w="5512" w:type="dxa"/>
        <w:tblInd w:w="-5" w:type="dxa"/>
        <w:tblLayout w:type="fixed"/>
        <w:tblLook w:val="04A0" w:firstRow="1" w:lastRow="0" w:firstColumn="1" w:lastColumn="0" w:noHBand="0" w:noVBand="1"/>
      </w:tblPr>
      <w:tblGrid>
        <w:gridCol w:w="1340"/>
        <w:gridCol w:w="1420"/>
        <w:gridCol w:w="1589"/>
        <w:gridCol w:w="1163"/>
      </w:tblGrid>
      <w:tr w:rsidR="00783AA1" w14:paraId="65A93C76" w14:textId="77777777">
        <w:trPr>
          <w:trHeight w:val="280"/>
        </w:trPr>
        <w:tc>
          <w:tcPr>
            <w:tcW w:w="1340" w:type="dxa"/>
            <w:tcBorders>
              <w:top w:val="single" w:sz="4" w:space="0" w:color="auto"/>
              <w:left w:val="single" w:sz="4" w:space="0" w:color="auto"/>
              <w:bottom w:val="single" w:sz="4" w:space="0" w:color="auto"/>
              <w:right w:val="single" w:sz="4" w:space="0" w:color="auto"/>
            </w:tcBorders>
            <w:noWrap/>
            <w:vAlign w:val="center"/>
          </w:tcPr>
          <w:p w14:paraId="71031DF3"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时间</w:t>
            </w:r>
          </w:p>
        </w:tc>
        <w:tc>
          <w:tcPr>
            <w:tcW w:w="1420" w:type="dxa"/>
            <w:tcBorders>
              <w:top w:val="single" w:sz="4" w:space="0" w:color="auto"/>
              <w:left w:val="nil"/>
              <w:bottom w:val="single" w:sz="4" w:space="0" w:color="auto"/>
              <w:right w:val="single" w:sz="4" w:space="0" w:color="auto"/>
            </w:tcBorders>
            <w:noWrap/>
            <w:vAlign w:val="center"/>
          </w:tcPr>
          <w:p w14:paraId="2CB25A86"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年化波动率</w:t>
            </w:r>
          </w:p>
        </w:tc>
        <w:tc>
          <w:tcPr>
            <w:tcW w:w="1589" w:type="dxa"/>
            <w:tcBorders>
              <w:top w:val="single" w:sz="4" w:space="0" w:color="auto"/>
              <w:left w:val="nil"/>
              <w:bottom w:val="single" w:sz="4" w:space="0" w:color="auto"/>
              <w:right w:val="single" w:sz="4" w:space="0" w:color="auto"/>
            </w:tcBorders>
            <w:noWrap/>
            <w:vAlign w:val="center"/>
          </w:tcPr>
          <w:p w14:paraId="10E1BF3A"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年化夏普比率</w:t>
            </w:r>
          </w:p>
        </w:tc>
        <w:tc>
          <w:tcPr>
            <w:tcW w:w="1163" w:type="dxa"/>
            <w:tcBorders>
              <w:top w:val="single" w:sz="4" w:space="0" w:color="auto"/>
              <w:left w:val="nil"/>
              <w:bottom w:val="single" w:sz="4" w:space="0" w:color="auto"/>
              <w:right w:val="single" w:sz="4" w:space="0" w:color="auto"/>
            </w:tcBorders>
            <w:noWrap/>
            <w:vAlign w:val="center"/>
          </w:tcPr>
          <w:p w14:paraId="52FE7812" w14:textId="77777777" w:rsidR="00783AA1" w:rsidRDefault="00000000">
            <w:pPr>
              <w:jc w:val="center"/>
              <w:textAlignment w:val="center"/>
              <w:rPr>
                <w:rFonts w:ascii="仿宋" w:eastAsia="仿宋" w:hAnsi="仿宋" w:cs="宋体" w:hint="eastAsia"/>
                <w:snapToGrid/>
                <w:sz w:val="22"/>
                <w:szCs w:val="22"/>
                <w:lang w:eastAsia="zh-CN"/>
              </w:rPr>
            </w:pPr>
            <w:r>
              <w:rPr>
                <w:rFonts w:ascii="仿宋" w:eastAsia="仿宋" w:hAnsi="仿宋" w:cs="仿宋" w:hint="eastAsia"/>
                <w:sz w:val="22"/>
                <w:szCs w:val="22"/>
                <w:lang w:eastAsia="zh-CN" w:bidi="ar"/>
              </w:rPr>
              <w:t>最大回撤</w:t>
            </w:r>
          </w:p>
        </w:tc>
      </w:tr>
      <w:tr w:rsidR="00F67D69" w14:paraId="2F39B5F1" w14:textId="77777777">
        <w:trPr>
          <w:trHeight w:val="280"/>
        </w:trPr>
        <w:tc>
          <w:tcPr>
            <w:tcW w:w="1340" w:type="dxa"/>
            <w:tcBorders>
              <w:top w:val="nil"/>
              <w:left w:val="single" w:sz="4" w:space="0" w:color="auto"/>
              <w:bottom w:val="single" w:sz="4" w:space="0" w:color="auto"/>
              <w:right w:val="single" w:sz="4" w:space="0" w:color="auto"/>
            </w:tcBorders>
            <w:vAlign w:val="center"/>
          </w:tcPr>
          <w:p w14:paraId="53A5FFA7" w14:textId="185338B1" w:rsidR="00F67D69" w:rsidRDefault="00F67D69" w:rsidP="00F67D69">
            <w:pPr>
              <w:jc w:val="center"/>
              <w:textAlignment w:val="center"/>
              <w:rPr>
                <w:rFonts w:ascii="仿宋" w:eastAsia="仿宋" w:hAnsi="仿宋" w:cs="宋体" w:hint="eastAsia"/>
                <w:snapToGrid/>
                <w:sz w:val="22"/>
                <w:szCs w:val="22"/>
                <w:lang w:eastAsia="zh-CN"/>
              </w:rPr>
            </w:pPr>
            <w:proofErr w:type="spellStart"/>
            <w:r>
              <w:rPr>
                <w:rFonts w:ascii="仿宋" w:eastAsia="仿宋" w:hAnsi="仿宋" w:hint="eastAsia"/>
                <w:sz w:val="22"/>
                <w:szCs w:val="22"/>
              </w:rPr>
              <w:t>成立以来</w:t>
            </w:r>
            <w:proofErr w:type="spellEnd"/>
          </w:p>
        </w:tc>
        <w:tc>
          <w:tcPr>
            <w:tcW w:w="1420" w:type="dxa"/>
            <w:tcBorders>
              <w:top w:val="nil"/>
              <w:left w:val="nil"/>
              <w:bottom w:val="single" w:sz="4" w:space="0" w:color="auto"/>
              <w:right w:val="single" w:sz="4" w:space="0" w:color="auto"/>
            </w:tcBorders>
            <w:noWrap/>
            <w:vAlign w:val="center"/>
          </w:tcPr>
          <w:p w14:paraId="17EE965E" w14:textId="1EC2B79F" w:rsidR="00F67D69" w:rsidRDefault="00F67D69" w:rsidP="00F67D69">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29.63%</w:t>
            </w:r>
          </w:p>
        </w:tc>
        <w:tc>
          <w:tcPr>
            <w:tcW w:w="1589" w:type="dxa"/>
            <w:tcBorders>
              <w:top w:val="nil"/>
              <w:left w:val="nil"/>
              <w:bottom w:val="single" w:sz="4" w:space="0" w:color="auto"/>
              <w:right w:val="single" w:sz="4" w:space="0" w:color="auto"/>
            </w:tcBorders>
            <w:noWrap/>
            <w:vAlign w:val="center"/>
          </w:tcPr>
          <w:p w14:paraId="461230CA" w14:textId="53FFF43A" w:rsidR="00F67D69" w:rsidRDefault="00F67D69" w:rsidP="00F67D69">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 xml:space="preserve">0.19 </w:t>
            </w:r>
          </w:p>
        </w:tc>
        <w:tc>
          <w:tcPr>
            <w:tcW w:w="1163" w:type="dxa"/>
            <w:tcBorders>
              <w:top w:val="nil"/>
              <w:left w:val="nil"/>
              <w:bottom w:val="single" w:sz="4" w:space="0" w:color="auto"/>
              <w:right w:val="single" w:sz="4" w:space="0" w:color="auto"/>
            </w:tcBorders>
            <w:noWrap/>
            <w:vAlign w:val="center"/>
          </w:tcPr>
          <w:p w14:paraId="68FFEC51" w14:textId="1F4847E6" w:rsidR="00F67D69" w:rsidRDefault="00F67D69" w:rsidP="00F67D69">
            <w:pPr>
              <w:jc w:val="center"/>
              <w:textAlignment w:val="center"/>
              <w:rPr>
                <w:rFonts w:ascii="仿宋" w:eastAsia="仿宋" w:hAnsi="仿宋" w:cs="宋体" w:hint="eastAsia"/>
                <w:snapToGrid/>
                <w:sz w:val="22"/>
                <w:szCs w:val="22"/>
                <w:lang w:eastAsia="zh-CN"/>
              </w:rPr>
            </w:pPr>
            <w:r>
              <w:rPr>
                <w:rFonts w:ascii="仿宋" w:eastAsia="仿宋" w:hAnsi="仿宋" w:hint="eastAsia"/>
                <w:sz w:val="22"/>
                <w:szCs w:val="22"/>
              </w:rPr>
              <w:t>-51.41%</w:t>
            </w:r>
          </w:p>
        </w:tc>
      </w:tr>
      <w:tr w:rsidR="00F67D69" w14:paraId="0768CF5A" w14:textId="77777777">
        <w:trPr>
          <w:trHeight w:val="280"/>
        </w:trPr>
        <w:tc>
          <w:tcPr>
            <w:tcW w:w="1340" w:type="dxa"/>
            <w:tcBorders>
              <w:top w:val="nil"/>
              <w:left w:val="single" w:sz="4" w:space="0" w:color="auto"/>
              <w:bottom w:val="single" w:sz="4" w:space="0" w:color="auto"/>
              <w:right w:val="single" w:sz="4" w:space="0" w:color="auto"/>
            </w:tcBorders>
            <w:noWrap/>
            <w:vAlign w:val="bottom"/>
          </w:tcPr>
          <w:p w14:paraId="0DDADC56" w14:textId="6512F0A8" w:rsidR="00F67D69" w:rsidRDefault="00F67D69" w:rsidP="00F67D69">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近3年</w:t>
            </w:r>
          </w:p>
        </w:tc>
        <w:tc>
          <w:tcPr>
            <w:tcW w:w="1420" w:type="dxa"/>
            <w:tcBorders>
              <w:top w:val="nil"/>
              <w:left w:val="nil"/>
              <w:bottom w:val="single" w:sz="4" w:space="0" w:color="auto"/>
              <w:right w:val="single" w:sz="4" w:space="0" w:color="auto"/>
            </w:tcBorders>
            <w:noWrap/>
            <w:vAlign w:val="bottom"/>
          </w:tcPr>
          <w:p w14:paraId="5662A2C0" w14:textId="06F33807" w:rsidR="00F67D69" w:rsidRDefault="00F67D69" w:rsidP="00F67D69">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30.03%</w:t>
            </w:r>
          </w:p>
        </w:tc>
        <w:tc>
          <w:tcPr>
            <w:tcW w:w="1589" w:type="dxa"/>
            <w:tcBorders>
              <w:top w:val="nil"/>
              <w:left w:val="nil"/>
              <w:bottom w:val="single" w:sz="4" w:space="0" w:color="auto"/>
              <w:right w:val="single" w:sz="4" w:space="0" w:color="auto"/>
            </w:tcBorders>
            <w:noWrap/>
            <w:vAlign w:val="bottom"/>
          </w:tcPr>
          <w:p w14:paraId="0C9167FC" w14:textId="48007C4C" w:rsidR="00F67D69" w:rsidRDefault="00F67D69" w:rsidP="00F67D69">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 xml:space="preserve">0.31 </w:t>
            </w:r>
          </w:p>
        </w:tc>
        <w:tc>
          <w:tcPr>
            <w:tcW w:w="1163" w:type="dxa"/>
            <w:tcBorders>
              <w:top w:val="nil"/>
              <w:left w:val="nil"/>
              <w:bottom w:val="single" w:sz="4" w:space="0" w:color="auto"/>
              <w:right w:val="single" w:sz="4" w:space="0" w:color="auto"/>
            </w:tcBorders>
            <w:noWrap/>
            <w:vAlign w:val="bottom"/>
          </w:tcPr>
          <w:p w14:paraId="5E540440" w14:textId="74159061" w:rsidR="00F67D69" w:rsidRDefault="00F67D69" w:rsidP="00F67D69">
            <w:pPr>
              <w:jc w:val="center"/>
              <w:textAlignment w:val="bottom"/>
              <w:rPr>
                <w:rFonts w:ascii="仿宋" w:eastAsia="仿宋" w:hAnsi="仿宋" w:cs="宋体" w:hint="eastAsia"/>
                <w:snapToGrid/>
                <w:sz w:val="22"/>
                <w:szCs w:val="22"/>
                <w:lang w:eastAsia="zh-CN"/>
              </w:rPr>
            </w:pPr>
            <w:r>
              <w:rPr>
                <w:rFonts w:ascii="仿宋" w:eastAsia="仿宋" w:hAnsi="仿宋" w:hint="eastAsia"/>
                <w:sz w:val="22"/>
                <w:szCs w:val="22"/>
              </w:rPr>
              <w:t>-44.41%</w:t>
            </w:r>
          </w:p>
        </w:tc>
      </w:tr>
    </w:tbl>
    <w:p w14:paraId="4F6747A7" w14:textId="47154093" w:rsidR="00783AA1" w:rsidRDefault="00000000">
      <w:pPr>
        <w:adjustRightInd/>
        <w:snapToGrid/>
        <w:spacing w:line="360" w:lineRule="auto"/>
        <w:rPr>
          <w:rFonts w:ascii="宋体" w:eastAsia="宋体" w:hAnsi="宋体" w:cs="宋体" w:hint="eastAsia"/>
          <w:sz w:val="24"/>
          <w:szCs w:val="24"/>
          <w:lang w:eastAsia="zh-CN" w:bidi="zh-CN"/>
        </w:rPr>
      </w:pPr>
      <w:r>
        <w:rPr>
          <w:rFonts w:ascii="宋体" w:eastAsia="宋体" w:hAnsi="宋体" w:cs="宋体"/>
          <w:sz w:val="24"/>
          <w:szCs w:val="24"/>
          <w:lang w:eastAsia="zh-CN" w:bidi="zh-CN"/>
        </w:rPr>
        <w:tab/>
      </w:r>
      <w:r>
        <w:rPr>
          <w:rFonts w:ascii="宋体" w:eastAsia="宋体" w:hAnsi="宋体" w:cs="宋体" w:hint="eastAsia"/>
          <w:sz w:val="24"/>
          <w:szCs w:val="24"/>
          <w:lang w:eastAsia="zh-CN" w:bidi="zh-CN"/>
        </w:rPr>
        <w:t>（数据来源：wind，</w:t>
      </w:r>
      <w:r w:rsidR="0079634C" w:rsidRPr="0079634C">
        <w:rPr>
          <w:rFonts w:ascii="宋体" w:eastAsia="宋体" w:hAnsi="宋体" w:cs="宋体" w:hint="eastAsia"/>
          <w:sz w:val="24"/>
          <w:szCs w:val="24"/>
          <w:lang w:eastAsia="zh-CN" w:bidi="zh-CN"/>
        </w:rPr>
        <w:t>富国中证电池主题</w:t>
      </w:r>
      <w:r w:rsidR="0079634C" w:rsidRPr="0079634C">
        <w:rPr>
          <w:rFonts w:ascii="宋体" w:eastAsia="宋体" w:hAnsi="宋体" w:cs="宋体"/>
          <w:sz w:val="24"/>
          <w:szCs w:val="24"/>
          <w:lang w:eastAsia="zh-CN" w:bidi="zh-CN"/>
        </w:rPr>
        <w:t>ETF</w:t>
      </w:r>
      <w:r w:rsidR="0079634C" w:rsidRPr="0079634C">
        <w:rPr>
          <w:rFonts w:ascii="宋体" w:eastAsia="宋体" w:hAnsi="宋体" w:cs="宋体" w:hint="eastAsia"/>
          <w:sz w:val="24"/>
          <w:szCs w:val="24"/>
          <w:lang w:eastAsia="zh-CN" w:bidi="zh-CN"/>
        </w:rPr>
        <w:t>联接</w:t>
      </w:r>
      <w:r>
        <w:rPr>
          <w:rFonts w:ascii="宋体" w:eastAsia="宋体" w:hAnsi="宋体" w:cs="宋体" w:hint="eastAsia"/>
          <w:sz w:val="24"/>
          <w:szCs w:val="24"/>
          <w:lang w:eastAsia="zh-CN" w:bidi="zh-CN"/>
        </w:rPr>
        <w:t>，2026-</w:t>
      </w:r>
      <w:r w:rsidR="00F67D69">
        <w:rPr>
          <w:rFonts w:ascii="宋体" w:eastAsia="宋体" w:hAnsi="宋体" w:cs="宋体" w:hint="eastAsia"/>
          <w:sz w:val="24"/>
          <w:szCs w:val="24"/>
          <w:lang w:eastAsia="zh-CN" w:bidi="zh-CN"/>
        </w:rPr>
        <w:t>3</w:t>
      </w:r>
      <w:r>
        <w:rPr>
          <w:rFonts w:ascii="宋体" w:eastAsia="宋体" w:hAnsi="宋体" w:cs="宋体" w:hint="eastAsia"/>
          <w:sz w:val="24"/>
          <w:szCs w:val="24"/>
          <w:lang w:eastAsia="zh-CN" w:bidi="zh-CN"/>
        </w:rPr>
        <w:t>-</w:t>
      </w:r>
      <w:r w:rsidR="00F67D69">
        <w:rPr>
          <w:rFonts w:ascii="宋体" w:eastAsia="宋体" w:hAnsi="宋体" w:cs="宋体" w:hint="eastAsia"/>
          <w:sz w:val="24"/>
          <w:szCs w:val="24"/>
          <w:lang w:eastAsia="zh-CN" w:bidi="zh-CN"/>
        </w:rPr>
        <w:t>20</w:t>
      </w:r>
      <w:r>
        <w:rPr>
          <w:rFonts w:ascii="宋体" w:eastAsia="宋体" w:hAnsi="宋体" w:cs="宋体" w:hint="eastAsia"/>
          <w:sz w:val="24"/>
          <w:szCs w:val="24"/>
          <w:lang w:eastAsia="zh-CN" w:bidi="zh-CN"/>
        </w:rPr>
        <w:t>）</w:t>
      </w:r>
    </w:p>
    <w:p w14:paraId="137AFE15" w14:textId="77777777" w:rsidR="00783AA1" w:rsidRDefault="00000000">
      <w:pPr>
        <w:numPr>
          <w:ilvl w:val="0"/>
          <w:numId w:val="3"/>
        </w:numPr>
        <w:adjustRightInd/>
        <w:snapToGrid/>
        <w:spacing w:line="360" w:lineRule="auto"/>
        <w:ind w:firstLineChars="200" w:firstLine="592"/>
        <w:rPr>
          <w:rFonts w:ascii="黑体" w:eastAsia="黑体" w:hAnsi="黑体" w:cs="黑体" w:hint="eastAsia"/>
          <w:spacing w:val="-2"/>
          <w:sz w:val="30"/>
          <w:szCs w:val="30"/>
          <w:lang w:eastAsia="zh-CN" w:bidi="zh-CN"/>
        </w:rPr>
      </w:pPr>
      <w:r>
        <w:rPr>
          <w:rFonts w:ascii="黑体" w:eastAsia="黑体" w:hAnsi="黑体" w:cs="黑体"/>
          <w:spacing w:val="-2"/>
          <w:sz w:val="30"/>
          <w:szCs w:val="30"/>
          <w:lang w:eastAsia="zh-CN" w:bidi="zh-CN"/>
        </w:rPr>
        <w:t>产品成立以来有无违规行为发生</w:t>
      </w:r>
    </w:p>
    <w:p w14:paraId="7E9BCBFE"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sz w:val="24"/>
          <w:szCs w:val="24"/>
          <w:lang w:eastAsia="zh-CN" w:bidi="zh-CN"/>
        </w:rPr>
        <w:t>本基金成立以来未发现违规行为。</w:t>
      </w:r>
    </w:p>
    <w:p w14:paraId="233353B1" w14:textId="77777777" w:rsidR="00783AA1" w:rsidRDefault="00000000">
      <w:pPr>
        <w:adjustRightInd/>
        <w:snapToGrid/>
        <w:spacing w:line="360" w:lineRule="auto"/>
        <w:ind w:firstLineChars="200" w:firstLine="592"/>
        <w:rPr>
          <w:rFonts w:ascii="黑体" w:eastAsia="黑体" w:hAnsi="黑体" w:cs="黑体" w:hint="eastAsia"/>
          <w:spacing w:val="-2"/>
          <w:sz w:val="30"/>
          <w:szCs w:val="30"/>
          <w:lang w:eastAsia="zh-CN" w:bidi="zh-CN"/>
        </w:rPr>
      </w:pPr>
      <w:r>
        <w:rPr>
          <w:rFonts w:ascii="黑体" w:eastAsia="黑体" w:hAnsi="黑体" w:cs="黑体"/>
          <w:spacing w:val="-2"/>
          <w:sz w:val="30"/>
          <w:szCs w:val="30"/>
          <w:lang w:eastAsia="zh-CN" w:bidi="zh-CN"/>
        </w:rPr>
        <w:t>八、产品风险等级认定</w:t>
      </w:r>
    </w:p>
    <w:p w14:paraId="016D024E"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本产品的风险等级认定将综合考量前述因素，具体风险等级结果详见附录《南京银行基金产品准入评分及风险等级表》。</w:t>
      </w:r>
    </w:p>
    <w:p w14:paraId="26C9DDEF" w14:textId="77777777" w:rsidR="00783AA1" w:rsidRDefault="00000000">
      <w:pPr>
        <w:adjustRightInd/>
        <w:snapToGrid/>
        <w:spacing w:line="360" w:lineRule="auto"/>
        <w:ind w:firstLineChars="200" w:firstLine="592"/>
        <w:rPr>
          <w:rFonts w:ascii="黑体" w:eastAsia="黑体" w:hAnsi="黑体" w:cs="黑体" w:hint="eastAsia"/>
          <w:spacing w:val="-2"/>
          <w:sz w:val="30"/>
          <w:szCs w:val="30"/>
          <w:lang w:eastAsia="zh-CN" w:bidi="zh-CN"/>
        </w:rPr>
      </w:pPr>
      <w:r>
        <w:rPr>
          <w:rFonts w:ascii="黑体" w:eastAsia="黑体" w:hAnsi="黑体" w:cs="黑体"/>
          <w:spacing w:val="-2"/>
          <w:sz w:val="30"/>
          <w:szCs w:val="30"/>
          <w:lang w:eastAsia="zh-CN" w:bidi="zh-CN"/>
        </w:rPr>
        <w:t>九、评价结果</w:t>
      </w:r>
    </w:p>
    <w:p w14:paraId="187A28E9"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结合本机构的客群特征、销售渠道、销售人员、信息系统等情况，综合产品的投资方向、投资管理团队、投资策略、过往业绩等情况，并开展了产品准入消保审查，根据产品准入评价标准和风险评级标准，评定本产品符合本行准入标准，拟申请准入。</w:t>
      </w:r>
    </w:p>
    <w:p w14:paraId="0E872016" w14:textId="77777777" w:rsidR="00783AA1" w:rsidRDefault="00000000">
      <w:pPr>
        <w:adjustRightInd/>
        <w:snapToGrid/>
        <w:spacing w:line="360" w:lineRule="auto"/>
        <w:ind w:firstLineChars="200" w:firstLine="480"/>
        <w:rPr>
          <w:rFonts w:ascii="宋体" w:eastAsia="宋体" w:hAnsi="宋体" w:cs="宋体" w:hint="eastAsia"/>
          <w:sz w:val="24"/>
          <w:szCs w:val="24"/>
          <w:lang w:eastAsia="zh-CN" w:bidi="zh-CN"/>
        </w:rPr>
      </w:pPr>
      <w:r>
        <w:rPr>
          <w:rFonts w:ascii="宋体" w:eastAsia="宋体" w:hAnsi="宋体" w:cs="宋体" w:hint="eastAsia"/>
          <w:sz w:val="24"/>
          <w:szCs w:val="24"/>
          <w:lang w:eastAsia="zh-CN" w:bidi="zh-CN"/>
        </w:rPr>
        <w:t>详见附录6：《南京银行基金产品准入评分及风险等级表》</w:t>
      </w:r>
    </w:p>
    <w:p w14:paraId="0F6F0929" w14:textId="77777777" w:rsidR="00783AA1" w:rsidRDefault="00000000">
      <w:pPr>
        <w:spacing w:before="98" w:line="217" w:lineRule="auto"/>
        <w:ind w:left="5974" w:firstLineChars="400" w:firstLine="840"/>
        <w:rPr>
          <w:rFonts w:ascii="宋体" w:eastAsia="宋体" w:hAnsi="宋体" w:cs="宋体" w:hint="eastAsia"/>
          <w:sz w:val="24"/>
          <w:szCs w:val="24"/>
          <w:lang w:eastAsia="zh-CN"/>
        </w:rPr>
      </w:pPr>
      <w:r>
        <w:rPr>
          <w:rFonts w:ascii="宋体" w:eastAsia="宋体" w:hAnsi="宋体" w:cs="宋体" w:hint="eastAsia"/>
          <w:spacing w:val="-15"/>
          <w:sz w:val="24"/>
          <w:szCs w:val="24"/>
          <w:lang w:eastAsia="zh-CN"/>
        </w:rPr>
        <w:t>26年3月9日</w:t>
      </w:r>
    </w:p>
    <w:p w14:paraId="0C04C512" w14:textId="77777777" w:rsidR="00783AA1" w:rsidRDefault="00783AA1"/>
    <w:sectPr w:rsidR="00783A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EF000"/>
    <w:multiLevelType w:val="singleLevel"/>
    <w:tmpl w:val="CA0EF000"/>
    <w:lvl w:ilvl="0">
      <w:start w:val="5"/>
      <w:numFmt w:val="chineseCounting"/>
      <w:suff w:val="nothing"/>
      <w:lvlText w:val="%1、"/>
      <w:lvlJc w:val="left"/>
      <w:rPr>
        <w:rFonts w:hint="eastAsia"/>
      </w:rPr>
    </w:lvl>
  </w:abstractNum>
  <w:abstractNum w:abstractNumId="1" w15:restartNumberingAfterBreak="0">
    <w:nsid w:val="CADEF1E0"/>
    <w:multiLevelType w:val="singleLevel"/>
    <w:tmpl w:val="CADEF1E0"/>
    <w:lvl w:ilvl="0">
      <w:start w:val="2"/>
      <w:numFmt w:val="decimal"/>
      <w:suff w:val="nothing"/>
      <w:lvlText w:val="%1、"/>
      <w:lvlJc w:val="left"/>
    </w:lvl>
  </w:abstractNum>
  <w:abstractNum w:abstractNumId="2" w15:restartNumberingAfterBreak="0">
    <w:nsid w:val="023078CC"/>
    <w:multiLevelType w:val="singleLevel"/>
    <w:tmpl w:val="023078CC"/>
    <w:lvl w:ilvl="0">
      <w:start w:val="1"/>
      <w:numFmt w:val="chineseCounting"/>
      <w:suff w:val="nothing"/>
      <w:lvlText w:val="%1、"/>
      <w:lvlJc w:val="left"/>
      <w:rPr>
        <w:rFonts w:hint="eastAsia"/>
      </w:rPr>
    </w:lvl>
  </w:abstractNum>
  <w:num w:numId="1" w16cid:durableId="602154804">
    <w:abstractNumId w:val="2"/>
  </w:num>
  <w:num w:numId="2" w16cid:durableId="1741291981">
    <w:abstractNumId w:val="1"/>
  </w:num>
  <w:num w:numId="3" w16cid:durableId="36664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3C2316"/>
    <w:rsid w:val="00007EF1"/>
    <w:rsid w:val="00066E39"/>
    <w:rsid w:val="00083D97"/>
    <w:rsid w:val="000868BC"/>
    <w:rsid w:val="000F3D4D"/>
    <w:rsid w:val="0018773A"/>
    <w:rsid w:val="001F12EC"/>
    <w:rsid w:val="00283185"/>
    <w:rsid w:val="002B7AB1"/>
    <w:rsid w:val="002C3A7C"/>
    <w:rsid w:val="002C6544"/>
    <w:rsid w:val="002D484D"/>
    <w:rsid w:val="00300449"/>
    <w:rsid w:val="003069AC"/>
    <w:rsid w:val="00313F8D"/>
    <w:rsid w:val="0031524E"/>
    <w:rsid w:val="00317440"/>
    <w:rsid w:val="003338F8"/>
    <w:rsid w:val="003C29FA"/>
    <w:rsid w:val="00404CCE"/>
    <w:rsid w:val="00432A3A"/>
    <w:rsid w:val="00465C29"/>
    <w:rsid w:val="0048557D"/>
    <w:rsid w:val="005B32CE"/>
    <w:rsid w:val="00634B3C"/>
    <w:rsid w:val="00644746"/>
    <w:rsid w:val="0065489B"/>
    <w:rsid w:val="00694A2F"/>
    <w:rsid w:val="006B6F95"/>
    <w:rsid w:val="006D15FE"/>
    <w:rsid w:val="006F7D37"/>
    <w:rsid w:val="00725A17"/>
    <w:rsid w:val="00783AA1"/>
    <w:rsid w:val="0079329A"/>
    <w:rsid w:val="0079634C"/>
    <w:rsid w:val="007C783A"/>
    <w:rsid w:val="007D18E1"/>
    <w:rsid w:val="007E3AF8"/>
    <w:rsid w:val="007F6FFF"/>
    <w:rsid w:val="007F7AF4"/>
    <w:rsid w:val="0082063F"/>
    <w:rsid w:val="008506AC"/>
    <w:rsid w:val="00904469"/>
    <w:rsid w:val="009120B5"/>
    <w:rsid w:val="0095472B"/>
    <w:rsid w:val="00957FAB"/>
    <w:rsid w:val="009613BB"/>
    <w:rsid w:val="00967481"/>
    <w:rsid w:val="009B081D"/>
    <w:rsid w:val="009C284F"/>
    <w:rsid w:val="009C31E8"/>
    <w:rsid w:val="009E049B"/>
    <w:rsid w:val="009F4F2E"/>
    <w:rsid w:val="00A14528"/>
    <w:rsid w:val="00A158EF"/>
    <w:rsid w:val="00A213F8"/>
    <w:rsid w:val="00A53670"/>
    <w:rsid w:val="00AC0BFB"/>
    <w:rsid w:val="00B933D3"/>
    <w:rsid w:val="00C50D7A"/>
    <w:rsid w:val="00C63264"/>
    <w:rsid w:val="00C77BF0"/>
    <w:rsid w:val="00CB2B01"/>
    <w:rsid w:val="00CC3D1F"/>
    <w:rsid w:val="00CC67C1"/>
    <w:rsid w:val="00D14E8A"/>
    <w:rsid w:val="00DB09B0"/>
    <w:rsid w:val="00DF2A67"/>
    <w:rsid w:val="00E0195D"/>
    <w:rsid w:val="00E03557"/>
    <w:rsid w:val="00E21A2B"/>
    <w:rsid w:val="00E54C10"/>
    <w:rsid w:val="00E56D3B"/>
    <w:rsid w:val="00E826CE"/>
    <w:rsid w:val="00EB4A32"/>
    <w:rsid w:val="00F20C88"/>
    <w:rsid w:val="00F52225"/>
    <w:rsid w:val="00F60305"/>
    <w:rsid w:val="00F67D69"/>
    <w:rsid w:val="00F825FD"/>
    <w:rsid w:val="00FB358F"/>
    <w:rsid w:val="00FC2253"/>
    <w:rsid w:val="00FE1E10"/>
    <w:rsid w:val="00FE7E41"/>
    <w:rsid w:val="052120A3"/>
    <w:rsid w:val="0F446EA8"/>
    <w:rsid w:val="0FC62EBC"/>
    <w:rsid w:val="1A872550"/>
    <w:rsid w:val="210376C3"/>
    <w:rsid w:val="255973EA"/>
    <w:rsid w:val="263962C5"/>
    <w:rsid w:val="39200C9B"/>
    <w:rsid w:val="3B6E22AD"/>
    <w:rsid w:val="3EC97E6D"/>
    <w:rsid w:val="453D2924"/>
    <w:rsid w:val="50310B7F"/>
    <w:rsid w:val="51663C9A"/>
    <w:rsid w:val="523C2316"/>
    <w:rsid w:val="57DB745C"/>
    <w:rsid w:val="5DC82230"/>
    <w:rsid w:val="69CA48AC"/>
    <w:rsid w:val="6BF54B38"/>
    <w:rsid w:val="743950BE"/>
    <w:rsid w:val="75DD1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72AEB"/>
  <w15:docId w15:val="{0F909D52-5EED-4246-8ABA-160AD2D3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qFormat/>
    <w:rPr>
      <w:rFonts w:ascii="宋体" w:eastAsia="宋体" w:hAnsi="宋体" w:cs="Times New Roman"/>
      <w:snapToGrid/>
      <w:color w:val="auto"/>
      <w:sz w:val="24"/>
      <w:szCs w:val="24"/>
    </w:rPr>
  </w:style>
  <w:style w:type="paragraph" w:styleId="a5">
    <w:name w:val="footer"/>
    <w:basedOn w:val="a"/>
    <w:link w:val="a6"/>
    <w:qFormat/>
    <w:pPr>
      <w:tabs>
        <w:tab w:val="center" w:pos="4153"/>
        <w:tab w:val="right" w:pos="8306"/>
      </w:tabs>
    </w:pPr>
    <w:rPr>
      <w:sz w:val="18"/>
      <w:szCs w:val="18"/>
    </w:rPr>
  </w:style>
  <w:style w:type="paragraph" w:styleId="a7">
    <w:name w:val="header"/>
    <w:basedOn w:val="a"/>
    <w:link w:val="a8"/>
    <w:qFormat/>
    <w:pPr>
      <w:pBdr>
        <w:bottom w:val="single" w:sz="6" w:space="1" w:color="auto"/>
      </w:pBdr>
      <w:tabs>
        <w:tab w:val="center" w:pos="4153"/>
        <w:tab w:val="right" w:pos="8306"/>
      </w:tabs>
      <w:jc w:val="center"/>
    </w:pPr>
    <w:rPr>
      <w:sz w:val="18"/>
      <w:szCs w:val="18"/>
    </w:rPr>
  </w:style>
  <w:style w:type="paragraph" w:customStyle="1" w:styleId="TableParagraph">
    <w:name w:val="Table Paragraph"/>
    <w:basedOn w:val="a"/>
    <w:uiPriority w:val="1"/>
    <w:qFormat/>
    <w:rPr>
      <w:rFonts w:ascii="宋体" w:eastAsia="宋体" w:hAnsi="宋体" w:cs="宋体"/>
      <w:lang w:val="zh-CN" w:eastAsia="zh-CN" w:bidi="zh-CN"/>
    </w:rPr>
  </w:style>
  <w:style w:type="character" w:customStyle="1" w:styleId="a8">
    <w:name w:val="页眉 字符"/>
    <w:basedOn w:val="a0"/>
    <w:link w:val="a7"/>
    <w:qFormat/>
    <w:rPr>
      <w:rFonts w:ascii="Arial" w:eastAsia="Arial" w:hAnsi="Arial" w:cs="Arial"/>
      <w:snapToGrid w:val="0"/>
      <w:color w:val="000000"/>
      <w:sz w:val="18"/>
      <w:szCs w:val="18"/>
      <w:lang w:eastAsia="en-US"/>
    </w:rPr>
  </w:style>
  <w:style w:type="character" w:customStyle="1" w:styleId="a6">
    <w:name w:val="页脚 字符"/>
    <w:basedOn w:val="a0"/>
    <w:link w:val="a5"/>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7</Pages>
  <Words>2560</Words>
  <Characters>2741</Characters>
  <Application>Microsoft Office Word</Application>
  <DocSecurity>0</DocSecurity>
  <Lines>144</Lines>
  <Paragraphs>139</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王志鹏01</dc:creator>
  <cp:lastModifiedBy>国名 王</cp:lastModifiedBy>
  <cp:revision>62</cp:revision>
  <dcterms:created xsi:type="dcterms:W3CDTF">2025-10-30T09:07:00Z</dcterms:created>
  <dcterms:modified xsi:type="dcterms:W3CDTF">2026-04-01T12:56:00Z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_KSOProductBuildMID">
    <vt:lpwstr>CAWMR6GH79VQ00TGRVRNQL0S7ZQMOSGREJ06WJDWXFFRTGCTZ6BR6C0EFSUHPCRRBNM6SOL9ZI7D8IEJRXFTVFFN8RL0WI5BANODPHB3837E4C0FF66C56028CCC152C945A236A</vt:lpwstr>
  </property>
  <property fmtid="{D5CDD505-2E9C-101B-9397-08002B2CF9AE}" pid="4" name="_KSOProductBuildSID">
    <vt:lpwstr>SAWMK6B77RYQ0V9GRKR80L0J7NZ0OXGREF0XHJDWXF88TG5T68BJQC0CFYYHP86RAXMX9OZMZI778LJJENFTVF8O8RZMWLLBAXOOPHB3BDC466EE20C42D03FD96D10D690367E0</vt:lpwstr>
  </property>
  <property fmtid="{D5CDD505-2E9C-101B-9397-08002B2CF9AE}" pid="5" name="KSOTemplateDocerSaveRecord">
    <vt:lpwstr>eyJoZGlkIjoiYjlkOWU4ZDAyOTlmMTdmMzMwN2NlMmY1ZmJlYWNiMzYiLCJ1c2VySWQiOiIyNjM4MTk3NjUifQ==</vt:lpwstr>
  </property>
  <property fmtid="{D5CDD505-2E9C-101B-9397-08002B2CF9AE}" pid="6" name="ICV">
    <vt:lpwstr>CEA80BE78964466899A7F4415E21E836_13</vt:lpwstr>
  </property>
</Properties>
</file>