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0"/>
        <w:gridCol w:w="3130"/>
        <w:gridCol w:w="3130"/>
      </w:tblGrid>
      <w:tr>
        <w:trPr>
          <w:trHeight w:hRule="exact" w:val="238"/>
        </w:trPr>
        <w:tc>
          <w:tcPr>
            <w:tcW w:type="dxa" w:w="182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4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</w:rPr>
              <w:t>Available online at</w:t>
            </w:r>
          </w:p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</w:tbl>
    <w:p>
      <w:pPr>
        <w:sectPr>
          <w:pgSz w:w="11225" w:h="15194"/>
          <w:pgMar w:top="444" w:right="964" w:bottom="726" w:left="8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42 </w:t>
      </w:r>
    </w:p>
    <w:p>
      <w:pPr>
        <w:sectPr>
          <w:pgSz w:w="11225" w:h="15194"/>
          <w:pgMar w:top="442" w:right="826" w:bottom="732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732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8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44 </w:t>
      </w:r>
    </w:p>
    <w:p>
      <w:pPr>
        <w:sectPr>
          <w:pgSz w:w="11225" w:h="15194"/>
          <w:pgMar w:top="442" w:right="826" w:bottom="634" w:left="10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6" w:val="left"/>
        </w:tabs>
        <w:autoSpaceDE w:val="0"/>
        <w:widowControl/>
        <w:spacing w:line="162" w:lineRule="exact" w:before="0" w:after="0"/>
        <w:ind w:left="2808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634" w:left="8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8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46 </w:t>
      </w:r>
    </w:p>
    <w:p>
      <w:pPr>
        <w:sectPr>
          <w:pgSz w:w="11225" w:h="15194"/>
          <w:pgMar w:top="442" w:right="824" w:bottom="724" w:left="10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642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48 </w:t>
      </w:r>
    </w:p>
    <w:p>
      <w:pPr>
        <w:sectPr>
          <w:pgSz w:w="11225" w:h="15194"/>
          <w:pgMar w:top="442" w:right="824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724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50 </w:t>
      </w:r>
    </w:p>
    <w:p>
      <w:pPr>
        <w:sectPr>
          <w:pgSz w:w="11225" w:h="15194"/>
          <w:pgMar w:top="442" w:right="824" w:bottom="690" w:left="10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652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52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698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54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4" w:val="left"/>
        </w:tabs>
        <w:autoSpaceDE w:val="0"/>
        <w:widowControl/>
        <w:spacing w:line="162" w:lineRule="exact" w:before="0" w:after="0"/>
        <w:ind w:left="2806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724" w:left="8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56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4" w:bottom="724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58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/>
        </w:rPr>
        <w:t>K. Rojas et al. / Fuzzy Sets and Systems 241 (2014) 41</w:t>
      </w:r>
    </w:p>
    <w:p>
      <w:pPr>
        <w:sectPr>
          <w:pgSz w:w="11225" w:h="15194"/>
          <w:pgMar w:top="442" w:right="976" w:bottom="728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80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60 </w:t>
      </w:r>
    </w:p>
    <w:sectPr w:rsidR="00FC693F" w:rsidRPr="0006063C" w:rsidSect="00034616">
      <w:pgSz w:w="11225" w:h="15194"/>
      <w:pgMar w:top="442" w:right="826" w:bottom="1440" w:left="10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