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/>
          <w:i w:val="0"/>
        </w:rPr>
        <w:t>Extreme-scaling applications</w:t>
      </w:r>
    </w:p>
    <w:p>
      <w:pPr>
        <w:sectPr>
          <w:pgSz w:w="12240" w:h="15840"/>
          <w:pgMar w:top="716" w:right="1098" w:bottom="70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sectPr>
          <w:pgSz w:w="12240" w:h="15840"/>
          <w:pgMar w:top="566" w:right="1026" w:bottom="728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4" w:right="238" w:firstLine="0"/>
        <w:jc w:val="both"/>
      </w:pPr>
      <w:r>
        <w:rPr>
          <w:rFonts w:ascii="CMR9" w:hAnsi="CMR9" w:eastAsia="CMR9"/>
          <w:b w:val="0"/>
          <w:i w:val="0"/>
        </w:rPr>
        <w:t>reduced time to solution (</w:t>
      </w:r>
    </w:p>
    <w:p>
      <w:pPr>
        <w:sectPr>
          <w:type w:val="continuous"/>
          <w:pgSz w:w="12240" w:h="15840"/>
          <w:pgMar w:top="566" w:right="1026" w:bottom="728" w:left="1072" w:header="720" w:footer="720" w:gutter="0"/>
          <w:cols w:num="2" w:equalWidth="0">
            <w:col w:w="5026" w:space="0"/>
            <w:col w:w="5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02" w:lineRule="exact" w:before="0" w:after="44"/>
        <w:ind w:left="0" w:right="22" w:firstLine="0"/>
        <w:jc w:val="both"/>
      </w:pPr>
      <w:r>
        <w:rPr>
          <w:rFonts w:ascii="CMBX9" w:hAnsi="CMBX9" w:eastAsia="CMBX9"/>
          <w:b/>
          <w:i w:val="0"/>
        </w:rPr>
        <w:t xml:space="preserve">Table 1: 2016 Extreme Scaling Workshop code characteristics. Compiler and main programming languages </w:t>
      </w:r>
    </w:p>
    <w:p>
      <w:pPr>
        <w:sectPr>
          <w:pgSz w:w="12240" w:h="15840"/>
          <w:pgMar w:top="630" w:right="1100" w:bottom="790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>
        <w:trPr>
          <w:trHeight w:hRule="exact" w:val="236"/>
        </w:trPr>
        <w:tc>
          <w:tcPr>
            <w:tcW w:type="dxa" w:w="5004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</w:rPr>
              <w:t>cases writing output and in some cases reading input files</w:t>
            </w:r>
          </w:p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  <w:tr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  <w:tc>
          <w:tcPr>
            <w:tcW w:type="dxa" w:w="919"/>
          </w:tcPr>
          <w:p/>
        </w:tc>
      </w:tr>
    </w:tbl>
    <w:p>
      <w:pPr>
        <w:sectPr>
          <w:pgSz w:w="12240" w:h="15840"/>
          <w:pgMar w:top="568" w:right="106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45580" cy="34709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470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898" w:val="left"/>
        </w:tabs>
        <w:autoSpaceDE w:val="0"/>
        <w:widowControl/>
        <w:spacing w:line="208" w:lineRule="exact" w:before="82" w:after="0"/>
        <w:ind w:left="104" w:right="144" w:firstLine="0"/>
        <w:jc w:val="left"/>
      </w:pPr>
      <w:r>
        <w:rPr>
          <w:rFonts w:ascii="CMBX9" w:hAnsi="CMBX9" w:eastAsia="CMBX9"/>
          <w:b/>
          <w:i w:val="0"/>
        </w:rPr>
        <w:t>Figure 5: Scalasca analysis report explorer views of</w:t>
      </w:r>
    </w:p>
    <w:p>
      <w:pPr>
        <w:sectPr>
          <w:pgSz w:w="12240" w:h="15840"/>
          <w:pgMar w:top="464" w:right="940" w:bottom="728" w:left="9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377"/>
        <w:gridCol w:w="3377"/>
        <w:gridCol w:w="3377"/>
      </w:tblGrid>
      <w:tr>
        <w:trPr>
          <w:trHeight w:hRule="exact" w:val="21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3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</w:rPr>
              <w:t>aggregate the output into a single file for subsequent use.</w:t>
            </w:r>
          </w:p>
        </w:tc>
        <w:tc>
          <w:tcPr>
            <w:tcW w:type="dxa" w:w="3377"/>
          </w:tcPr>
          <w:p/>
        </w:tc>
        <w:tc>
          <w:tcPr>
            <w:tcW w:type="dxa" w:w="3377"/>
          </w:tcPr>
          <w:p/>
        </w:tc>
      </w:tr>
    </w:tbl>
    <w:p>
      <w:pPr>
        <w:sectPr>
          <w:pgSz w:w="12240" w:h="15840"/>
          <w:pgMar w:top="546" w:right="1096" w:bottom="728" w:left="10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76670" cy="3435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8" w:lineRule="exact" w:before="230" w:after="0"/>
        <w:ind w:left="0" w:right="0" w:firstLine="0"/>
        <w:jc w:val="left"/>
      </w:pPr>
      <w:r>
        <w:rPr>
          <w:rFonts w:ascii="CMBX9" w:hAnsi="CMBX9" w:eastAsia="CMBX9"/>
          <w:b/>
          <w:i w:val="0"/>
        </w:rPr>
        <w:t>Figure 6: VisIt interactive visualization client coupled via JUSITU to</w:t>
      </w:r>
    </w:p>
    <w:p>
      <w:pPr>
        <w:sectPr>
          <w:pgSz w:w="12240" w:h="15840"/>
          <w:pgMar w:top="538" w:right="1102" w:bottom="846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  <w:gridCol w:w="3348"/>
      </w:tblGrid>
      <w:tr>
        <w:trPr>
          <w:trHeight w:hRule="exact" w:val="218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</w:rPr>
              <w:t>proving and improving the ability of applications to exploit</w:t>
            </w:r>
          </w:p>
        </w:tc>
        <w:tc>
          <w:tcPr>
            <w:tcW w:type="dxa" w:w="3348"/>
          </w:tcPr>
          <w:p/>
        </w:tc>
        <w:tc>
          <w:tcPr>
            <w:tcW w:type="dxa" w:w="3348"/>
          </w:tcPr>
          <w:p/>
        </w:tc>
      </w:tr>
    </w:tbl>
    <w:p>
      <w:pPr>
        <w:sectPr>
          <w:pgSz w:w="12240" w:h="15840"/>
          <w:pgMar w:top="546" w:right="112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sectPr>
          <w:pgSz w:w="12240" w:h="15840"/>
          <w:pgMar w:top="568" w:right="888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376" w:right="288" w:hanging="376"/>
        <w:jc w:val="left"/>
      </w:pPr>
      <w:r>
        <w:rPr>
          <w:rFonts w:ascii="CMR9" w:hAnsi="CMR9" w:eastAsia="CMR9"/>
          <w:b w:val="0"/>
          <w:i w:val="0"/>
        </w:rPr>
        <w:t xml:space="preserve">[14] Mathis Bode, Jens Henrik G¨obbert, Heinz Pitsch, </w:t>
      </w:r>
    </w:p>
    <w:p>
      <w:pPr>
        <w:sectPr>
          <w:type w:val="continuous"/>
          <w:pgSz w:w="12240" w:h="15840"/>
          <w:pgMar w:top="568" w:right="888" w:bottom="728" w:left="1076" w:header="720" w:footer="720" w:gutter="0"/>
          <w:cols w:num="2" w:equalWidth="0">
            <w:col w:w="4856" w:space="0"/>
            <w:col w:w="5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02" w:lineRule="exact" w:before="0" w:after="78"/>
        <w:ind w:left="0" w:right="198" w:firstLine="0"/>
        <w:jc w:val="both"/>
      </w:pPr>
      <w:r>
        <w:rPr>
          <w:rFonts w:ascii="CMBX9" w:hAnsi="CMBX9" w:eastAsia="CMBX9"/>
          <w:b/>
          <w:i w:val="0"/>
        </w:rPr>
        <w:t xml:space="preserve">Table 2: High-Q Club member application code characteristics. Compiler and main programming languages </w:t>
      </w:r>
    </w:p>
    <w:sectPr w:rsidR="00FC693F" w:rsidRPr="0006063C" w:rsidSect="00034616">
      <w:pgSz w:w="12240" w:h="15840"/>
      <w:pgMar w:top="630" w:right="924" w:bottom="728" w:left="10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