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58" w:lineRule="exact" w:before="0" w:after="0"/>
        <w:ind w:left="0" w:right="0" w:firstLine="0"/>
        <w:jc w:val="center"/>
      </w:pPr>
      <w:r>
        <w:rPr>
          <w:rFonts w:ascii="" w:hAnsi="" w:eastAsia=""/>
          <w:b/>
          <w:i w:val="0"/>
        </w:rPr>
        <w:t>Checkpointing Exascale Memory Systems with Existing</w:t>
      </w:r>
    </w:p>
    <w:p>
      <w:pPr>
        <w:sectPr>
          <w:pgSz w:w="12240" w:h="15840"/>
          <w:pgMar w:top="716" w:right="1100" w:bottom="70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sectPr>
          <w:pgSz w:w="12240" w:h="15840"/>
          <w:pgMar w:top="568" w:right="1100" w:bottom="7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0" w:right="372" w:firstLine="0"/>
        <w:jc w:val="both"/>
      </w:pPr>
      <w:r>
        <w:rPr>
          <w:rFonts w:ascii="CMR9" w:hAnsi="CMR9" w:eastAsia="CMR9"/>
          <w:b w:val="0"/>
          <w:i w:val="0"/>
        </w:rPr>
        <w:t>for the first round of exascale supercomputers. The U.S. De-</w:t>
      </w:r>
    </w:p>
    <w:p>
      <w:pPr>
        <w:sectPr>
          <w:type w:val="continuous"/>
          <w:pgSz w:w="12240" w:h="15840"/>
          <w:pgMar w:top="568" w:right="1100" w:bottom="728" w:left="1076" w:header="720" w:footer="720" w:gutter="0"/>
          <w:cols w:num="2" w:equalWidth="0">
            <w:col w:w="5156" w:space="0"/>
            <w:col w:w="49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sectPr>
          <w:pgSz w:w="12240" w:h="15840"/>
          <w:pgMar w:top="568" w:right="0" w:bottom="692" w:left="0" w:header="720" w:footer="720" w:gutter="0"/>
          <w:cols w:num="2" w:equalWidth="0">
            <w:col w:w="5156" w:space="0"/>
            <w:col w:w="4908" w:space="0"/>
          </w:cols>
          <w:docGrid w:linePitch="360"/>
        </w:sectPr>
      </w:pPr>
    </w:p>
    <w:p>
      <w:pPr>
        <w:autoSpaceDN w:val="0"/>
        <w:autoSpaceDE w:val="0"/>
        <w:widowControl/>
        <w:spacing w:line="198" w:lineRule="exact" w:before="0" w:after="0"/>
        <w:ind w:left="1076" w:right="240" w:firstLine="180"/>
        <w:jc w:val="both"/>
      </w:pPr>
      <w:r>
        <w:rPr>
          <w:rFonts w:ascii="CMR9" w:hAnsi="CMR9" w:eastAsia="CMR9"/>
          <w:b w:val="0"/>
          <w:i w:val="0"/>
        </w:rPr>
        <w:t xml:space="preserve">The key insight gained from our experiment is that even </w:t>
      </w:r>
    </w:p>
    <w:p>
      <w:pPr>
        <w:sectPr>
          <w:type w:val="continuous"/>
          <w:pgSz w:w="12240" w:h="15840"/>
          <w:pgMar w:top="568" w:right="0" w:bottom="692" w:left="0" w:header="720" w:footer="720" w:gutter="0"/>
          <w:cols w:num="2" w:equalWidth="0">
            <w:col w:w="6098" w:space="0"/>
            <w:col w:w="61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258"/>
        <w:gridCol w:w="1258"/>
        <w:gridCol w:w="1258"/>
        <w:gridCol w:w="1258"/>
        <w:gridCol w:w="1258"/>
        <w:gridCol w:w="1258"/>
        <w:gridCol w:w="1258"/>
        <w:gridCol w:w="1258"/>
      </w:tblGrid>
      <w:tr>
        <w:trPr>
          <w:trHeight w:hRule="exact" w:val="268"/>
        </w:trPr>
        <w:tc>
          <w:tcPr>
            <w:tcW w:type="dxa" w:w="5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</w:rPr>
              <w:t>3.1</w:t>
            </w:r>
          </w:p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  <w:tr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</w:tr>
    </w:tbl>
    <w:p>
      <w:pPr>
        <w:sectPr>
          <w:pgSz w:w="12240" w:h="15840"/>
          <w:pgMar w:top="546" w:right="1100" w:bottom="7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sectPr>
          <w:pgSz w:w="12240" w:h="15840"/>
          <w:pgMar w:top="568" w:right="1100" w:bottom="728" w:left="106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4" w:lineRule="exact" w:before="0" w:after="0"/>
        <w:ind w:left="8" w:right="242" w:firstLine="0"/>
        <w:jc w:val="both"/>
      </w:pPr>
      <w:r>
        <w:rPr>
          <w:rFonts w:ascii="CMR9" w:hAnsi="CMR9" w:eastAsia="CMR9"/>
          <w:b w:val="0"/>
          <w:i w:val="0"/>
        </w:rPr>
        <w:t xml:space="preserve">ramdisk shares the main memory, its size must be limited to </w:t>
      </w:r>
    </w:p>
    <w:p>
      <w:pPr>
        <w:sectPr>
          <w:type w:val="continuous"/>
          <w:pgSz w:w="12240" w:h="15840"/>
          <w:pgMar w:top="568" w:right="1100" w:bottom="728" w:left="1068" w:header="720" w:footer="720" w:gutter="0"/>
          <w:cols w:num="2" w:equalWidth="0">
            <w:col w:w="5034" w:space="0"/>
            <w:col w:w="503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55"/>
        <w:gridCol w:w="3355"/>
        <w:gridCol w:w="3355"/>
      </w:tblGrid>
      <w:tr>
        <w:trPr>
          <w:trHeight w:hRule="exact" w:val="218"/>
        </w:trPr>
        <w:tc>
          <w:tcPr>
            <w:tcW w:type="dxa" w:w="40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</w:rPr>
              <w:t>4.1</w:t>
            </w:r>
          </w:p>
        </w:tc>
        <w:tc>
          <w:tcPr>
            <w:tcW w:type="dxa" w:w="3355"/>
          </w:tcPr>
          <w:p/>
        </w:tc>
        <w:tc>
          <w:tcPr>
            <w:tcW w:type="dxa" w:w="3355"/>
          </w:tcPr>
          <w:p/>
        </w:tc>
      </w:tr>
    </w:tbl>
    <w:p>
      <w:pPr>
        <w:sectPr>
          <w:pgSz w:w="12240" w:h="15840"/>
          <w:pgMar w:top="546" w:right="1100" w:bottom="7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sectPr>
          <w:pgSz w:w="12240" w:h="15840"/>
          <w:pgMar w:top="568" w:right="1100" w:bottom="7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238" w:firstLine="0"/>
        <w:jc w:val="both"/>
      </w:pPr>
      <w:r>
        <w:rPr>
          <w:rFonts w:ascii="CMR9" w:hAnsi="CMR9" w:eastAsia="CMR9"/>
          <w:b w:val="0"/>
          <w:i w:val="0"/>
        </w:rPr>
        <w:t xml:space="preserve">bols (16 data + 2 ECC) are sent to the RS(18,16) decoder. </w:t>
      </w:r>
    </w:p>
    <w:p>
      <w:pPr>
        <w:sectPr>
          <w:type w:val="continuous"/>
          <w:pgSz w:w="12240" w:h="15840"/>
          <w:pgMar w:top="568" w:right="1100" w:bottom="728" w:left="1076" w:header="720" w:footer="720" w:gutter="0"/>
          <w:cols w:num="2" w:equalWidth="0">
            <w:col w:w="5021" w:space="0"/>
            <w:col w:w="50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p>
      <w:pPr>
        <w:sectPr>
          <w:pgSz w:w="12240" w:h="15840"/>
          <w:pgMar w:top="540" w:right="1100" w:bottom="728" w:left="1076" w:header="720" w:footer="720" w:gutter="0"/>
          <w:cols w:num="2" w:equalWidth="0">
            <w:col w:w="5021" w:space="0"/>
            <w:col w:w="504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118"/>
        <w:ind w:left="118" w:right="0" w:firstLine="0"/>
        <w:jc w:val="left"/>
      </w:pPr>
      <w:r>
        <w:rPr>
          <w:rFonts w:ascii="CMR9" w:hAnsi="CMR9" w:eastAsia="CMR9"/>
          <w:b w:val="0"/>
          <w:i w:val="0"/>
        </w:rPr>
        <w:t>Table 2: Simulations parameters for</w:t>
      </w:r>
    </w:p>
    <w:p>
      <w:pPr>
        <w:sectPr>
          <w:type w:val="continuous"/>
          <w:pgSz w:w="12240" w:h="15840"/>
          <w:pgMar w:top="540" w:right="1100" w:bottom="728" w:left="1076" w:header="720" w:footer="720" w:gutter="0"/>
          <w:cols w:num="2" w:equalWidth="0">
            <w:col w:w="5021" w:space="0"/>
            <w:col w:w="50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13"/>
        <w:gridCol w:w="2013"/>
        <w:gridCol w:w="2013"/>
        <w:gridCol w:w="2013"/>
        <w:gridCol w:w="2013"/>
      </w:tblGrid>
      <w:tr>
        <w:trPr>
          <w:trHeight w:hRule="exact" w:val="238"/>
        </w:trPr>
        <w:tc>
          <w:tcPr>
            <w:tcW w:type="dxa" w:w="50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4" w:after="0"/>
              <w:ind w:left="0" w:right="0" w:firstLine="0"/>
              <w:jc w:val="left"/>
            </w:pPr>
            <w:r>
              <w:rPr>
                <w:rFonts w:ascii="CMR9" w:hAnsi="CMR9" w:eastAsia="CMR9"/>
                <w:b w:val="0"/>
                <w:i w:val="0"/>
              </w:rPr>
              <w:t>most 99% of checkpoints were written to ramdisk. Neverthe-</w:t>
            </w:r>
          </w:p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  <w:tr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  <w:tc>
          <w:tcPr>
            <w:tcW w:type="dxa" w:w="2013"/>
          </w:tcPr>
          <w:p/>
        </w:tc>
      </w:tr>
    </w:tbl>
    <w:p>
      <w:pPr>
        <w:sectPr>
          <w:pgSz w:w="12240" w:h="15840"/>
          <w:pgMar w:top="538" w:right="1100" w:bottom="7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8"/>
        <w:ind w:left="0" w:right="0"/>
      </w:pPr>
    </w:p>
    <w:p>
      <w:pPr>
        <w:autoSpaceDN w:val="0"/>
        <w:tabs>
          <w:tab w:pos="5260" w:val="left"/>
        </w:tabs>
        <w:autoSpaceDE w:val="0"/>
        <w:widowControl/>
        <w:spacing w:line="178" w:lineRule="exact" w:before="0" w:after="0"/>
        <w:ind w:left="0" w:right="0" w:firstLine="0"/>
        <w:jc w:val="left"/>
      </w:pPr>
      <w:r>
        <w:rPr>
          <w:rFonts w:ascii="CMR9" w:hAnsi="CMR9" w:eastAsia="CMR9"/>
          <w:b w:val="0"/>
          <w:i w:val="0"/>
        </w:rPr>
        <w:t>MPI process with only 1 second of computation in a check-</w:t>
      </w:r>
    </w:p>
    <w:p>
      <w:pPr>
        <w:sectPr>
          <w:pgSz w:w="12240" w:h="15840"/>
          <w:pgMar w:top="568" w:right="1100" w:bottom="7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516"/>
        <w:gridCol w:w="2516"/>
        <w:gridCol w:w="2516"/>
        <w:gridCol w:w="2516"/>
      </w:tblGrid>
      <w:tr>
        <w:trPr>
          <w:trHeight w:hRule="exact" w:val="218"/>
        </w:trPr>
        <w:tc>
          <w:tcPr>
            <w:tcW w:type="dxa" w:w="1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44" w:after="0"/>
              <w:ind w:left="0" w:right="0" w:firstLine="0"/>
              <w:jc w:val="center"/>
            </w:pPr>
            <w:r>
              <w:rPr>
                <w:rFonts w:ascii="CMR9" w:hAnsi="CMR9" w:eastAsia="CMR9"/>
                <w:b w:val="0"/>
                <w:i w:val="0"/>
              </w:rPr>
              <w:t>single chip failure.</w:t>
            </w:r>
          </w:p>
        </w:tc>
        <w:tc>
          <w:tcPr>
            <w:tcW w:type="dxa" w:w="2516"/>
          </w:tcPr>
          <w:p/>
        </w:tc>
        <w:tc>
          <w:tcPr>
            <w:tcW w:type="dxa" w:w="2516"/>
          </w:tcPr>
          <w:p/>
        </w:tc>
        <w:tc>
          <w:tcPr>
            <w:tcW w:type="dxa" w:w="2516"/>
          </w:tcPr>
          <w:p/>
        </w:tc>
      </w:tr>
    </w:tbl>
    <w:p>
      <w:pPr>
        <w:sectPr>
          <w:pgSz w:w="12240" w:h="15840"/>
          <w:pgMar w:top="546" w:right="1100" w:bottom="728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sectPr>
          <w:pgSz w:w="12240" w:h="15840"/>
          <w:pgMar w:top="576" w:right="1100" w:bottom="1440" w:left="10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2" w:lineRule="exact" w:before="0" w:after="0"/>
        <w:ind w:left="352" w:right="240" w:hanging="352"/>
        <w:jc w:val="both"/>
      </w:pPr>
      <w:r>
        <w:rPr>
          <w:rFonts w:ascii="CMR8" w:hAnsi="CMR8" w:eastAsia="CMR8"/>
          <w:b w:val="0"/>
          <w:i w:val="0"/>
        </w:rPr>
        <w:t xml:space="preserve">[10] Jeffrey Vetter, Rob Schreiber, Trevor Mudge, and Yuan Xie. </w:t>
      </w:r>
    </w:p>
    <w:sectPr w:rsidR="00FC693F" w:rsidRPr="0006063C" w:rsidSect="00034616">
      <w:type w:val="continuous"/>
      <w:pgSz w:w="12240" w:h="15840"/>
      <w:pgMar w:top="576" w:right="1100" w:bottom="1440" w:left="1076" w:header="720" w:footer="720" w:gutter="0"/>
      <w:cols w:num="2" w:equalWidth="0">
        <w:col w:w="5020" w:space="0"/>
        <w:col w:w="504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