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8"/>
        <w:ind w:left="0" w:right="0"/>
      </w:pPr>
    </w:p>
    <w:p>
      <w:pPr>
        <w:autoSpaceDN w:val="0"/>
        <w:autoSpaceDE w:val="0"/>
        <w:widowControl/>
        <w:spacing w:line="444" w:lineRule="exact" w:before="0" w:after="108"/>
        <w:ind w:left="0" w:right="0" w:firstLine="0"/>
        <w:jc w:val="center"/>
      </w:pPr>
      <w:r>
        <w:rPr>
          <w:rFonts w:ascii="LinBiolinumTB" w:hAnsi="LinBiolinumTB" w:eastAsia="LinBiolinumTB"/>
          <w:b/>
          <w:i w:val="0"/>
        </w:rPr>
        <w:t>In Situ Workflows at Exascale: System Software to the Rescue</w:t>
      </w:r>
    </w:p>
    <w:p>
      <w:pPr>
        <w:sectPr>
          <w:pgSz w:w="12240" w:h="15840"/>
          <w:pgMar w:top="780" w:right="1024" w:bottom="336" w:left="10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6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ISAV’, November 2017, Denver, Colorado, USA</w:t>
      </w:r>
    </w:p>
    <w:p>
      <w:pPr>
        <w:sectPr>
          <w:type w:val="continuous"/>
          <w:pgSz w:w="12240" w:h="15840"/>
          <w:pgMar w:top="582" w:right="1024" w:bottom="336" w:left="1068" w:header="720" w:footer="720" w:gutter="0"/>
          <w:cols w:num="2" w:equalWidth="0">
            <w:col w:w="3778" w:space="0"/>
            <w:col w:w="636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6" w:left="1074" w:header="720" w:footer="720" w:gutter="0"/>
          <w:cols w:num="2" w:equalWidth="0">
            <w:col w:w="3778" w:space="0"/>
            <w:col w:w="6369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214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In Situ Workflows at Exascale: System Software to the Rescue</w:t>
      </w:r>
    </w:p>
    <w:p>
      <w:pPr>
        <w:sectPr>
          <w:type w:val="continuous"/>
          <w:pgSz w:w="12240" w:h="15840"/>
          <w:pgMar w:top="582" w:right="1024" w:bottom="336" w:left="1074" w:header="720" w:footer="720" w:gutter="0"/>
          <w:cols w:num="2" w:equalWidth="0">
            <w:col w:w="4972" w:space="0"/>
            <w:col w:w="516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24" w:bottom="336" w:left="1066" w:header="720" w:footer="720" w:gutter="0"/>
          <w:cols w:num="2" w:equalWidth="0">
            <w:col w:w="4972" w:space="0"/>
            <w:col w:w="5169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8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ISAV’, November 2017, Denver, Colorado, USA</w:t>
      </w:r>
    </w:p>
    <w:p>
      <w:pPr>
        <w:sectPr>
          <w:type w:val="continuous"/>
          <w:pgSz w:w="12240" w:h="15840"/>
          <w:pgMar w:top="582" w:right="1024" w:bottom="336" w:left="1066" w:header="720" w:footer="720" w:gutter="0"/>
          <w:cols w:num="2" w:equalWidth="0">
            <w:col w:w="3780" w:space="0"/>
            <w:col w:w="6369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sectPr>
          <w:pgSz w:w="12240" w:h="15840"/>
          <w:pgMar w:top="582" w:right="1032" w:bottom="336" w:left="1074" w:header="720" w:footer="720" w:gutter="0"/>
          <w:cols w:num="2" w:equalWidth="0">
            <w:col w:w="3780" w:space="0"/>
            <w:col w:w="6369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In Situ Workflows at Exascale: System Software to the Rescue</w:t>
      </w:r>
    </w:p>
    <w:sectPr w:rsidR="00FC693F" w:rsidRPr="0006063C" w:rsidSect="00034616">
      <w:type w:val="continuous"/>
      <w:pgSz w:w="12240" w:h="15840"/>
      <w:pgMar w:top="582" w:right="1032" w:bottom="336" w:left="1074" w:header="720" w:footer="720" w:gutter="0"/>
      <w:cols w:num="2" w:equalWidth="0">
        <w:col w:w="4972" w:space="0"/>
        <w:col w:w="516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