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414" w:lineRule="exact" w:before="82" w:after="0"/>
        <w:ind w:left="0" w:right="0" w:firstLine="0"/>
        <w:jc w:val="center"/>
      </w:pPr>
      <w:r>
        <w:rPr>
          <w:rFonts w:ascii="Helvetica,Bold" w:hAnsi="Helvetica,Bold" w:eastAsia="Helvetica,Bold"/>
          <w:b/>
          <w:i w:val="0"/>
        </w:rPr>
        <w:t xml:space="preserve">Summarize the Etiology and Epidemiology Characteristics </w:t>
      </w:r>
    </w:p>
    <w:p>
      <w:pPr>
        <w:sectPr>
          <w:pgSz w:w="12240" w:h="15840"/>
          <w:pgMar w:top="516" w:right="974" w:bottom="27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5184" w:firstLine="0"/>
        <w:jc w:val="left"/>
      </w:pPr>
      <w:r>
        <w:rPr>
          <w:rFonts w:ascii="Times New Roman" w:hAnsi="Times New Roman" w:eastAsia="Times New Roman"/>
          <w:b w:val="0"/>
          <w:i w:val="0"/>
        </w:rPr>
        <w:t xml:space="preserve">severe symptoms, becomes one of the most difficult viruses to </w:t>
      </w:r>
    </w:p>
    <w:p>
      <w:pPr>
        <w:sectPr>
          <w:pgSz w:w="12240" w:h="15840"/>
          <w:pgMar w:top="528" w:right="1014" w:bottom="272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968" w:bottom="27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</w:rPr>
        <w:t xml:space="preserve">the subunits of the Sars-CoV in the 2004 pandemic [15]. However, </w:t>
      </w:r>
    </w:p>
    <w:p>
      <w:pPr>
        <w:sectPr>
          <w:type w:val="continuous"/>
          <w:pgSz w:w="12240" w:h="15840"/>
          <w:pgMar w:top="528" w:right="968" w:bottom="270" w:left="1080" w:header="720" w:footer="720" w:gutter="0"/>
          <w:cols w:num="2" w:equalWidth="0">
            <w:col w:w="4908" w:space="0"/>
            <w:col w:w="52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2240" w:h="15840"/>
          <w:pgMar w:top="528" w:right="970" w:bottom="272" w:left="1080" w:header="720" w:footer="720" w:gutter="0"/>
          <w:cols w:num="2" w:equalWidth="0">
            <w:col w:w="4908" w:space="0"/>
            <w:col w:w="5284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0" w:right="58" w:firstLine="0"/>
        <w:jc w:val="both"/>
      </w:pPr>
      <w:r>
        <w:rPr>
          <w:rFonts w:ascii="Times New Roman" w:hAnsi="Times New Roman" w:eastAsia="Times New Roman"/>
          <w:b w:val="0"/>
          <w:i w:val="0"/>
        </w:rPr>
        <w:t xml:space="preserve">more susceptible and high-risk groups of infectious diseases. The </w:t>
      </w:r>
    </w:p>
    <w:p>
      <w:pPr>
        <w:sectPr>
          <w:type w:val="continuous"/>
          <w:pgSz w:w="12240" w:h="15840"/>
          <w:pgMar w:top="528" w:right="970" w:bottom="272" w:left="1080" w:header="720" w:footer="720" w:gutter="0"/>
          <w:cols w:num="2" w:equalWidth="0">
            <w:col w:w="4906" w:space="0"/>
            <w:col w:w="52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08" w:lineRule="exact" w:before="32" w:after="0"/>
        <w:ind w:left="420" w:right="4896" w:firstLine="0"/>
        <w:jc w:val="left"/>
      </w:pPr>
      <w:r>
        <w:rPr>
          <w:rFonts w:ascii="Times New Roman" w:hAnsi="Times New Roman" w:eastAsia="Times New Roman"/>
          <w:b w:val="0"/>
          <w:i w:val="0"/>
        </w:rPr>
        <w:t xml:space="preserve">2019 novel coronavirus pneumonia receiving combined </w:t>
      </w:r>
    </w:p>
    <w:sectPr w:rsidR="00FC693F" w:rsidRPr="0006063C" w:rsidSect="00034616">
      <w:pgSz w:w="12240" w:h="15840"/>
      <w:pgMar w:top="528" w:right="1440" w:bottom="272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